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482D7F">
      <w:pPr>
        <w:rPr>
          <w:rFonts w:hint="default" w:ascii="Times New Roman" w:hAnsi="Times New Roman" w:eastAsia="仿宋_GB2312" w:cs="Times New Roman"/>
          <w:color w:val="auto"/>
          <w:sz w:val="36"/>
          <w:szCs w:val="36"/>
          <w:lang w:val="en-US" w:eastAsia="zh-CN"/>
        </w:rPr>
      </w:pPr>
    </w:p>
    <w:p w14:paraId="77F01C66">
      <w:pPr>
        <w:pStyle w:val="43"/>
        <w:rPr>
          <w:rFonts w:hint="default" w:ascii="Times New Roman" w:hAnsi="Times New Roman" w:cs="Times New Roman"/>
          <w:color w:val="auto"/>
          <w:lang w:val="en-US" w:eastAsia="zh-CN"/>
        </w:rPr>
      </w:pPr>
    </w:p>
    <w:p w14:paraId="5FA59B13">
      <w:pPr>
        <w:pStyle w:val="43"/>
        <w:rPr>
          <w:rFonts w:hint="default" w:ascii="Times New Roman" w:hAnsi="Times New Roman" w:cs="Times New Roman"/>
          <w:color w:val="auto"/>
          <w:lang w:val="en-US" w:eastAsia="zh-CN"/>
        </w:rPr>
      </w:pPr>
    </w:p>
    <w:p w14:paraId="56EB06FC">
      <w:pPr>
        <w:adjustRightInd w:val="0"/>
        <w:snapToGrid w:val="0"/>
        <w:jc w:val="center"/>
        <w:outlineLvl w:val="0"/>
        <w:rPr>
          <w:rFonts w:hint="default" w:ascii="Times New Roman" w:hAnsi="Times New Roman" w:eastAsia="方正小标宋_GBK" w:cs="Times New Roman"/>
          <w:bCs/>
          <w:color w:val="auto"/>
          <w:sz w:val="72"/>
          <w:szCs w:val="72"/>
        </w:rPr>
      </w:pPr>
      <w:r>
        <w:rPr>
          <w:rFonts w:hint="default" w:ascii="Times New Roman" w:hAnsi="Times New Roman" w:eastAsia="方正小标宋_GBK" w:cs="Times New Roman"/>
          <w:bCs/>
          <w:color w:val="auto"/>
          <w:sz w:val="72"/>
          <w:szCs w:val="72"/>
        </w:rPr>
        <w:t>建设项目环境影响报告表</w:t>
      </w:r>
    </w:p>
    <w:p w14:paraId="229CCDE3">
      <w:pPr>
        <w:adjustRightInd w:val="0"/>
        <w:snapToGrid w:val="0"/>
        <w:spacing w:before="192" w:beforeLines="80"/>
        <w:jc w:val="center"/>
        <w:rPr>
          <w:rFonts w:hint="default" w:ascii="Times New Roman" w:hAnsi="Times New Roman" w:eastAsia="楷体_GB2312" w:cs="Times New Roman"/>
          <w:bCs/>
          <w:color w:val="auto"/>
          <w:sz w:val="48"/>
          <w:szCs w:val="48"/>
        </w:rPr>
      </w:pPr>
      <w:r>
        <w:rPr>
          <w:rFonts w:hint="default" w:ascii="Times New Roman" w:hAnsi="Times New Roman" w:eastAsia="楷体_GB2312" w:cs="Times New Roman"/>
          <w:bCs/>
          <w:color w:val="auto"/>
          <w:sz w:val="48"/>
          <w:szCs w:val="48"/>
        </w:rPr>
        <w:t>（污染影响类）</w:t>
      </w:r>
    </w:p>
    <w:p w14:paraId="63AB3287">
      <w:pPr>
        <w:keepNext w:val="0"/>
        <w:keepLines w:val="0"/>
        <w:pageBreakBefore w:val="0"/>
        <w:widowControl w:val="0"/>
        <w:kinsoku/>
        <w:wordWrap/>
        <w:overflowPunct/>
        <w:topLinePunct w:val="0"/>
        <w:autoSpaceDE/>
        <w:autoSpaceDN/>
        <w:bidi w:val="0"/>
        <w:adjustRightInd w:val="0"/>
        <w:snapToGrid w:val="0"/>
        <w:spacing w:line="288" w:lineRule="auto"/>
        <w:jc w:val="center"/>
        <w:textAlignment w:val="auto"/>
        <w:outlineLvl w:val="9"/>
        <w:rPr>
          <w:rFonts w:hint="default" w:ascii="Times New Roman" w:hAnsi="Times New Roman" w:eastAsia="华文仿宋" w:cs="Times New Roman"/>
          <w:color w:val="auto"/>
          <w:kern w:val="44"/>
          <w:sz w:val="44"/>
          <w:szCs w:val="44"/>
        </w:rPr>
      </w:pPr>
    </w:p>
    <w:p w14:paraId="2380F85B">
      <w:pPr>
        <w:keepNext w:val="0"/>
        <w:keepLines w:val="0"/>
        <w:pageBreakBefore w:val="0"/>
        <w:widowControl w:val="0"/>
        <w:kinsoku/>
        <w:wordWrap/>
        <w:overflowPunct/>
        <w:topLinePunct w:val="0"/>
        <w:autoSpaceDE/>
        <w:autoSpaceDN/>
        <w:bidi w:val="0"/>
        <w:textAlignment w:val="auto"/>
        <w:outlineLvl w:val="9"/>
        <w:rPr>
          <w:rFonts w:hint="default" w:ascii="Times New Roman" w:hAnsi="Times New Roman" w:eastAsia="仿宋" w:cs="Times New Roman"/>
          <w:color w:val="auto"/>
          <w:sz w:val="44"/>
          <w:szCs w:val="44"/>
        </w:rPr>
      </w:pPr>
    </w:p>
    <w:p w14:paraId="1A004868">
      <w:pPr>
        <w:pStyle w:val="43"/>
        <w:rPr>
          <w:rFonts w:hint="default" w:ascii="Times New Roman" w:hAnsi="Times New Roman" w:eastAsia="仿宋" w:cs="Times New Roman"/>
          <w:color w:val="auto"/>
          <w:sz w:val="44"/>
          <w:szCs w:val="44"/>
        </w:rPr>
      </w:pPr>
    </w:p>
    <w:p w14:paraId="061F2E0C">
      <w:pPr>
        <w:pStyle w:val="43"/>
        <w:rPr>
          <w:rFonts w:hint="default" w:ascii="Times New Roman" w:hAnsi="Times New Roman" w:eastAsia="仿宋" w:cs="Times New Roman"/>
          <w:color w:val="auto"/>
          <w:sz w:val="44"/>
          <w:szCs w:val="44"/>
        </w:rPr>
      </w:pPr>
    </w:p>
    <w:p w14:paraId="0FBE025D">
      <w:pPr>
        <w:pStyle w:val="43"/>
        <w:rPr>
          <w:rFonts w:hint="default" w:ascii="Times New Roman" w:hAnsi="Times New Roman" w:eastAsia="仿宋" w:cs="Times New Roman"/>
          <w:color w:val="auto"/>
          <w:sz w:val="44"/>
          <w:szCs w:val="44"/>
        </w:rPr>
      </w:pPr>
    </w:p>
    <w:p w14:paraId="7E8A6DFC">
      <w:pPr>
        <w:pStyle w:val="43"/>
        <w:rPr>
          <w:rFonts w:hint="default" w:ascii="Times New Roman" w:hAnsi="Times New Roman" w:eastAsia="仿宋" w:cs="Times New Roman"/>
          <w:color w:val="auto"/>
          <w:sz w:val="44"/>
          <w:szCs w:val="44"/>
        </w:rPr>
      </w:pPr>
    </w:p>
    <w:p w14:paraId="31ED1446">
      <w:pPr>
        <w:pStyle w:val="43"/>
        <w:rPr>
          <w:rFonts w:hint="default" w:ascii="Times New Roman" w:hAnsi="Times New Roman" w:eastAsia="仿宋" w:cs="Times New Roman"/>
          <w:color w:val="auto"/>
          <w:sz w:val="44"/>
          <w:szCs w:val="44"/>
        </w:rPr>
      </w:pPr>
    </w:p>
    <w:p w14:paraId="72857E35">
      <w:pPr>
        <w:pStyle w:val="43"/>
        <w:rPr>
          <w:rFonts w:hint="default" w:ascii="Times New Roman" w:hAnsi="Times New Roman" w:eastAsia="仿宋" w:cs="Times New Roman"/>
          <w:color w:val="auto"/>
          <w:sz w:val="44"/>
          <w:szCs w:val="44"/>
        </w:rPr>
      </w:pPr>
    </w:p>
    <w:p w14:paraId="0AACB8BB">
      <w:pPr>
        <w:keepNext w:val="0"/>
        <w:keepLines w:val="0"/>
        <w:pageBreakBefore w:val="0"/>
        <w:widowControl w:val="0"/>
        <w:kinsoku/>
        <w:wordWrap/>
        <w:overflowPunct/>
        <w:topLinePunct w:val="0"/>
        <w:autoSpaceDE/>
        <w:autoSpaceDN/>
        <w:bidi w:val="0"/>
        <w:adjustRightInd w:val="0"/>
        <w:snapToGrid w:val="0"/>
        <w:spacing w:line="360" w:lineRule="auto"/>
        <w:ind w:left="2518" w:leftChars="342" w:hanging="1800" w:hangingChars="500"/>
        <w:textAlignment w:val="auto"/>
        <w:rPr>
          <w:rFonts w:hint="default" w:ascii="Times New Roman" w:hAnsi="Times New Roman" w:eastAsia="仿宋_GB2312" w:cs="Times New Roman"/>
          <w:color w:val="auto"/>
          <w:sz w:val="36"/>
          <w:szCs w:val="36"/>
          <w:u w:val="single"/>
          <w:lang w:val="en-US" w:eastAsia="zh-CN"/>
        </w:rPr>
      </w:pPr>
      <w:r>
        <w:rPr>
          <w:rFonts w:hint="default" w:ascii="Times New Roman" w:hAnsi="Times New Roman" w:eastAsia="仿宋_GB2312" w:cs="Times New Roman"/>
          <w:color w:val="auto"/>
          <w:sz w:val="36"/>
          <w:szCs w:val="36"/>
        </w:rPr>
        <w:t>项目名称：</w:t>
      </w:r>
      <w:r>
        <w:rPr>
          <w:rFonts w:hint="default" w:ascii="Times New Roman" w:hAnsi="Times New Roman" w:eastAsia="仿宋_GB2312" w:cs="Times New Roman"/>
          <w:color w:val="auto"/>
          <w:sz w:val="36"/>
          <w:szCs w:val="36"/>
          <w:u w:val="single"/>
          <w:lang w:val="en-US" w:eastAsia="zh-CN"/>
        </w:rPr>
        <w:t>民用燃气和工业丙烷以及新型高性能切割气体生产项目</w:t>
      </w:r>
    </w:p>
    <w:p w14:paraId="5E795BEF">
      <w:pPr>
        <w:keepNext w:val="0"/>
        <w:keepLines w:val="0"/>
        <w:pageBreakBefore w:val="0"/>
        <w:widowControl w:val="0"/>
        <w:kinsoku/>
        <w:wordWrap/>
        <w:overflowPunct/>
        <w:topLinePunct w:val="0"/>
        <w:autoSpaceDE/>
        <w:autoSpaceDN/>
        <w:bidi w:val="0"/>
        <w:adjustRightInd w:val="0"/>
        <w:snapToGrid w:val="0"/>
        <w:spacing w:line="360" w:lineRule="auto"/>
        <w:ind w:left="3958" w:leftChars="342" w:hanging="3240" w:hangingChars="900"/>
        <w:textAlignment w:val="auto"/>
        <w:rPr>
          <w:rFonts w:hint="default" w:ascii="Times New Roman" w:hAnsi="Times New Roman" w:eastAsia="仿宋_GB2312" w:cs="Times New Roman"/>
          <w:color w:val="auto"/>
          <w:sz w:val="36"/>
          <w:szCs w:val="36"/>
          <w:u w:val="single"/>
          <w:lang w:val="en-US" w:eastAsia="zh-CN"/>
        </w:rPr>
      </w:pPr>
      <w:r>
        <w:rPr>
          <w:rFonts w:hint="default" w:ascii="Times New Roman" w:hAnsi="Times New Roman" w:eastAsia="仿宋_GB2312" w:cs="Times New Roman"/>
          <w:color w:val="auto"/>
          <w:sz w:val="36"/>
          <w:szCs w:val="36"/>
        </w:rPr>
        <w:t>建设单位（盖章）：</w:t>
      </w:r>
      <w:r>
        <w:rPr>
          <w:rFonts w:hint="default" w:ascii="Times New Roman" w:hAnsi="Times New Roman" w:eastAsia="仿宋_GB2312" w:cs="Times New Roman"/>
          <w:color w:val="auto"/>
          <w:sz w:val="36"/>
          <w:szCs w:val="36"/>
          <w:u w:val="single"/>
          <w:lang w:val="en-US" w:eastAsia="zh-CN"/>
        </w:rPr>
        <w:t>内蒙古东方神气科技有限责任公司</w:t>
      </w:r>
    </w:p>
    <w:p w14:paraId="58593F86">
      <w:pPr>
        <w:keepNext w:val="0"/>
        <w:keepLines w:val="0"/>
        <w:pageBreakBefore w:val="0"/>
        <w:widowControl w:val="0"/>
        <w:kinsoku/>
        <w:wordWrap/>
        <w:overflowPunct/>
        <w:topLinePunct w:val="0"/>
        <w:autoSpaceDE/>
        <w:autoSpaceDN/>
        <w:bidi w:val="0"/>
        <w:adjustRightInd w:val="0"/>
        <w:snapToGrid w:val="0"/>
        <w:spacing w:line="360" w:lineRule="auto"/>
        <w:ind w:firstLine="720" w:firstLineChars="200"/>
        <w:jc w:val="left"/>
        <w:textAlignment w:val="auto"/>
        <w:rPr>
          <w:rFonts w:hint="default" w:ascii="Times New Roman" w:hAnsi="Times New Roman" w:eastAsia="仿宋_GB2312" w:cs="Times New Roman"/>
          <w:color w:val="auto"/>
          <w:sz w:val="36"/>
          <w:szCs w:val="36"/>
          <w:u w:val="single"/>
        </w:rPr>
      </w:pPr>
      <w:r>
        <w:rPr>
          <w:rFonts w:hint="default" w:ascii="Times New Roman" w:hAnsi="Times New Roman" w:eastAsia="仿宋_GB2312" w:cs="Times New Roman"/>
          <w:color w:val="auto"/>
          <w:sz w:val="36"/>
          <w:szCs w:val="36"/>
        </w:rPr>
        <w:t>编制日期：</w:t>
      </w:r>
      <w:r>
        <w:rPr>
          <w:rFonts w:hint="default" w:ascii="Times New Roman" w:hAnsi="Times New Roman" w:eastAsia="仿宋_GB2312" w:cs="Times New Roman"/>
          <w:color w:val="auto"/>
          <w:sz w:val="36"/>
          <w:szCs w:val="36"/>
          <w:u w:val="single"/>
          <w:lang w:val="en-US" w:eastAsia="zh-CN"/>
        </w:rPr>
        <w:t>202</w:t>
      </w:r>
      <w:r>
        <w:rPr>
          <w:rFonts w:hint="eastAsia" w:eastAsia="仿宋_GB2312" w:cs="Times New Roman"/>
          <w:color w:val="auto"/>
          <w:sz w:val="36"/>
          <w:szCs w:val="36"/>
          <w:u w:val="single"/>
          <w:lang w:val="en-US" w:eastAsia="zh-CN"/>
        </w:rPr>
        <w:t>6</w:t>
      </w:r>
      <w:r>
        <w:rPr>
          <w:rFonts w:hint="default" w:ascii="Times New Roman" w:hAnsi="Times New Roman" w:eastAsia="仿宋_GB2312" w:cs="Times New Roman"/>
          <w:color w:val="auto"/>
          <w:sz w:val="36"/>
          <w:szCs w:val="36"/>
          <w:u w:val="single"/>
          <w:lang w:val="en-US" w:eastAsia="zh-CN"/>
        </w:rPr>
        <w:t>年</w:t>
      </w:r>
      <w:r>
        <w:rPr>
          <w:rFonts w:hint="eastAsia" w:eastAsia="仿宋_GB2312" w:cs="Times New Roman"/>
          <w:color w:val="auto"/>
          <w:sz w:val="36"/>
          <w:szCs w:val="36"/>
          <w:u w:val="single"/>
          <w:lang w:val="en-US" w:eastAsia="zh-CN"/>
        </w:rPr>
        <w:t>2</w:t>
      </w:r>
      <w:r>
        <w:rPr>
          <w:rFonts w:hint="default" w:ascii="Times New Roman" w:hAnsi="Times New Roman" w:eastAsia="仿宋_GB2312" w:cs="Times New Roman"/>
          <w:color w:val="auto"/>
          <w:sz w:val="36"/>
          <w:szCs w:val="36"/>
          <w:u w:val="single"/>
          <w:lang w:val="en-US" w:eastAsia="zh-CN"/>
        </w:rPr>
        <w:t>月</w:t>
      </w:r>
    </w:p>
    <w:p w14:paraId="6DFE1F38">
      <w:pPr>
        <w:adjustRightInd w:val="0"/>
        <w:snapToGrid w:val="0"/>
        <w:spacing w:line="288" w:lineRule="auto"/>
        <w:rPr>
          <w:rFonts w:hint="default" w:ascii="Times New Roman" w:hAnsi="Times New Roman" w:eastAsia="仿宋_GB2312" w:cs="Times New Roman"/>
          <w:color w:val="auto"/>
          <w:sz w:val="36"/>
          <w:szCs w:val="36"/>
        </w:rPr>
      </w:pPr>
      <w:bookmarkStart w:id="0" w:name="_Hlk57884087"/>
    </w:p>
    <w:bookmarkEnd w:id="0"/>
    <w:p w14:paraId="25FD228F">
      <w:pPr>
        <w:adjustRightInd w:val="0"/>
        <w:snapToGrid w:val="0"/>
        <w:spacing w:line="288" w:lineRule="auto"/>
        <w:jc w:val="center"/>
        <w:rPr>
          <w:rFonts w:hint="default" w:ascii="Times New Roman" w:hAnsi="Times New Roman" w:eastAsia="楷体_GB2312" w:cs="Times New Roman"/>
          <w:color w:val="auto"/>
          <w:sz w:val="36"/>
          <w:szCs w:val="36"/>
        </w:rPr>
      </w:pPr>
    </w:p>
    <w:p w14:paraId="384129BA">
      <w:pPr>
        <w:adjustRightInd w:val="0"/>
        <w:snapToGrid w:val="0"/>
        <w:spacing w:line="288" w:lineRule="auto"/>
        <w:jc w:val="center"/>
        <w:rPr>
          <w:rFonts w:hint="default" w:ascii="Times New Roman" w:hAnsi="Times New Roman" w:eastAsia="楷体_GB2312" w:cs="Times New Roman"/>
          <w:color w:val="auto"/>
          <w:sz w:val="36"/>
          <w:szCs w:val="36"/>
        </w:rPr>
      </w:pPr>
      <w:r>
        <w:rPr>
          <w:rFonts w:hint="default" w:ascii="Times New Roman" w:hAnsi="Times New Roman" w:eastAsia="楷体_GB2312" w:cs="Times New Roman"/>
          <w:color w:val="auto"/>
          <w:sz w:val="36"/>
          <w:szCs w:val="36"/>
        </w:rPr>
        <w:t>中华人民共和国生态环境部制</w:t>
      </w:r>
    </w:p>
    <w:p w14:paraId="493B3DFE">
      <w:pPr>
        <w:keepLines w:val="0"/>
        <w:pageBreakBefore w:val="0"/>
        <w:widowControl w:val="0"/>
        <w:kinsoku/>
        <w:wordWrap/>
        <w:topLinePunct w:val="0"/>
        <w:autoSpaceDE/>
        <w:autoSpaceDN/>
        <w:bidi w:val="0"/>
        <w:snapToGrid w:val="0"/>
        <w:textAlignment w:val="auto"/>
        <w:outlineLvl w:val="9"/>
        <w:rPr>
          <w:rFonts w:hint="default" w:ascii="Times New Roman" w:hAnsi="Times New Roman" w:cs="Times New Roman"/>
          <w:color w:val="auto"/>
        </w:rPr>
      </w:pPr>
    </w:p>
    <w:p w14:paraId="6012F6AF">
      <w:pPr>
        <w:autoSpaceDE w:val="0"/>
        <w:autoSpaceDN w:val="0"/>
        <w:adjustRightInd w:val="0"/>
        <w:snapToGrid w:val="0"/>
        <w:jc w:val="center"/>
        <w:rPr>
          <w:rFonts w:hint="default" w:ascii="Times New Roman" w:hAnsi="Times New Roman" w:eastAsia="宋体" w:cs="Times New Roman"/>
          <w:color w:val="auto"/>
          <w:kern w:val="0"/>
          <w:sz w:val="24"/>
          <w:szCs w:val="24"/>
          <w:lang w:val="en-US" w:eastAsia="zh-CN"/>
        </w:rPr>
      </w:pPr>
    </w:p>
    <w:p w14:paraId="6AE935D2">
      <w:pPr>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br w:type="page"/>
      </w:r>
    </w:p>
    <w:p w14:paraId="2B121792">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一、建设项目基本情况</w:t>
      </w: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011"/>
        <w:gridCol w:w="2651"/>
        <w:gridCol w:w="1412"/>
        <w:gridCol w:w="3626"/>
      </w:tblGrid>
      <w:tr w14:paraId="0CD83F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1" w:type="dxa"/>
            <w:noWrap w:val="0"/>
            <w:tcMar>
              <w:top w:w="16" w:type="dxa"/>
              <w:left w:w="16" w:type="dxa"/>
              <w:right w:w="16" w:type="dxa"/>
            </w:tcMar>
            <w:vAlign w:val="center"/>
          </w:tcPr>
          <w:p w14:paraId="7790FA9E">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建设项目名称</w:t>
            </w:r>
          </w:p>
        </w:tc>
        <w:tc>
          <w:tcPr>
            <w:tcW w:w="7689" w:type="dxa"/>
            <w:gridSpan w:val="3"/>
            <w:noWrap w:val="0"/>
            <w:vAlign w:val="center"/>
          </w:tcPr>
          <w:p w14:paraId="69D7F5B7">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民用燃气和工业丙烷以及新型高性能切割气体生产项目</w:t>
            </w:r>
          </w:p>
        </w:tc>
      </w:tr>
      <w:tr w14:paraId="33D535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1" w:type="dxa"/>
            <w:noWrap w:val="0"/>
            <w:tcMar>
              <w:top w:w="16" w:type="dxa"/>
              <w:left w:w="16" w:type="dxa"/>
              <w:right w:w="16" w:type="dxa"/>
            </w:tcMar>
            <w:vAlign w:val="center"/>
          </w:tcPr>
          <w:p w14:paraId="1E736E00">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项目代码</w:t>
            </w:r>
          </w:p>
        </w:tc>
        <w:tc>
          <w:tcPr>
            <w:tcW w:w="7689" w:type="dxa"/>
            <w:gridSpan w:val="3"/>
            <w:noWrap w:val="0"/>
            <w:vAlign w:val="center"/>
          </w:tcPr>
          <w:p w14:paraId="777CC09A">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color w:val="auto"/>
                <w:sz w:val="24"/>
                <w:szCs w:val="24"/>
                <w:shd w:val="clear" w:color="auto" w:fill="auto"/>
                <w:lang w:val="en-US" w:eastAsia="zh-CN"/>
              </w:rPr>
            </w:pPr>
            <w:r>
              <w:rPr>
                <w:rFonts w:hint="default" w:ascii="Times New Roman" w:hAnsi="Times New Roman" w:eastAsia="宋体" w:cs="Times New Roman"/>
                <w:color w:val="auto"/>
                <w:sz w:val="24"/>
                <w:szCs w:val="24"/>
                <w:shd w:val="clear" w:color="auto" w:fill="auto"/>
                <w:lang w:val="en-US" w:eastAsia="zh-CN"/>
              </w:rPr>
              <w:t>2509-150207-04-01-346671</w:t>
            </w:r>
          </w:p>
        </w:tc>
      </w:tr>
      <w:tr w14:paraId="76CB94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1" w:type="dxa"/>
            <w:noWrap w:val="0"/>
            <w:tcMar>
              <w:top w:w="16" w:type="dxa"/>
              <w:left w:w="16" w:type="dxa"/>
              <w:right w:w="16" w:type="dxa"/>
            </w:tcMar>
            <w:vAlign w:val="center"/>
          </w:tcPr>
          <w:p w14:paraId="50D6024D">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建设单位联系人</w:t>
            </w:r>
          </w:p>
        </w:tc>
        <w:tc>
          <w:tcPr>
            <w:tcW w:w="2651" w:type="dxa"/>
            <w:noWrap w:val="0"/>
            <w:vAlign w:val="center"/>
          </w:tcPr>
          <w:p w14:paraId="11DC56DE">
            <w:pPr>
              <w:adjustRightInd w:val="0"/>
              <w:snapToGrid w:val="0"/>
              <w:jc w:val="center"/>
              <w:rPr>
                <w:rFonts w:hint="default" w:ascii="Times New Roman" w:hAnsi="Times New Roman" w:eastAsia="宋体" w:cs="Times New Roman"/>
                <w:color w:val="auto"/>
                <w:sz w:val="24"/>
                <w:szCs w:val="24"/>
                <w:highlight w:val="none"/>
                <w:shd w:val="clear" w:color="auto" w:fill="auto"/>
                <w:lang w:eastAsia="zh-CN"/>
              </w:rPr>
            </w:pPr>
            <w:r>
              <w:rPr>
                <w:rFonts w:hint="default" w:ascii="Times New Roman" w:hAnsi="Times New Roman" w:eastAsia="宋体" w:cs="Times New Roman"/>
                <w:color w:val="auto"/>
                <w:sz w:val="24"/>
                <w:szCs w:val="24"/>
                <w:highlight w:val="none"/>
                <w:shd w:val="clear" w:color="auto" w:fill="auto"/>
                <w:lang w:eastAsia="zh-CN"/>
              </w:rPr>
              <w:t>薛金国</w:t>
            </w:r>
          </w:p>
        </w:tc>
        <w:tc>
          <w:tcPr>
            <w:tcW w:w="1412" w:type="dxa"/>
            <w:noWrap w:val="0"/>
            <w:vAlign w:val="center"/>
          </w:tcPr>
          <w:p w14:paraId="7474A968">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联系方式</w:t>
            </w:r>
          </w:p>
        </w:tc>
        <w:tc>
          <w:tcPr>
            <w:tcW w:w="3626" w:type="dxa"/>
            <w:noWrap w:val="0"/>
            <w:vAlign w:val="center"/>
          </w:tcPr>
          <w:p w14:paraId="226AE08B">
            <w:pPr>
              <w:adjustRightInd w:val="0"/>
              <w:snapToGrid w:val="0"/>
              <w:jc w:val="center"/>
              <w:rPr>
                <w:rFonts w:hint="default" w:ascii="Times New Roman" w:hAnsi="Times New Roman" w:eastAsia="宋体" w:cs="Times New Roman"/>
                <w:color w:val="auto"/>
                <w:sz w:val="24"/>
                <w:szCs w:val="24"/>
                <w:highlight w:val="none"/>
                <w:shd w:val="clear" w:color="auto" w:fill="auto"/>
                <w:lang w:val="en-US"/>
              </w:rPr>
            </w:pPr>
            <w:r>
              <w:rPr>
                <w:rFonts w:hint="default" w:ascii="Times New Roman" w:hAnsi="Times New Roman" w:eastAsia="宋体" w:cs="Times New Roman"/>
                <w:color w:val="auto"/>
                <w:sz w:val="24"/>
                <w:szCs w:val="24"/>
                <w:shd w:val="clear" w:color="auto" w:fill="auto"/>
                <w:lang w:val="en-US" w:eastAsia="zh-CN"/>
              </w:rPr>
              <w:t>15174968398</w:t>
            </w:r>
          </w:p>
        </w:tc>
      </w:tr>
      <w:tr w14:paraId="0F349D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1" w:type="dxa"/>
            <w:noWrap w:val="0"/>
            <w:tcMar>
              <w:top w:w="16" w:type="dxa"/>
              <w:left w:w="16" w:type="dxa"/>
              <w:right w:w="16" w:type="dxa"/>
            </w:tcMar>
            <w:vAlign w:val="center"/>
          </w:tcPr>
          <w:p w14:paraId="79EEF226">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建设地点</w:t>
            </w:r>
          </w:p>
        </w:tc>
        <w:tc>
          <w:tcPr>
            <w:tcW w:w="7689" w:type="dxa"/>
            <w:gridSpan w:val="3"/>
            <w:noWrap w:val="0"/>
            <w:vAlign w:val="center"/>
          </w:tcPr>
          <w:p w14:paraId="4B1BCE25">
            <w:pPr>
              <w:adjustRightInd w:val="0"/>
              <w:snapToGrid w:val="0"/>
              <w:jc w:val="center"/>
              <w:rPr>
                <w:rFonts w:hint="default" w:ascii="Times New Roman" w:hAnsi="Times New Roman" w:eastAsia="宋体" w:cs="Times New Roman"/>
                <w:color w:val="auto"/>
                <w:sz w:val="24"/>
                <w:szCs w:val="24"/>
                <w:shd w:val="clear" w:color="auto" w:fill="auto"/>
                <w:lang w:val="en-US" w:eastAsia="zh-CN"/>
              </w:rPr>
            </w:pPr>
            <w:r>
              <w:rPr>
                <w:rFonts w:hint="default" w:ascii="Times New Roman" w:hAnsi="Times New Roman" w:eastAsia="宋体" w:cs="Times New Roman"/>
                <w:color w:val="auto"/>
                <w:sz w:val="24"/>
                <w:szCs w:val="24"/>
                <w:shd w:val="clear" w:color="auto" w:fill="auto"/>
                <w:lang w:val="en-US" w:eastAsia="zh-CN"/>
              </w:rPr>
              <w:t>内蒙古包头新材料产业园区新型化工与高分子新材料产业区</w:t>
            </w:r>
            <w:bookmarkStart w:id="33" w:name="_GoBack"/>
            <w:bookmarkEnd w:id="33"/>
          </w:p>
        </w:tc>
      </w:tr>
      <w:tr w14:paraId="1EC49D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011" w:type="dxa"/>
            <w:noWrap w:val="0"/>
            <w:tcMar>
              <w:top w:w="16" w:type="dxa"/>
              <w:left w:w="16" w:type="dxa"/>
              <w:right w:w="16" w:type="dxa"/>
            </w:tcMar>
            <w:vAlign w:val="center"/>
          </w:tcPr>
          <w:p w14:paraId="4A749371">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地理坐标</w:t>
            </w:r>
          </w:p>
        </w:tc>
        <w:tc>
          <w:tcPr>
            <w:tcW w:w="7689" w:type="dxa"/>
            <w:gridSpan w:val="3"/>
            <w:noWrap w:val="0"/>
            <w:vAlign w:val="center"/>
          </w:tcPr>
          <w:p w14:paraId="3BC465A4">
            <w:pPr>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w:t>
            </w:r>
            <w:r>
              <w:rPr>
                <w:rFonts w:hint="default" w:ascii="Times New Roman" w:hAnsi="Times New Roman" w:eastAsia="宋体" w:cs="Times New Roman"/>
                <w:color w:val="auto"/>
                <w:sz w:val="24"/>
                <w:szCs w:val="24"/>
                <w:highlight w:val="none"/>
                <w:shd w:val="clear" w:color="auto" w:fill="auto"/>
                <w:lang w:val="en-US" w:eastAsia="zh-CN"/>
              </w:rPr>
              <w:t>东经：</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u w:val="single"/>
                <w:shd w:val="clear" w:color="auto" w:fill="auto"/>
                <w:lang w:val="en-US" w:eastAsia="zh-CN"/>
              </w:rPr>
              <w:t>110</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shd w:val="clear" w:color="auto" w:fill="auto"/>
              </w:rPr>
              <w:t>度</w:t>
            </w:r>
            <w:r>
              <w:rPr>
                <w:rFonts w:hint="default" w:ascii="Times New Roman" w:hAnsi="Times New Roman" w:eastAsia="宋体" w:cs="Times New Roman"/>
                <w:color w:val="auto"/>
                <w:sz w:val="24"/>
                <w:szCs w:val="24"/>
                <w:highlight w:val="none"/>
                <w:u w:val="single"/>
                <w:shd w:val="clear" w:color="auto" w:fill="auto"/>
                <w:lang w:val="en-US" w:eastAsia="zh-CN"/>
              </w:rPr>
              <w:t>39</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shd w:val="clear" w:color="auto" w:fill="auto"/>
              </w:rPr>
              <w:t>分</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u w:val="single"/>
                <w:shd w:val="clear" w:color="auto" w:fill="auto"/>
                <w:lang w:val="en-US" w:eastAsia="zh-CN"/>
              </w:rPr>
              <w:t>2.819</w:t>
            </w:r>
            <w:r>
              <w:rPr>
                <w:rFonts w:hint="default" w:ascii="Times New Roman" w:hAnsi="Times New Roman" w:eastAsia="宋体" w:cs="Times New Roman"/>
                <w:color w:val="auto"/>
                <w:sz w:val="24"/>
                <w:szCs w:val="24"/>
                <w:highlight w:val="none"/>
                <w:shd w:val="clear" w:color="auto" w:fill="auto"/>
              </w:rPr>
              <w:t>秒，</w:t>
            </w:r>
            <w:r>
              <w:rPr>
                <w:rFonts w:hint="default" w:ascii="Times New Roman" w:hAnsi="Times New Roman" w:eastAsia="宋体" w:cs="Times New Roman"/>
                <w:color w:val="auto"/>
                <w:sz w:val="24"/>
                <w:szCs w:val="24"/>
                <w:highlight w:val="none"/>
                <w:shd w:val="clear" w:color="auto" w:fill="auto"/>
                <w:lang w:val="en-US" w:eastAsia="zh-CN"/>
              </w:rPr>
              <w:t>北纬：</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u w:val="single"/>
                <w:shd w:val="clear" w:color="auto" w:fill="auto"/>
                <w:lang w:val="en-US" w:eastAsia="zh-CN"/>
              </w:rPr>
              <w:t>40</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shd w:val="clear" w:color="auto" w:fill="auto"/>
              </w:rPr>
              <w:t>度</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u w:val="single"/>
                <w:shd w:val="clear" w:color="auto" w:fill="auto"/>
                <w:lang w:val="en-US" w:eastAsia="zh-CN"/>
              </w:rPr>
              <w:t>34</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shd w:val="clear" w:color="auto" w:fill="auto"/>
              </w:rPr>
              <w:t>分</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u w:val="single"/>
                <w:shd w:val="clear" w:color="auto" w:fill="auto"/>
                <w:lang w:val="en-US" w:eastAsia="zh-CN"/>
              </w:rPr>
              <w:t>55.892</w:t>
            </w:r>
            <w:r>
              <w:rPr>
                <w:rFonts w:hint="default" w:ascii="Times New Roman" w:hAnsi="Times New Roman" w:eastAsia="宋体" w:cs="Times New Roman"/>
                <w:color w:val="auto"/>
                <w:sz w:val="24"/>
                <w:szCs w:val="24"/>
                <w:highlight w:val="none"/>
                <w:u w:val="single"/>
                <w:shd w:val="clear" w:color="auto" w:fill="auto"/>
              </w:rPr>
              <w:t xml:space="preserve"> </w:t>
            </w:r>
            <w:r>
              <w:rPr>
                <w:rFonts w:hint="default" w:ascii="Times New Roman" w:hAnsi="Times New Roman" w:eastAsia="宋体" w:cs="Times New Roman"/>
                <w:color w:val="auto"/>
                <w:sz w:val="24"/>
                <w:szCs w:val="24"/>
                <w:highlight w:val="none"/>
                <w:shd w:val="clear" w:color="auto" w:fill="auto"/>
              </w:rPr>
              <w:t>秒）</w:t>
            </w:r>
          </w:p>
        </w:tc>
      </w:tr>
      <w:tr w14:paraId="5C8E7B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73" w:hRule="atLeast"/>
          <w:jc w:val="center"/>
        </w:trPr>
        <w:tc>
          <w:tcPr>
            <w:tcW w:w="1011" w:type="dxa"/>
            <w:noWrap w:val="0"/>
            <w:tcMar>
              <w:top w:w="16" w:type="dxa"/>
              <w:left w:w="16" w:type="dxa"/>
              <w:right w:w="16" w:type="dxa"/>
            </w:tcMar>
            <w:vAlign w:val="center"/>
          </w:tcPr>
          <w:p w14:paraId="7E8E7384">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国民经济行业类别</w:t>
            </w:r>
          </w:p>
        </w:tc>
        <w:tc>
          <w:tcPr>
            <w:tcW w:w="2651" w:type="dxa"/>
            <w:noWrap w:val="0"/>
            <w:vAlign w:val="center"/>
          </w:tcPr>
          <w:p w14:paraId="250F320E">
            <w:pPr>
              <w:autoSpaceDE w:val="0"/>
              <w:autoSpaceDN w:val="0"/>
              <w:adjustRightInd w:val="0"/>
              <w:spacing w:line="276" w:lineRule="auto"/>
              <w:jc w:val="center"/>
              <w:rPr>
                <w:rFonts w:hint="default" w:ascii="Times New Roman" w:hAnsi="Times New Roman" w:eastAsia="宋体" w:cs="Times New Roman"/>
                <w:color w:val="0000FF"/>
                <w:sz w:val="24"/>
                <w:szCs w:val="24"/>
                <w:shd w:val="clear" w:color="auto" w:fill="auto"/>
                <w:lang w:val="en-US" w:eastAsia="zh-CN"/>
              </w:rPr>
            </w:pPr>
            <w:r>
              <w:rPr>
                <w:rFonts w:hint="default" w:ascii="Times New Roman" w:hAnsi="Times New Roman" w:cs="Times New Roman"/>
                <w:color w:val="0000FF"/>
                <w:sz w:val="24"/>
                <w:szCs w:val="24"/>
                <w:shd w:val="clear" w:color="auto" w:fill="auto"/>
                <w:lang w:val="en-US" w:eastAsia="zh-CN"/>
              </w:rPr>
              <w:t>C2619其他基础化学原料制造</w:t>
            </w:r>
          </w:p>
          <w:p w14:paraId="0CBD8D40">
            <w:pPr>
              <w:autoSpaceDE w:val="0"/>
              <w:autoSpaceDN w:val="0"/>
              <w:adjustRightInd w:val="0"/>
              <w:spacing w:line="276" w:lineRule="auto"/>
              <w:jc w:val="center"/>
              <w:rPr>
                <w:rFonts w:hint="default" w:ascii="Times New Roman" w:hAnsi="Times New Roman" w:cs="Times New Roman"/>
                <w:lang w:val="en-US"/>
              </w:rPr>
            </w:pPr>
            <w:r>
              <w:rPr>
                <w:rFonts w:hint="default" w:ascii="Times New Roman" w:hAnsi="Times New Roman" w:eastAsia="宋体" w:cs="Times New Roman"/>
                <w:color w:val="0000FF"/>
                <w:sz w:val="24"/>
                <w:szCs w:val="24"/>
                <w:shd w:val="clear" w:color="auto" w:fill="auto"/>
                <w:lang w:val="en-US" w:eastAsia="zh-CN"/>
              </w:rPr>
              <w:t>G5941油气仓储</w:t>
            </w:r>
          </w:p>
        </w:tc>
        <w:tc>
          <w:tcPr>
            <w:tcW w:w="1412" w:type="dxa"/>
            <w:noWrap w:val="0"/>
            <w:vAlign w:val="center"/>
          </w:tcPr>
          <w:p w14:paraId="2A60A56B">
            <w:pPr>
              <w:autoSpaceDE w:val="0"/>
              <w:autoSpaceDN w:val="0"/>
              <w:adjustRightInd w:val="0"/>
              <w:spacing w:line="276" w:lineRule="auto"/>
              <w:jc w:val="center"/>
              <w:rPr>
                <w:rFonts w:hint="default" w:ascii="Times New Roman" w:hAnsi="Times New Roman" w:eastAsia="宋体" w:cs="Times New Roman"/>
                <w:color w:val="auto"/>
                <w:sz w:val="24"/>
                <w:szCs w:val="24"/>
                <w:shd w:val="clear" w:color="auto" w:fill="auto"/>
                <w:lang w:val="en-US" w:eastAsia="zh-CN"/>
              </w:rPr>
            </w:pPr>
            <w:bookmarkStart w:id="1" w:name="_Hlk49843745"/>
            <w:r>
              <w:rPr>
                <w:rFonts w:hint="default" w:ascii="Times New Roman" w:hAnsi="Times New Roman" w:eastAsia="宋体" w:cs="Times New Roman"/>
                <w:color w:val="auto"/>
                <w:sz w:val="24"/>
                <w:szCs w:val="24"/>
                <w:shd w:val="clear" w:color="auto" w:fill="auto"/>
                <w:lang w:val="en-US" w:eastAsia="zh-CN"/>
              </w:rPr>
              <w:t>建设项目</w:t>
            </w:r>
          </w:p>
          <w:p w14:paraId="2D9EF858">
            <w:pPr>
              <w:autoSpaceDE w:val="0"/>
              <w:autoSpaceDN w:val="0"/>
              <w:adjustRightInd w:val="0"/>
              <w:spacing w:line="276" w:lineRule="auto"/>
              <w:jc w:val="center"/>
              <w:rPr>
                <w:rFonts w:hint="default" w:ascii="Times New Roman" w:hAnsi="Times New Roman" w:eastAsia="宋体" w:cs="Times New Roman"/>
                <w:color w:val="auto"/>
                <w:sz w:val="24"/>
                <w:szCs w:val="24"/>
                <w:shd w:val="clear" w:color="auto" w:fill="auto"/>
                <w:lang w:val="en-US" w:eastAsia="zh-CN"/>
              </w:rPr>
            </w:pPr>
            <w:r>
              <w:rPr>
                <w:rFonts w:hint="default" w:ascii="Times New Roman" w:hAnsi="Times New Roman" w:eastAsia="宋体" w:cs="Times New Roman"/>
                <w:color w:val="auto"/>
                <w:sz w:val="24"/>
                <w:szCs w:val="24"/>
                <w:shd w:val="clear" w:color="auto" w:fill="auto"/>
                <w:lang w:val="en-US" w:eastAsia="zh-CN"/>
              </w:rPr>
              <w:t>行业类别</w:t>
            </w:r>
            <w:bookmarkEnd w:id="1"/>
          </w:p>
        </w:tc>
        <w:tc>
          <w:tcPr>
            <w:tcW w:w="3626" w:type="dxa"/>
            <w:noWrap w:val="0"/>
            <w:vAlign w:val="center"/>
          </w:tcPr>
          <w:p w14:paraId="60A43B3E">
            <w:pPr>
              <w:autoSpaceDE w:val="0"/>
              <w:autoSpaceDN w:val="0"/>
              <w:adjustRightInd w:val="0"/>
              <w:spacing w:line="276" w:lineRule="auto"/>
              <w:jc w:val="both"/>
              <w:rPr>
                <w:rFonts w:hint="default" w:ascii="Times New Roman" w:hAnsi="Times New Roman" w:cs="Times New Roman"/>
                <w:lang w:val="en-US" w:eastAsia="zh-CN"/>
              </w:rPr>
            </w:pPr>
            <w:r>
              <w:rPr>
                <w:rFonts w:hint="default" w:ascii="Times New Roman" w:hAnsi="Times New Roman" w:cs="Times New Roman"/>
                <w:color w:val="0000FF"/>
                <w:sz w:val="24"/>
                <w:szCs w:val="24"/>
                <w:shd w:val="clear" w:color="auto" w:fill="auto"/>
                <w:lang w:val="en-US" w:eastAsia="zh-CN"/>
              </w:rPr>
              <w:t>二十三、化学原料和化学制品制造业-44基础化学原料制造-单纯物理分离、物理提纯、混合、分装的（不产生废水或挥发性有机物的除外）；</w:t>
            </w:r>
            <w:r>
              <w:rPr>
                <w:rFonts w:hint="default" w:ascii="Times New Roman" w:hAnsi="Times New Roman" w:eastAsia="宋体" w:cs="Times New Roman"/>
                <w:color w:val="0000FF"/>
                <w:sz w:val="24"/>
                <w:szCs w:val="24"/>
                <w:shd w:val="clear" w:color="auto" w:fill="auto"/>
                <w:lang w:val="en-US" w:eastAsia="zh-CN"/>
              </w:rPr>
              <w:t>五十三、装卸搬运和仓储业 59”中“危险品仓储594（不含加油站的油库；不含加气站的气库）-其他（含有毒、有害、危险品的仓储；含液化天然气库）</w:t>
            </w:r>
          </w:p>
        </w:tc>
      </w:tr>
      <w:tr w14:paraId="33F40E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011" w:type="dxa"/>
            <w:noWrap w:val="0"/>
            <w:tcMar>
              <w:top w:w="16" w:type="dxa"/>
              <w:left w:w="16" w:type="dxa"/>
              <w:right w:w="16" w:type="dxa"/>
            </w:tcMar>
            <w:vAlign w:val="center"/>
          </w:tcPr>
          <w:p w14:paraId="58438393">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建设性质</w:t>
            </w:r>
          </w:p>
        </w:tc>
        <w:tc>
          <w:tcPr>
            <w:tcW w:w="2651" w:type="dxa"/>
            <w:noWrap w:val="0"/>
            <w:vAlign w:val="center"/>
          </w:tcPr>
          <w:p w14:paraId="6E1AC4DA">
            <w:pPr>
              <w:jc w:val="left"/>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lang w:eastAsia="zh-CN"/>
              </w:rPr>
              <w:t>☑</w:t>
            </w:r>
            <w:r>
              <w:rPr>
                <w:rFonts w:hint="default" w:ascii="Times New Roman" w:hAnsi="Times New Roman" w:eastAsia="宋体" w:cs="Times New Roman"/>
                <w:color w:val="auto"/>
                <w:sz w:val="24"/>
                <w:szCs w:val="24"/>
                <w:shd w:val="clear" w:color="auto" w:fill="auto"/>
              </w:rPr>
              <w:t>新建（迁建）</w:t>
            </w:r>
          </w:p>
          <w:p w14:paraId="176E69A8">
            <w:pPr>
              <w:jc w:val="left"/>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lang w:eastAsia="zh-CN"/>
              </w:rPr>
              <w:t>□</w:t>
            </w:r>
            <w:r>
              <w:rPr>
                <w:rFonts w:hint="default" w:ascii="Times New Roman" w:hAnsi="Times New Roman" w:eastAsia="宋体" w:cs="Times New Roman"/>
                <w:color w:val="auto"/>
                <w:sz w:val="24"/>
                <w:szCs w:val="24"/>
                <w:shd w:val="clear" w:color="auto" w:fill="auto"/>
              </w:rPr>
              <w:t>改建</w:t>
            </w:r>
          </w:p>
          <w:p w14:paraId="19F3C002">
            <w:pPr>
              <w:jc w:val="left"/>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lang w:eastAsia="zh-CN"/>
              </w:rPr>
              <w:t>□</w:t>
            </w:r>
            <w:r>
              <w:rPr>
                <w:rFonts w:hint="default" w:ascii="Times New Roman" w:hAnsi="Times New Roman" w:eastAsia="宋体" w:cs="Times New Roman"/>
                <w:color w:val="auto"/>
                <w:sz w:val="24"/>
                <w:szCs w:val="24"/>
                <w:shd w:val="clear" w:color="auto" w:fill="auto"/>
              </w:rPr>
              <w:t>扩建</w:t>
            </w:r>
          </w:p>
          <w:p w14:paraId="2E531192">
            <w:pPr>
              <w:jc w:val="left"/>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lang w:eastAsia="zh-CN"/>
              </w:rPr>
              <w:t>□</w:t>
            </w:r>
            <w:r>
              <w:rPr>
                <w:rFonts w:hint="default" w:ascii="Times New Roman" w:hAnsi="Times New Roman" w:eastAsia="宋体" w:cs="Times New Roman"/>
                <w:color w:val="auto"/>
                <w:sz w:val="24"/>
                <w:szCs w:val="24"/>
                <w:shd w:val="clear" w:color="auto" w:fill="auto"/>
              </w:rPr>
              <w:t>技术改造</w:t>
            </w:r>
          </w:p>
        </w:tc>
        <w:tc>
          <w:tcPr>
            <w:tcW w:w="1412" w:type="dxa"/>
            <w:noWrap w:val="0"/>
            <w:vAlign w:val="center"/>
          </w:tcPr>
          <w:p w14:paraId="5C3BFE03">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建设项目</w:t>
            </w:r>
          </w:p>
          <w:p w14:paraId="3E9C4FC7">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申报情形</w:t>
            </w:r>
          </w:p>
        </w:tc>
        <w:tc>
          <w:tcPr>
            <w:tcW w:w="3626" w:type="dxa"/>
            <w:noWrap w:val="0"/>
            <w:vAlign w:val="center"/>
          </w:tcPr>
          <w:p w14:paraId="368E398A">
            <w:pPr>
              <w:jc w:val="left"/>
              <w:rPr>
                <w:rFonts w:hint="default" w:ascii="Times New Roman" w:hAnsi="Times New Roman" w:eastAsia="宋体" w:cs="Times New Roman"/>
                <w:color w:val="0000FF"/>
                <w:sz w:val="24"/>
                <w:szCs w:val="24"/>
                <w:shd w:val="clear" w:color="auto" w:fill="auto"/>
              </w:rPr>
            </w:pPr>
            <w:r>
              <w:rPr>
                <w:rFonts w:hint="eastAsia" w:cs="Times New Roman"/>
                <w:color w:val="0000FF"/>
                <w:sz w:val="24"/>
                <w:szCs w:val="24"/>
                <w:shd w:val="clear" w:color="auto" w:fill="auto"/>
                <w:lang w:eastAsia="zh-CN"/>
              </w:rPr>
              <w:t>□</w:t>
            </w:r>
            <w:r>
              <w:rPr>
                <w:rFonts w:hint="default" w:ascii="Times New Roman" w:hAnsi="Times New Roman" w:eastAsia="宋体" w:cs="Times New Roman"/>
                <w:color w:val="0000FF"/>
                <w:sz w:val="24"/>
                <w:szCs w:val="24"/>
                <w:shd w:val="clear" w:color="auto" w:fill="auto"/>
              </w:rPr>
              <w:t xml:space="preserve">首次申报项目             </w:t>
            </w:r>
          </w:p>
          <w:p w14:paraId="462A66BB">
            <w:pPr>
              <w:jc w:val="left"/>
              <w:rPr>
                <w:rFonts w:hint="default" w:ascii="Times New Roman" w:hAnsi="Times New Roman" w:eastAsia="宋体" w:cs="Times New Roman"/>
                <w:color w:val="0000FF"/>
                <w:sz w:val="24"/>
                <w:szCs w:val="24"/>
                <w:shd w:val="clear" w:color="auto" w:fill="auto"/>
              </w:rPr>
            </w:pPr>
            <w:r>
              <w:rPr>
                <w:rFonts w:hint="eastAsia" w:cs="Times New Roman"/>
                <w:color w:val="0000FF"/>
                <w:sz w:val="24"/>
                <w:szCs w:val="24"/>
                <w:shd w:val="clear" w:color="auto" w:fill="auto"/>
                <w:lang w:eastAsia="zh-CN"/>
              </w:rPr>
              <w:t>□</w:t>
            </w:r>
            <w:r>
              <w:rPr>
                <w:rFonts w:hint="default" w:ascii="Times New Roman" w:hAnsi="Times New Roman" w:eastAsia="宋体" w:cs="Times New Roman"/>
                <w:color w:val="0000FF"/>
                <w:sz w:val="24"/>
                <w:szCs w:val="24"/>
                <w:shd w:val="clear" w:color="auto" w:fill="auto"/>
              </w:rPr>
              <w:t>不予批准后再次申报项目</w:t>
            </w:r>
          </w:p>
          <w:p w14:paraId="7DFFAD83">
            <w:pPr>
              <w:jc w:val="left"/>
              <w:rPr>
                <w:rFonts w:hint="default" w:ascii="Times New Roman" w:hAnsi="Times New Roman" w:eastAsia="宋体" w:cs="Times New Roman"/>
                <w:color w:val="0000FF"/>
                <w:sz w:val="24"/>
                <w:szCs w:val="24"/>
                <w:shd w:val="clear" w:color="auto" w:fill="auto"/>
              </w:rPr>
            </w:pPr>
            <w:r>
              <w:rPr>
                <w:rFonts w:hint="eastAsia" w:cs="Times New Roman"/>
                <w:color w:val="0000FF"/>
                <w:sz w:val="24"/>
                <w:szCs w:val="24"/>
                <w:shd w:val="clear" w:color="auto" w:fill="auto"/>
                <w:lang w:eastAsia="zh-CN"/>
              </w:rPr>
              <w:t>□</w:t>
            </w:r>
            <w:r>
              <w:rPr>
                <w:rFonts w:hint="default" w:ascii="Times New Roman" w:hAnsi="Times New Roman" w:eastAsia="宋体" w:cs="Times New Roman"/>
                <w:color w:val="0000FF"/>
                <w:sz w:val="24"/>
                <w:szCs w:val="24"/>
                <w:shd w:val="clear" w:color="auto" w:fill="auto"/>
              </w:rPr>
              <w:t xml:space="preserve">超五年重新审核项目     </w:t>
            </w:r>
          </w:p>
          <w:p w14:paraId="421465E3">
            <w:pPr>
              <w:jc w:val="left"/>
              <w:rPr>
                <w:rFonts w:hint="default" w:ascii="Times New Roman" w:hAnsi="Times New Roman" w:eastAsia="宋体" w:cs="Times New Roman"/>
                <w:color w:val="auto"/>
                <w:sz w:val="24"/>
                <w:szCs w:val="24"/>
                <w:shd w:val="clear" w:color="auto" w:fill="auto"/>
              </w:rPr>
            </w:pPr>
            <w:r>
              <w:rPr>
                <w:rFonts w:hint="eastAsia" w:cs="Times New Roman"/>
                <w:color w:val="0000FF"/>
                <w:sz w:val="24"/>
                <w:szCs w:val="24"/>
                <w:shd w:val="clear" w:color="auto" w:fill="auto"/>
                <w:lang w:eastAsia="zh-CN"/>
              </w:rPr>
              <w:t>☑</w:t>
            </w:r>
            <w:r>
              <w:rPr>
                <w:rFonts w:hint="default" w:ascii="Times New Roman" w:hAnsi="Times New Roman" w:eastAsia="宋体" w:cs="Times New Roman"/>
                <w:color w:val="0000FF"/>
                <w:sz w:val="24"/>
                <w:szCs w:val="24"/>
                <w:shd w:val="clear" w:color="auto" w:fill="auto"/>
              </w:rPr>
              <w:t>重大变动重新报批项目</w:t>
            </w:r>
          </w:p>
        </w:tc>
      </w:tr>
      <w:tr w14:paraId="0A0270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011" w:type="dxa"/>
            <w:noWrap w:val="0"/>
            <w:tcMar>
              <w:top w:w="16" w:type="dxa"/>
              <w:left w:w="16" w:type="dxa"/>
              <w:right w:w="16" w:type="dxa"/>
            </w:tcMar>
            <w:vAlign w:val="center"/>
          </w:tcPr>
          <w:p w14:paraId="6C5B2B43">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项目审批（核准/备案）部门（选填）</w:t>
            </w:r>
          </w:p>
        </w:tc>
        <w:tc>
          <w:tcPr>
            <w:tcW w:w="2651" w:type="dxa"/>
            <w:noWrap w:val="0"/>
            <w:vAlign w:val="center"/>
          </w:tcPr>
          <w:p w14:paraId="1C1362C5">
            <w:pPr>
              <w:adjustRightInd w:val="0"/>
              <w:snapToGrid w:val="0"/>
              <w:jc w:val="center"/>
              <w:rPr>
                <w:rFonts w:hint="default" w:ascii="Times New Roman" w:hAnsi="Times New Roman" w:eastAsia="宋体" w:cs="Times New Roman"/>
                <w:color w:val="auto"/>
                <w:sz w:val="24"/>
                <w:szCs w:val="24"/>
                <w:shd w:val="clear" w:color="auto" w:fill="auto"/>
                <w:lang w:val="en-US" w:eastAsia="zh-CN"/>
              </w:rPr>
            </w:pPr>
            <w:r>
              <w:rPr>
                <w:rFonts w:hint="default" w:ascii="Times New Roman" w:hAnsi="Times New Roman" w:eastAsia="宋体" w:cs="Times New Roman"/>
                <w:color w:val="auto"/>
                <w:sz w:val="24"/>
                <w:szCs w:val="24"/>
                <w:shd w:val="clear" w:color="auto" w:fill="auto"/>
                <w:lang w:val="en-US" w:eastAsia="zh-CN"/>
              </w:rPr>
              <w:t>包头市九原区发展和改革委员会</w:t>
            </w:r>
          </w:p>
        </w:tc>
        <w:tc>
          <w:tcPr>
            <w:tcW w:w="1412" w:type="dxa"/>
            <w:noWrap w:val="0"/>
            <w:vAlign w:val="center"/>
          </w:tcPr>
          <w:p w14:paraId="2DBEB84F">
            <w:pPr>
              <w:adjustRightInd w:val="0"/>
              <w:snapToGrid w:val="0"/>
              <w:jc w:val="center"/>
              <w:rPr>
                <w:rFonts w:hint="default" w:ascii="Times New Roman" w:hAnsi="Times New Roman" w:eastAsia="宋体" w:cs="Times New Roman"/>
                <w:color w:val="auto"/>
                <w:sz w:val="24"/>
                <w:szCs w:val="24"/>
                <w:shd w:val="clear" w:color="auto" w:fill="auto"/>
              </w:rPr>
            </w:pPr>
            <w:r>
              <w:rPr>
                <w:rFonts w:hint="default" w:ascii="Times New Roman" w:hAnsi="Times New Roman" w:eastAsia="宋体" w:cs="Times New Roman"/>
                <w:color w:val="auto"/>
                <w:sz w:val="24"/>
                <w:szCs w:val="24"/>
                <w:shd w:val="clear" w:color="auto" w:fill="auto"/>
              </w:rPr>
              <w:t>项目审批（核准/备案）文号（选填）</w:t>
            </w:r>
          </w:p>
        </w:tc>
        <w:tc>
          <w:tcPr>
            <w:tcW w:w="3626" w:type="dxa"/>
            <w:noWrap w:val="0"/>
            <w:vAlign w:val="center"/>
          </w:tcPr>
          <w:p w14:paraId="00556809">
            <w:pPr>
              <w:adjustRightInd w:val="0"/>
              <w:snapToGrid w:val="0"/>
              <w:jc w:val="center"/>
              <w:rPr>
                <w:rFonts w:hint="default" w:ascii="Times New Roman" w:hAnsi="Times New Roman" w:eastAsia="宋体" w:cs="Times New Roman"/>
                <w:color w:val="auto"/>
                <w:sz w:val="24"/>
                <w:szCs w:val="24"/>
                <w:shd w:val="clear" w:color="auto" w:fill="auto"/>
                <w:lang w:val="en-US" w:eastAsia="zh-CN"/>
              </w:rPr>
            </w:pPr>
            <w:r>
              <w:rPr>
                <w:rFonts w:hint="default" w:ascii="Times New Roman" w:hAnsi="Times New Roman" w:eastAsia="宋体" w:cs="Times New Roman"/>
                <w:color w:val="auto"/>
                <w:sz w:val="24"/>
                <w:szCs w:val="24"/>
                <w:shd w:val="clear" w:color="auto" w:fill="auto"/>
                <w:lang w:val="en-US" w:eastAsia="zh-CN"/>
              </w:rPr>
              <w:t>2509-150207-04-01-346671</w:t>
            </w:r>
          </w:p>
        </w:tc>
      </w:tr>
      <w:tr w14:paraId="30538B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1" w:type="dxa"/>
            <w:noWrap w:val="0"/>
            <w:tcMar>
              <w:top w:w="16" w:type="dxa"/>
              <w:left w:w="16" w:type="dxa"/>
              <w:right w:w="16" w:type="dxa"/>
            </w:tcMar>
            <w:vAlign w:val="center"/>
          </w:tcPr>
          <w:p w14:paraId="32A1794B">
            <w:pPr>
              <w:adjustRightInd w:val="0"/>
              <w:snapToGrid w:val="0"/>
              <w:jc w:val="center"/>
              <w:rPr>
                <w:rFonts w:hint="default" w:ascii="Times New Roman" w:hAnsi="Times New Roman" w:eastAsia="宋体" w:cs="Times New Roman"/>
                <w:b w:val="0"/>
                <w:bCs w:val="0"/>
                <w:color w:val="auto"/>
                <w:sz w:val="24"/>
                <w:szCs w:val="24"/>
                <w:shd w:val="clear" w:color="auto" w:fill="auto"/>
              </w:rPr>
            </w:pPr>
            <w:r>
              <w:rPr>
                <w:rFonts w:hint="default" w:ascii="Times New Roman" w:hAnsi="Times New Roman" w:eastAsia="宋体" w:cs="Times New Roman"/>
                <w:b w:val="0"/>
                <w:bCs w:val="0"/>
                <w:color w:val="auto"/>
                <w:sz w:val="24"/>
                <w:szCs w:val="24"/>
                <w:shd w:val="clear" w:color="auto" w:fill="auto"/>
              </w:rPr>
              <w:t>总投资</w:t>
            </w:r>
          </w:p>
          <w:p w14:paraId="5DF3ABF2">
            <w:pPr>
              <w:adjustRightInd w:val="0"/>
              <w:snapToGrid w:val="0"/>
              <w:jc w:val="center"/>
              <w:rPr>
                <w:rFonts w:hint="default" w:ascii="Times New Roman" w:hAnsi="Times New Roman" w:eastAsia="宋体" w:cs="Times New Roman"/>
                <w:b w:val="0"/>
                <w:bCs w:val="0"/>
                <w:color w:val="auto"/>
                <w:sz w:val="24"/>
                <w:szCs w:val="24"/>
                <w:shd w:val="clear" w:color="auto" w:fill="auto"/>
              </w:rPr>
            </w:pPr>
            <w:r>
              <w:rPr>
                <w:rFonts w:hint="default" w:ascii="Times New Roman" w:hAnsi="Times New Roman" w:eastAsia="宋体" w:cs="Times New Roman"/>
                <w:b w:val="0"/>
                <w:bCs w:val="0"/>
                <w:color w:val="auto"/>
                <w:sz w:val="24"/>
                <w:szCs w:val="24"/>
                <w:shd w:val="clear" w:color="auto" w:fill="auto"/>
              </w:rPr>
              <w:t>（万元）</w:t>
            </w:r>
          </w:p>
        </w:tc>
        <w:tc>
          <w:tcPr>
            <w:tcW w:w="2651" w:type="dxa"/>
            <w:noWrap w:val="0"/>
            <w:vAlign w:val="center"/>
          </w:tcPr>
          <w:p w14:paraId="72BE6EAE">
            <w:pPr>
              <w:adjustRightInd w:val="0"/>
              <w:snapToGrid w:val="0"/>
              <w:jc w:val="center"/>
              <w:rPr>
                <w:rFonts w:hint="default" w:ascii="Times New Roman" w:hAnsi="Times New Roman" w:eastAsia="宋体" w:cs="Times New Roman"/>
                <w:b w:val="0"/>
                <w:bCs w:val="0"/>
                <w:color w:val="auto"/>
                <w:sz w:val="24"/>
                <w:szCs w:val="24"/>
                <w:highlight w:val="none"/>
                <w:shd w:val="clear" w:color="auto" w:fill="auto"/>
                <w:lang w:val="en-US" w:eastAsia="zh-CN"/>
              </w:rPr>
            </w:pPr>
            <w:r>
              <w:rPr>
                <w:rFonts w:hint="default" w:ascii="Times New Roman" w:hAnsi="Times New Roman" w:cs="Times New Roman"/>
                <w:b w:val="0"/>
                <w:bCs w:val="0"/>
                <w:color w:val="auto"/>
                <w:sz w:val="24"/>
                <w:szCs w:val="24"/>
                <w:highlight w:val="none"/>
                <w:shd w:val="clear" w:color="auto" w:fill="auto"/>
                <w:lang w:val="en-US" w:eastAsia="zh-CN"/>
              </w:rPr>
              <w:t>10000</w:t>
            </w:r>
          </w:p>
        </w:tc>
        <w:tc>
          <w:tcPr>
            <w:tcW w:w="1412" w:type="dxa"/>
            <w:noWrap w:val="0"/>
            <w:tcMar>
              <w:top w:w="16" w:type="dxa"/>
              <w:left w:w="16" w:type="dxa"/>
              <w:right w:w="16" w:type="dxa"/>
            </w:tcMar>
            <w:vAlign w:val="center"/>
          </w:tcPr>
          <w:p w14:paraId="2D976554">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环保投资</w:t>
            </w:r>
          </w:p>
          <w:p w14:paraId="0D42EB8D">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（万元）</w:t>
            </w:r>
          </w:p>
        </w:tc>
        <w:tc>
          <w:tcPr>
            <w:tcW w:w="3626" w:type="dxa"/>
            <w:noWrap w:val="0"/>
            <w:vAlign w:val="center"/>
          </w:tcPr>
          <w:p w14:paraId="0BB4D745">
            <w:pPr>
              <w:adjustRightInd w:val="0"/>
              <w:snapToGrid w:val="0"/>
              <w:jc w:val="center"/>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cs="Times New Roman"/>
                <w:color w:val="auto"/>
                <w:sz w:val="24"/>
                <w:szCs w:val="24"/>
                <w:highlight w:val="none"/>
                <w:shd w:val="clear" w:color="auto" w:fill="auto"/>
                <w:lang w:val="en-US" w:eastAsia="zh-CN"/>
              </w:rPr>
              <w:t>81</w:t>
            </w:r>
          </w:p>
        </w:tc>
      </w:tr>
      <w:tr w14:paraId="7C17A6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2" w:hRule="atLeast"/>
          <w:jc w:val="center"/>
        </w:trPr>
        <w:tc>
          <w:tcPr>
            <w:tcW w:w="1011" w:type="dxa"/>
            <w:noWrap w:val="0"/>
            <w:tcMar>
              <w:top w:w="16" w:type="dxa"/>
              <w:left w:w="16" w:type="dxa"/>
              <w:right w:w="16" w:type="dxa"/>
            </w:tcMar>
            <w:vAlign w:val="center"/>
          </w:tcPr>
          <w:p w14:paraId="2CC25BD9">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环保投资占比（%）</w:t>
            </w:r>
          </w:p>
        </w:tc>
        <w:tc>
          <w:tcPr>
            <w:tcW w:w="2651" w:type="dxa"/>
            <w:noWrap w:val="0"/>
            <w:vAlign w:val="center"/>
          </w:tcPr>
          <w:p w14:paraId="477CE55F">
            <w:pPr>
              <w:adjustRightInd w:val="0"/>
              <w:snapToGrid w:val="0"/>
              <w:jc w:val="center"/>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0.</w:t>
            </w:r>
            <w:r>
              <w:rPr>
                <w:rFonts w:hint="default" w:ascii="Times New Roman" w:hAnsi="Times New Roman" w:cs="Times New Roman"/>
                <w:color w:val="auto"/>
                <w:sz w:val="24"/>
                <w:szCs w:val="24"/>
                <w:highlight w:val="none"/>
                <w:shd w:val="clear" w:color="auto" w:fill="auto"/>
                <w:lang w:val="en-US" w:eastAsia="zh-CN"/>
              </w:rPr>
              <w:t>81</w:t>
            </w:r>
          </w:p>
        </w:tc>
        <w:tc>
          <w:tcPr>
            <w:tcW w:w="1412" w:type="dxa"/>
            <w:noWrap w:val="0"/>
            <w:tcMar>
              <w:top w:w="16" w:type="dxa"/>
              <w:left w:w="16" w:type="dxa"/>
              <w:right w:w="16" w:type="dxa"/>
            </w:tcMar>
            <w:vAlign w:val="center"/>
          </w:tcPr>
          <w:p w14:paraId="3B755C8E">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施工工期</w:t>
            </w:r>
          </w:p>
        </w:tc>
        <w:tc>
          <w:tcPr>
            <w:tcW w:w="3626" w:type="dxa"/>
            <w:noWrap w:val="0"/>
            <w:vAlign w:val="center"/>
          </w:tcPr>
          <w:p w14:paraId="59E15CB6">
            <w:pPr>
              <w:adjustRightInd w:val="0"/>
              <w:snapToGrid w:val="0"/>
              <w:jc w:val="center"/>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cs="Times New Roman"/>
                <w:color w:val="auto"/>
                <w:sz w:val="24"/>
                <w:szCs w:val="24"/>
                <w:highlight w:val="none"/>
                <w:shd w:val="clear" w:color="auto" w:fill="auto"/>
                <w:lang w:val="en-US" w:eastAsia="zh-CN"/>
              </w:rPr>
              <w:t>11</w:t>
            </w:r>
            <w:r>
              <w:rPr>
                <w:rFonts w:hint="default" w:ascii="Times New Roman" w:hAnsi="Times New Roman" w:eastAsia="宋体" w:cs="Times New Roman"/>
                <w:color w:val="auto"/>
                <w:sz w:val="24"/>
                <w:szCs w:val="24"/>
                <w:highlight w:val="none"/>
                <w:shd w:val="clear" w:color="auto" w:fill="auto"/>
                <w:lang w:val="en-US" w:eastAsia="zh-CN"/>
              </w:rPr>
              <w:t>个月</w:t>
            </w:r>
          </w:p>
        </w:tc>
      </w:tr>
      <w:tr w14:paraId="55DD2A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1" w:hRule="atLeast"/>
          <w:jc w:val="center"/>
        </w:trPr>
        <w:tc>
          <w:tcPr>
            <w:tcW w:w="1011" w:type="dxa"/>
            <w:noWrap w:val="0"/>
            <w:tcMar>
              <w:top w:w="16" w:type="dxa"/>
              <w:left w:w="16" w:type="dxa"/>
              <w:right w:w="16" w:type="dxa"/>
            </w:tcMar>
            <w:vAlign w:val="center"/>
          </w:tcPr>
          <w:p w14:paraId="7F4284D8">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t>是否开工建设</w:t>
            </w:r>
          </w:p>
        </w:tc>
        <w:tc>
          <w:tcPr>
            <w:tcW w:w="2651" w:type="dxa"/>
            <w:noWrap w:val="0"/>
            <w:vAlign w:val="center"/>
          </w:tcPr>
          <w:p w14:paraId="00CA1B32">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sym w:font="Wingdings 2" w:char="0052"/>
            </w:r>
            <w:r>
              <w:rPr>
                <w:rFonts w:hint="default" w:ascii="Times New Roman" w:hAnsi="Times New Roman" w:eastAsia="宋体" w:cs="Times New Roman"/>
                <w:color w:val="auto"/>
                <w:sz w:val="24"/>
                <w:szCs w:val="24"/>
                <w:highlight w:val="none"/>
                <w:shd w:val="clear" w:color="auto" w:fill="auto"/>
              </w:rPr>
              <w:t>否</w:t>
            </w:r>
          </w:p>
          <w:p w14:paraId="1E24C504">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z w:val="24"/>
                <w:szCs w:val="24"/>
                <w:highlight w:val="none"/>
                <w:shd w:val="clear" w:color="auto" w:fill="auto"/>
              </w:rPr>
              <w:sym w:font="Wingdings 2" w:char="00A3"/>
            </w:r>
            <w:r>
              <w:rPr>
                <w:rFonts w:hint="default" w:ascii="Times New Roman" w:hAnsi="Times New Roman" w:eastAsia="宋体" w:cs="Times New Roman"/>
                <w:color w:val="auto"/>
                <w:sz w:val="24"/>
                <w:szCs w:val="24"/>
                <w:highlight w:val="none"/>
                <w:shd w:val="clear" w:color="auto" w:fill="auto"/>
              </w:rPr>
              <w:t>是</w:t>
            </w:r>
          </w:p>
        </w:tc>
        <w:tc>
          <w:tcPr>
            <w:tcW w:w="1412" w:type="dxa"/>
            <w:noWrap w:val="0"/>
            <w:tcMar>
              <w:top w:w="16" w:type="dxa"/>
              <w:left w:w="16" w:type="dxa"/>
              <w:right w:w="16" w:type="dxa"/>
            </w:tcMar>
            <w:vAlign w:val="center"/>
          </w:tcPr>
          <w:p w14:paraId="2CD4288B">
            <w:pPr>
              <w:adjustRightInd w:val="0"/>
              <w:snapToGrid w:val="0"/>
              <w:jc w:val="center"/>
              <w:rPr>
                <w:rFonts w:hint="default" w:ascii="Times New Roman" w:hAnsi="Times New Roman" w:eastAsia="宋体" w:cs="Times New Roman"/>
                <w:color w:val="auto"/>
                <w:spacing w:val="-6"/>
                <w:sz w:val="24"/>
                <w:szCs w:val="24"/>
                <w:highlight w:val="none"/>
                <w:shd w:val="clear" w:color="auto" w:fill="auto"/>
              </w:rPr>
            </w:pPr>
            <w:r>
              <w:rPr>
                <w:rFonts w:hint="default" w:ascii="Times New Roman" w:hAnsi="Times New Roman" w:eastAsia="宋体" w:cs="Times New Roman"/>
                <w:color w:val="auto"/>
                <w:spacing w:val="-6"/>
                <w:sz w:val="24"/>
                <w:szCs w:val="24"/>
                <w:highlight w:val="none"/>
                <w:shd w:val="clear" w:color="auto" w:fill="auto"/>
              </w:rPr>
              <w:t>用地（用海）</w:t>
            </w:r>
          </w:p>
          <w:p w14:paraId="099D183B">
            <w:pPr>
              <w:adjustRightInd w:val="0"/>
              <w:snapToGrid w:val="0"/>
              <w:jc w:val="center"/>
              <w:rPr>
                <w:rFonts w:hint="default" w:ascii="Times New Roman" w:hAnsi="Times New Roman" w:eastAsia="宋体" w:cs="Times New Roman"/>
                <w:color w:val="auto"/>
                <w:sz w:val="24"/>
                <w:szCs w:val="24"/>
                <w:highlight w:val="none"/>
                <w:shd w:val="clear" w:color="auto" w:fill="auto"/>
              </w:rPr>
            </w:pPr>
            <w:r>
              <w:rPr>
                <w:rFonts w:hint="default" w:ascii="Times New Roman" w:hAnsi="Times New Roman" w:eastAsia="宋体" w:cs="Times New Roman"/>
                <w:color w:val="auto"/>
                <w:spacing w:val="-6"/>
                <w:sz w:val="24"/>
                <w:szCs w:val="24"/>
                <w:highlight w:val="none"/>
                <w:shd w:val="clear" w:color="auto" w:fill="auto"/>
              </w:rPr>
              <w:t>面积（m</w:t>
            </w:r>
            <w:r>
              <w:rPr>
                <w:rFonts w:hint="default" w:ascii="Times New Roman" w:hAnsi="Times New Roman" w:eastAsia="宋体" w:cs="Times New Roman"/>
                <w:color w:val="auto"/>
                <w:spacing w:val="-6"/>
                <w:sz w:val="24"/>
                <w:szCs w:val="24"/>
                <w:highlight w:val="none"/>
                <w:shd w:val="clear" w:color="auto" w:fill="auto"/>
                <w:vertAlign w:val="superscript"/>
              </w:rPr>
              <w:t>2</w:t>
            </w:r>
            <w:r>
              <w:rPr>
                <w:rFonts w:hint="default" w:ascii="Times New Roman" w:hAnsi="Times New Roman" w:eastAsia="宋体" w:cs="Times New Roman"/>
                <w:color w:val="auto"/>
                <w:spacing w:val="-6"/>
                <w:sz w:val="24"/>
                <w:szCs w:val="24"/>
                <w:highlight w:val="none"/>
                <w:shd w:val="clear" w:color="auto" w:fill="auto"/>
              </w:rPr>
              <w:t>）</w:t>
            </w:r>
          </w:p>
        </w:tc>
        <w:tc>
          <w:tcPr>
            <w:tcW w:w="3626" w:type="dxa"/>
            <w:noWrap w:val="0"/>
            <w:vAlign w:val="center"/>
          </w:tcPr>
          <w:p w14:paraId="41EEA342">
            <w:pPr>
              <w:adjustRightInd w:val="0"/>
              <w:snapToGrid w:val="0"/>
              <w:jc w:val="center"/>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cs="Times New Roman"/>
                <w:color w:val="auto"/>
                <w:sz w:val="24"/>
                <w:szCs w:val="24"/>
                <w:highlight w:val="none"/>
                <w:shd w:val="clear" w:color="auto" w:fill="auto"/>
                <w:lang w:val="en-US" w:eastAsia="zh-CN"/>
              </w:rPr>
              <w:t>24</w:t>
            </w:r>
            <w:r>
              <w:rPr>
                <w:rFonts w:hint="eastAsia" w:cs="Times New Roman"/>
                <w:color w:val="auto"/>
                <w:sz w:val="24"/>
                <w:szCs w:val="24"/>
                <w:highlight w:val="none"/>
                <w:shd w:val="clear" w:color="auto" w:fill="auto"/>
                <w:lang w:val="en-US" w:eastAsia="zh-CN"/>
              </w:rPr>
              <w:t>669.82</w:t>
            </w:r>
          </w:p>
        </w:tc>
      </w:tr>
      <w:tr w14:paraId="0BEB6B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11" w:type="dxa"/>
            <w:noWrap w:val="0"/>
            <w:vAlign w:val="center"/>
          </w:tcPr>
          <w:p w14:paraId="1A964D25">
            <w:pPr>
              <w:autoSpaceDE w:val="0"/>
              <w:autoSpaceDN w:val="0"/>
              <w:adjustRightInd w:val="0"/>
              <w:snapToGrid w:val="0"/>
              <w:jc w:val="center"/>
              <w:rPr>
                <w:rFonts w:hint="default" w:ascii="Times New Roman" w:hAnsi="Times New Roman" w:eastAsia="宋体" w:cs="Times New Roman"/>
                <w:color w:val="auto"/>
                <w:kern w:val="0"/>
                <w:sz w:val="24"/>
                <w:szCs w:val="24"/>
                <w:highlight w:val="none"/>
                <w:shd w:val="clear" w:color="auto" w:fill="auto"/>
              </w:rPr>
            </w:pPr>
            <w:r>
              <w:rPr>
                <w:rFonts w:hint="default" w:ascii="Times New Roman" w:hAnsi="Times New Roman" w:eastAsia="宋体" w:cs="Times New Roman"/>
                <w:color w:val="auto"/>
                <w:kern w:val="0"/>
                <w:sz w:val="24"/>
                <w:szCs w:val="24"/>
                <w:highlight w:val="none"/>
                <w:shd w:val="clear" w:color="auto" w:fill="auto"/>
              </w:rPr>
              <w:t>专项评价设置情况</w:t>
            </w:r>
          </w:p>
        </w:tc>
        <w:tc>
          <w:tcPr>
            <w:tcW w:w="7689" w:type="dxa"/>
            <w:gridSpan w:val="3"/>
            <w:noWrap w:val="0"/>
            <w:vAlign w:val="center"/>
          </w:tcPr>
          <w:p w14:paraId="4E6A4D4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FF"/>
                <w:kern w:val="0"/>
                <w:sz w:val="24"/>
                <w:szCs w:val="24"/>
                <w:lang w:val="en-US" w:eastAsia="zh-CN" w:bidi="ar"/>
              </w:rPr>
              <w:t>对照《建设项目环境影响报告表编制技术指南（污染影响类）（试行）》中“表1专项评价设置原则表”，本项目土壤、声环境</w:t>
            </w:r>
            <w:r>
              <w:rPr>
                <w:rFonts w:hint="eastAsia" w:cs="Times New Roman"/>
                <w:color w:val="0000FF"/>
                <w:kern w:val="0"/>
                <w:sz w:val="24"/>
                <w:szCs w:val="24"/>
                <w:lang w:val="en-US" w:eastAsia="zh-CN" w:bidi="ar"/>
              </w:rPr>
              <w:t>、</w:t>
            </w:r>
            <w:r>
              <w:rPr>
                <w:rFonts w:hint="default" w:ascii="Times New Roman" w:hAnsi="Times New Roman" w:eastAsia="宋体" w:cs="Times New Roman"/>
                <w:color w:val="0000FF"/>
                <w:kern w:val="0"/>
                <w:sz w:val="24"/>
                <w:szCs w:val="24"/>
                <w:lang w:val="en-US" w:eastAsia="zh-CN" w:bidi="ar"/>
              </w:rPr>
              <w:t>大气、地表水、环境风险、生态、海洋以及地下水开展专项评价情况见下表</w:t>
            </w:r>
            <w:r>
              <w:rPr>
                <w:rFonts w:hint="default" w:ascii="Times New Roman" w:hAnsi="Times New Roman" w:cs="Times New Roman"/>
                <w:color w:val="0000FF"/>
                <w:kern w:val="0"/>
                <w:sz w:val="24"/>
                <w:szCs w:val="24"/>
                <w:lang w:val="en-US" w:eastAsia="zh-CN" w:bidi="ar"/>
              </w:rPr>
              <w:t>1-1</w:t>
            </w:r>
            <w:r>
              <w:rPr>
                <w:rFonts w:hint="default" w:ascii="Times New Roman" w:hAnsi="Times New Roman" w:eastAsia="宋体" w:cs="Times New Roman"/>
                <w:color w:val="0000FF"/>
                <w:kern w:val="0"/>
                <w:sz w:val="24"/>
                <w:szCs w:val="24"/>
                <w:lang w:val="en-US" w:eastAsia="zh-CN" w:bidi="ar"/>
              </w:rPr>
              <w:t>。</w:t>
            </w:r>
          </w:p>
          <w:p w14:paraId="1E710C22">
            <w:pPr>
              <w:keepNext w:val="0"/>
              <w:keepLines w:val="0"/>
              <w:widowControl/>
              <w:suppressLineNumbers w:val="0"/>
              <w:jc w:val="center"/>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表</w:t>
            </w:r>
            <w:r>
              <w:rPr>
                <w:rFonts w:hint="default" w:ascii="Times New Roman" w:hAnsi="Times New Roman" w:cs="Times New Roman"/>
                <w:b/>
                <w:bCs/>
                <w:color w:val="000000"/>
                <w:kern w:val="0"/>
                <w:sz w:val="24"/>
                <w:szCs w:val="24"/>
                <w:lang w:val="en-US" w:eastAsia="zh-CN" w:bidi="ar"/>
              </w:rPr>
              <w:t xml:space="preserve">1-1  </w:t>
            </w:r>
            <w:r>
              <w:rPr>
                <w:rFonts w:hint="default" w:ascii="Times New Roman" w:hAnsi="Times New Roman" w:eastAsia="宋体" w:cs="Times New Roman"/>
                <w:b/>
                <w:bCs/>
                <w:color w:val="000000"/>
                <w:kern w:val="0"/>
                <w:sz w:val="24"/>
                <w:szCs w:val="24"/>
                <w:lang w:val="en-US" w:eastAsia="zh-CN" w:bidi="ar"/>
              </w:rPr>
              <w:t>专项评价设置原则表</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3119"/>
              <w:gridCol w:w="3192"/>
            </w:tblGrid>
            <w:tr w14:paraId="5DB86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71" w:type="pct"/>
                  <w:vAlign w:val="center"/>
                </w:tcPr>
                <w:p w14:paraId="2DC8AE94">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专项评价的类别</w:t>
                  </w:r>
                </w:p>
              </w:tc>
              <w:tc>
                <w:tcPr>
                  <w:tcW w:w="2089" w:type="pct"/>
                  <w:vAlign w:val="center"/>
                </w:tcPr>
                <w:p w14:paraId="33027204">
                  <w:pPr>
                    <w:pStyle w:val="15"/>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设置原则</w:t>
                  </w:r>
                </w:p>
              </w:tc>
              <w:tc>
                <w:tcPr>
                  <w:tcW w:w="2138" w:type="pct"/>
                  <w:vAlign w:val="center"/>
                </w:tcPr>
                <w:p w14:paraId="05DCD1F8">
                  <w:pPr>
                    <w:pStyle w:val="15"/>
                    <w:jc w:val="center"/>
                    <w:rPr>
                      <w:rFonts w:hint="default" w:ascii="Times New Roman" w:hAnsi="Times New Roman" w:cs="Times New Roman"/>
                      <w:sz w:val="21"/>
                      <w:szCs w:val="21"/>
                      <w:vertAlign w:val="baseline"/>
                      <w:lang w:val="en-US"/>
                    </w:rPr>
                  </w:pPr>
                  <w:r>
                    <w:rPr>
                      <w:rFonts w:hint="default" w:ascii="Times New Roman" w:hAnsi="Times New Roman" w:eastAsia="宋体" w:cs="Times New Roman"/>
                      <w:color w:val="000000"/>
                      <w:kern w:val="0"/>
                      <w:sz w:val="21"/>
                      <w:szCs w:val="21"/>
                      <w:lang w:val="en-US" w:eastAsia="zh-CN" w:bidi="ar"/>
                    </w:rPr>
                    <w:t>本项目情况</w:t>
                  </w:r>
                </w:p>
              </w:tc>
            </w:tr>
            <w:tr w14:paraId="0823F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pct"/>
                  <w:vAlign w:val="center"/>
                </w:tcPr>
                <w:p w14:paraId="46D3720A">
                  <w:pPr>
                    <w:pStyle w:val="15"/>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大气</w:t>
                  </w:r>
                </w:p>
              </w:tc>
              <w:tc>
                <w:tcPr>
                  <w:tcW w:w="2089" w:type="pct"/>
                  <w:vAlign w:val="center"/>
                </w:tcPr>
                <w:p w14:paraId="559DEFA3">
                  <w:pPr>
                    <w:keepNext w:val="0"/>
                    <w:keepLines w:val="0"/>
                    <w:widowControl/>
                    <w:suppressLineNumbers w:val="0"/>
                    <w:jc w:val="center"/>
                    <w:rPr>
                      <w:rFonts w:hint="default" w:ascii="Times New Roman" w:hAnsi="Times New Roman" w:cs="Times New Roman"/>
                      <w:color w:val="0000FF"/>
                      <w:sz w:val="21"/>
                      <w:szCs w:val="21"/>
                      <w:vertAlign w:val="baseline"/>
                    </w:rPr>
                  </w:pPr>
                  <w:r>
                    <w:rPr>
                      <w:rFonts w:hint="default" w:ascii="Times New Roman" w:hAnsi="Times New Roman" w:eastAsia="宋体" w:cs="Times New Roman"/>
                      <w:color w:val="0000FF"/>
                      <w:kern w:val="0"/>
                      <w:sz w:val="21"/>
                      <w:szCs w:val="21"/>
                      <w:lang w:val="en-US" w:eastAsia="zh-CN" w:bidi="ar"/>
                    </w:rPr>
                    <w:t>排放废气含有毒有害污染物1、二噁英、苯并[a]芘、氰化物、氯气且厂界外500米范围内有环境空气保护目标的建设项目。</w:t>
                  </w:r>
                </w:p>
              </w:tc>
              <w:tc>
                <w:tcPr>
                  <w:tcW w:w="2138" w:type="pct"/>
                  <w:vAlign w:val="center"/>
                </w:tcPr>
                <w:p w14:paraId="485F902C">
                  <w:pPr>
                    <w:keepNext w:val="0"/>
                    <w:keepLines w:val="0"/>
                    <w:widowControl/>
                    <w:suppressLineNumbers w:val="0"/>
                    <w:jc w:val="center"/>
                    <w:rPr>
                      <w:rFonts w:hint="default" w:ascii="Times New Roman" w:hAnsi="Times New Roman" w:cs="Times New Roman"/>
                      <w:color w:val="0000FF"/>
                      <w:sz w:val="21"/>
                      <w:szCs w:val="21"/>
                      <w:vertAlign w:val="baseline"/>
                    </w:rPr>
                  </w:pPr>
                  <w:r>
                    <w:rPr>
                      <w:rFonts w:hint="default" w:ascii="Times New Roman" w:hAnsi="Times New Roman" w:eastAsia="宋体" w:cs="Times New Roman"/>
                      <w:color w:val="0000FF"/>
                      <w:kern w:val="0"/>
                      <w:sz w:val="21"/>
                      <w:szCs w:val="21"/>
                      <w:lang w:val="en-US" w:eastAsia="zh-CN" w:bidi="ar"/>
                    </w:rPr>
                    <w:t>本项目营运期废气污染物因子主要为</w:t>
                  </w:r>
                  <w:r>
                    <w:rPr>
                      <w:rFonts w:hint="default" w:ascii="Times New Roman" w:hAnsi="Times New Roman" w:cs="Times New Roman"/>
                      <w:color w:val="0000FF"/>
                      <w:kern w:val="0"/>
                      <w:sz w:val="21"/>
                      <w:szCs w:val="21"/>
                      <w:lang w:val="en-US" w:eastAsia="zh-CN" w:bidi="ar"/>
                    </w:rPr>
                    <w:t>颗粒物、二氧化硫、氮氧化物、以及</w:t>
                  </w:r>
                  <w:r>
                    <w:rPr>
                      <w:rFonts w:hint="default" w:ascii="Times New Roman" w:hAnsi="Times New Roman" w:eastAsia="宋体" w:cs="Times New Roman"/>
                      <w:color w:val="0000FF"/>
                      <w:kern w:val="0"/>
                      <w:sz w:val="21"/>
                      <w:szCs w:val="21"/>
                      <w:lang w:val="en-US" w:eastAsia="zh-CN" w:bidi="ar"/>
                    </w:rPr>
                    <w:t>有机废气（以非甲烷总烃计）</w:t>
                  </w:r>
                  <w:r>
                    <w:rPr>
                      <w:rFonts w:hint="eastAsia" w:cs="Times New Roman"/>
                      <w:color w:val="0000FF"/>
                      <w:kern w:val="0"/>
                      <w:sz w:val="21"/>
                      <w:szCs w:val="21"/>
                      <w:lang w:val="en-US" w:eastAsia="zh-CN" w:bidi="ar"/>
                    </w:rPr>
                    <w:t>，</w:t>
                  </w:r>
                  <w:r>
                    <w:rPr>
                      <w:rFonts w:hint="default" w:ascii="Times New Roman" w:hAnsi="Times New Roman" w:cs="Times New Roman"/>
                      <w:color w:val="0000FF"/>
                      <w:kern w:val="0"/>
                      <w:sz w:val="21"/>
                      <w:szCs w:val="21"/>
                      <w:lang w:val="en-US" w:eastAsia="zh-CN" w:bidi="ar"/>
                    </w:rPr>
                    <w:t>均不属于</w:t>
                  </w:r>
                  <w:r>
                    <w:rPr>
                      <w:rFonts w:hint="default" w:ascii="Times New Roman" w:hAnsi="Times New Roman" w:eastAsia="宋体" w:cs="Times New Roman"/>
                      <w:color w:val="0000FF"/>
                      <w:kern w:val="0"/>
                      <w:sz w:val="21"/>
                      <w:szCs w:val="21"/>
                      <w:lang w:val="en-US" w:eastAsia="zh-CN" w:bidi="ar"/>
                    </w:rPr>
                    <w:t>有毒有害污染物</w:t>
                  </w:r>
                  <w:r>
                    <w:rPr>
                      <w:rFonts w:hint="eastAsia" w:cs="Times New Roman"/>
                      <w:color w:val="0000FF"/>
                      <w:kern w:val="0"/>
                      <w:sz w:val="21"/>
                      <w:szCs w:val="21"/>
                      <w:lang w:val="en-US" w:eastAsia="zh-CN" w:bidi="ar"/>
                    </w:rPr>
                    <w:t>。</w:t>
                  </w:r>
                  <w:r>
                    <w:rPr>
                      <w:rFonts w:hint="default" w:ascii="Times New Roman" w:hAnsi="Times New Roman" w:cs="Times New Roman"/>
                      <w:color w:val="0000FF"/>
                      <w:kern w:val="0"/>
                      <w:sz w:val="21"/>
                      <w:szCs w:val="21"/>
                      <w:lang w:val="en-US" w:eastAsia="zh-CN" w:bidi="ar"/>
                    </w:rPr>
                    <w:t>因此</w:t>
                  </w:r>
                  <w:r>
                    <w:rPr>
                      <w:rFonts w:hint="default" w:ascii="Times New Roman" w:hAnsi="Times New Roman" w:eastAsia="宋体" w:cs="Times New Roman"/>
                      <w:color w:val="0000FF"/>
                      <w:kern w:val="0"/>
                      <w:sz w:val="21"/>
                      <w:szCs w:val="21"/>
                      <w:lang w:val="en-US" w:eastAsia="zh-CN" w:bidi="ar"/>
                    </w:rPr>
                    <w:t>本项目无需开展大气专项评价。</w:t>
                  </w:r>
                </w:p>
              </w:tc>
            </w:tr>
            <w:tr w14:paraId="6F916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pct"/>
                  <w:vAlign w:val="center"/>
                </w:tcPr>
                <w:p w14:paraId="3A6C5A1F">
                  <w:pPr>
                    <w:pStyle w:val="15"/>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地表水</w:t>
                  </w:r>
                </w:p>
              </w:tc>
              <w:tc>
                <w:tcPr>
                  <w:tcW w:w="2089" w:type="pct"/>
                  <w:vAlign w:val="center"/>
                </w:tcPr>
                <w:p w14:paraId="3EB6C19E">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新增工业废水直排建设项目（槽罐车外送污水处理厂的除外）；新增废水直排的污水集中处理厂。</w:t>
                  </w:r>
                </w:p>
              </w:tc>
              <w:tc>
                <w:tcPr>
                  <w:tcW w:w="2138" w:type="pct"/>
                  <w:vAlign w:val="center"/>
                </w:tcPr>
                <w:p w14:paraId="430B7FBC">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本项目运营期生活污水排放至九原污水处理厂，属于间接排放，故本项目无需开展地表水专项评价。</w:t>
                  </w:r>
                </w:p>
              </w:tc>
            </w:tr>
            <w:tr w14:paraId="61C76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pct"/>
                  <w:vAlign w:val="center"/>
                </w:tcPr>
                <w:p w14:paraId="2A294F73">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环境风险</w:t>
                  </w:r>
                </w:p>
              </w:tc>
              <w:tc>
                <w:tcPr>
                  <w:tcW w:w="2089" w:type="pct"/>
                  <w:vAlign w:val="center"/>
                </w:tcPr>
                <w:p w14:paraId="1C6BA4E1">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有毒有害和易燃易爆危险物质存储量超过临界量的建设项目。</w:t>
                  </w:r>
                </w:p>
              </w:tc>
              <w:tc>
                <w:tcPr>
                  <w:tcW w:w="2138" w:type="pct"/>
                  <w:vAlign w:val="center"/>
                </w:tcPr>
                <w:p w14:paraId="47F8F75B">
                  <w:pPr>
                    <w:pStyle w:val="15"/>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auto"/>
                      <w:kern w:val="0"/>
                      <w:sz w:val="21"/>
                      <w:szCs w:val="21"/>
                      <w:highlight w:val="none"/>
                      <w:shd w:val="clear" w:color="auto" w:fill="auto"/>
                      <w:lang w:val="en-US" w:eastAsia="zh-CN"/>
                    </w:rPr>
                    <w:t>本项目</w:t>
                  </w:r>
                  <w:r>
                    <w:rPr>
                      <w:rFonts w:hint="default" w:ascii="Times New Roman" w:hAnsi="Times New Roman" w:eastAsia="宋体" w:cs="Times New Roman"/>
                      <w:color w:val="auto"/>
                      <w:kern w:val="0"/>
                      <w:sz w:val="21"/>
                      <w:szCs w:val="21"/>
                      <w:highlight w:val="none"/>
                      <w:shd w:val="clear" w:color="auto" w:fill="auto"/>
                      <w:lang w:eastAsia="zh-CN"/>
                    </w:rPr>
                    <w:t>液化石油气的最大储存量为46.4t，</w:t>
                  </w:r>
                  <w:r>
                    <w:rPr>
                      <w:rFonts w:hint="default" w:ascii="Times New Roman" w:hAnsi="Times New Roman" w:eastAsia="宋体" w:cs="Times New Roman"/>
                      <w:color w:val="auto"/>
                      <w:kern w:val="0"/>
                      <w:sz w:val="21"/>
                      <w:szCs w:val="21"/>
                      <w:highlight w:val="none"/>
                      <w:shd w:val="clear" w:color="auto" w:fill="auto"/>
                      <w:lang w:val="en-US" w:eastAsia="zh-CN"/>
                    </w:rPr>
                    <w:t>丙烷最大储存量为</w:t>
                  </w:r>
                  <w:r>
                    <w:rPr>
                      <w:rFonts w:hint="default" w:ascii="Times New Roman" w:hAnsi="Times New Roman" w:cs="Times New Roman"/>
                      <w:color w:val="auto"/>
                      <w:kern w:val="0"/>
                      <w:sz w:val="21"/>
                      <w:szCs w:val="21"/>
                      <w:highlight w:val="none"/>
                      <w:shd w:val="clear" w:color="auto" w:fill="auto"/>
                      <w:lang w:val="en-US" w:eastAsia="zh-CN"/>
                    </w:rPr>
                    <w:t>40.56</w:t>
                  </w:r>
                  <w:r>
                    <w:rPr>
                      <w:rFonts w:hint="default" w:ascii="Times New Roman" w:hAnsi="Times New Roman" w:eastAsia="宋体" w:cs="Times New Roman"/>
                      <w:color w:val="auto"/>
                      <w:kern w:val="0"/>
                      <w:sz w:val="21"/>
                      <w:szCs w:val="21"/>
                      <w:highlight w:val="none"/>
                      <w:shd w:val="clear" w:color="auto" w:fill="auto"/>
                      <w:lang w:val="en-US" w:eastAsia="zh-CN"/>
                    </w:rPr>
                    <w:t>t，</w:t>
                  </w:r>
                  <w:r>
                    <w:rPr>
                      <w:rFonts w:hint="default" w:ascii="Times New Roman" w:hAnsi="Times New Roman" w:cs="Times New Roman"/>
                      <w:color w:val="auto"/>
                      <w:kern w:val="0"/>
                      <w:sz w:val="21"/>
                      <w:szCs w:val="21"/>
                      <w:highlight w:val="none"/>
                      <w:shd w:val="clear" w:color="auto" w:fill="auto"/>
                      <w:lang w:val="en-US" w:eastAsia="zh-CN"/>
                    </w:rPr>
                    <w:t>超过</w:t>
                  </w:r>
                  <w:r>
                    <w:rPr>
                      <w:rFonts w:hint="default" w:ascii="Times New Roman" w:hAnsi="Times New Roman" w:eastAsia="宋体" w:cs="Times New Roman"/>
                      <w:color w:val="auto"/>
                      <w:kern w:val="0"/>
                      <w:sz w:val="21"/>
                      <w:szCs w:val="21"/>
                      <w:highlight w:val="none"/>
                      <w:shd w:val="clear" w:color="auto" w:fill="auto"/>
                      <w:lang w:val="en-US" w:eastAsia="zh-CN"/>
                    </w:rPr>
                    <w:t>《建设项目环境风险评价技术导则》（HJ169-2018）附录B中</w:t>
                  </w:r>
                  <w:r>
                    <w:rPr>
                      <w:rFonts w:hint="default" w:ascii="Times New Roman" w:hAnsi="Times New Roman" w:eastAsia="宋体" w:cs="Times New Roman"/>
                      <w:color w:val="auto"/>
                      <w:kern w:val="0"/>
                      <w:sz w:val="21"/>
                      <w:szCs w:val="21"/>
                      <w:highlight w:val="none"/>
                      <w:shd w:val="clear" w:color="auto" w:fill="auto"/>
                      <w:lang w:eastAsia="zh-CN"/>
                    </w:rPr>
                    <w:t>石油气临界量10t，</w:t>
                  </w:r>
                  <w:r>
                    <w:rPr>
                      <w:rFonts w:hint="default" w:ascii="Times New Roman" w:hAnsi="Times New Roman" w:eastAsia="宋体" w:cs="Times New Roman"/>
                      <w:color w:val="auto"/>
                      <w:kern w:val="0"/>
                      <w:sz w:val="21"/>
                      <w:szCs w:val="21"/>
                      <w:highlight w:val="none"/>
                      <w:shd w:val="clear" w:color="auto" w:fill="auto"/>
                      <w:lang w:val="en-US" w:eastAsia="zh-CN"/>
                    </w:rPr>
                    <w:t>丙烷</w:t>
                  </w:r>
                  <w:r>
                    <w:rPr>
                      <w:rFonts w:hint="default" w:ascii="Times New Roman" w:hAnsi="Times New Roman" w:eastAsia="宋体" w:cs="Times New Roman"/>
                      <w:color w:val="auto"/>
                      <w:kern w:val="0"/>
                      <w:sz w:val="21"/>
                      <w:szCs w:val="21"/>
                      <w:highlight w:val="none"/>
                      <w:shd w:val="clear" w:color="auto" w:fill="auto"/>
                      <w:lang w:eastAsia="zh-CN"/>
                    </w:rPr>
                    <w:t>临界量10t，</w:t>
                  </w:r>
                  <w:r>
                    <w:rPr>
                      <w:rFonts w:hint="default" w:ascii="Times New Roman" w:hAnsi="Times New Roman" w:eastAsia="宋体" w:cs="Times New Roman"/>
                      <w:b/>
                      <w:bCs/>
                      <w:color w:val="auto"/>
                      <w:kern w:val="0"/>
                      <w:sz w:val="21"/>
                      <w:szCs w:val="21"/>
                      <w:highlight w:val="none"/>
                      <w:shd w:val="clear" w:color="auto" w:fill="auto"/>
                      <w:lang w:val="en-US" w:eastAsia="zh-CN"/>
                    </w:rPr>
                    <w:t>需设置风险专题</w:t>
                  </w:r>
                  <w:r>
                    <w:rPr>
                      <w:rFonts w:hint="default" w:ascii="Times New Roman" w:hAnsi="Times New Roman" w:eastAsia="宋体" w:cs="Times New Roman"/>
                      <w:color w:val="auto"/>
                      <w:kern w:val="0"/>
                      <w:sz w:val="21"/>
                      <w:szCs w:val="21"/>
                      <w:highlight w:val="none"/>
                      <w:shd w:val="clear" w:color="auto" w:fill="auto"/>
                      <w:lang w:val="en-US" w:eastAsia="zh-CN"/>
                    </w:rPr>
                    <w:t>。</w:t>
                  </w:r>
                </w:p>
              </w:tc>
            </w:tr>
            <w:tr w14:paraId="51BED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pct"/>
                  <w:vAlign w:val="center"/>
                </w:tcPr>
                <w:p w14:paraId="1525F94B">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生态</w:t>
                  </w:r>
                </w:p>
              </w:tc>
              <w:tc>
                <w:tcPr>
                  <w:tcW w:w="2089" w:type="pct"/>
                  <w:vAlign w:val="center"/>
                </w:tcPr>
                <w:p w14:paraId="511B8E45">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取水口下游500米范围内有重要水生生物的自然产卵场、索饵场、越冬场和洄游通道的新增河道取水的污染类建设项目。</w:t>
                  </w:r>
                </w:p>
              </w:tc>
              <w:tc>
                <w:tcPr>
                  <w:tcW w:w="2138" w:type="pct"/>
                  <w:vAlign w:val="center"/>
                </w:tcPr>
                <w:p w14:paraId="37B93F92">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项目不设置取水口，故本项目无需开展生态专项评价。</w:t>
                  </w:r>
                </w:p>
              </w:tc>
            </w:tr>
            <w:tr w14:paraId="7135E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1" w:type="pct"/>
                  <w:vAlign w:val="center"/>
                </w:tcPr>
                <w:p w14:paraId="13F899E5">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海洋</w:t>
                  </w:r>
                </w:p>
              </w:tc>
              <w:tc>
                <w:tcPr>
                  <w:tcW w:w="2089" w:type="pct"/>
                  <w:vAlign w:val="center"/>
                </w:tcPr>
                <w:p w14:paraId="689E7063">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直接向海排放污染物的海洋工程建设项目。</w:t>
                  </w:r>
                </w:p>
              </w:tc>
              <w:tc>
                <w:tcPr>
                  <w:tcW w:w="2138" w:type="pct"/>
                  <w:vAlign w:val="center"/>
                </w:tcPr>
                <w:p w14:paraId="58F85921">
                  <w:pPr>
                    <w:keepNext w:val="0"/>
                    <w:keepLines w:val="0"/>
                    <w:widowControl/>
                    <w:suppressLineNumbers w:val="0"/>
                    <w:jc w:val="center"/>
                    <w:rPr>
                      <w:rFonts w:hint="default" w:ascii="Times New Roman" w:hAnsi="Times New Roman" w:cs="Times New Roman"/>
                      <w:sz w:val="21"/>
                      <w:szCs w:val="21"/>
                      <w:vertAlign w:val="baseline"/>
                    </w:rPr>
                  </w:pPr>
                  <w:r>
                    <w:rPr>
                      <w:rFonts w:hint="default" w:ascii="Times New Roman" w:hAnsi="Times New Roman" w:eastAsia="宋体" w:cs="Times New Roman"/>
                      <w:color w:val="000000"/>
                      <w:kern w:val="0"/>
                      <w:sz w:val="21"/>
                      <w:szCs w:val="21"/>
                      <w:lang w:val="en-US" w:eastAsia="zh-CN" w:bidi="ar"/>
                    </w:rPr>
                    <w:t>本项目不属于海洋工程建设项目，无需开展海洋专项评价。</w:t>
                  </w:r>
                </w:p>
              </w:tc>
            </w:tr>
          </w:tbl>
          <w:p w14:paraId="23FC6B4B">
            <w:pPr>
              <w:pStyle w:val="42"/>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outlineLvl w:val="9"/>
              <w:rPr>
                <w:rFonts w:hint="default" w:ascii="Times New Roman" w:hAnsi="Times New Roman" w:cs="Times New Roman"/>
                <w:i w:val="0"/>
                <w:iCs w:val="0"/>
                <w:color w:val="0000FF"/>
                <w:sz w:val="24"/>
                <w:highlight w:val="none"/>
                <w:lang w:val="en-US" w:eastAsia="zh-CN"/>
              </w:rPr>
            </w:pPr>
            <w:r>
              <w:rPr>
                <w:rFonts w:hint="default" w:ascii="Times New Roman" w:hAnsi="Times New Roman" w:cs="Times New Roman"/>
                <w:i w:val="0"/>
                <w:iCs w:val="0"/>
                <w:color w:val="0000FF"/>
                <w:sz w:val="24"/>
                <w:highlight w:val="none"/>
                <w:lang w:eastAsia="zh-CN"/>
              </w:rPr>
              <w:t>根据《建设项目环境风险评价技术导则》（</w:t>
            </w:r>
            <w:r>
              <w:rPr>
                <w:rFonts w:hint="default" w:ascii="Times New Roman" w:hAnsi="Times New Roman" w:cs="Times New Roman"/>
                <w:i w:val="0"/>
                <w:iCs w:val="0"/>
                <w:color w:val="0000FF"/>
                <w:sz w:val="24"/>
                <w:highlight w:val="none"/>
                <w:lang w:val="en-US" w:eastAsia="zh-CN"/>
              </w:rPr>
              <w:t>HJ169-2018</w:t>
            </w:r>
            <w:r>
              <w:rPr>
                <w:rFonts w:hint="default" w:ascii="Times New Roman" w:hAnsi="Times New Roman" w:cs="Times New Roman"/>
                <w:i w:val="0"/>
                <w:iCs w:val="0"/>
                <w:color w:val="0000FF"/>
                <w:sz w:val="24"/>
                <w:highlight w:val="none"/>
                <w:lang w:eastAsia="zh-CN"/>
              </w:rPr>
              <w:t>）中要求“建设项目环境风险潜势综合等级取各要素等级的相对高值”要求，本项目综合环境风险</w:t>
            </w:r>
            <w:r>
              <w:rPr>
                <w:rFonts w:hint="default" w:ascii="Times New Roman" w:hAnsi="Times New Roman" w:cs="Times New Roman"/>
                <w:i w:val="0"/>
                <w:iCs w:val="0"/>
                <w:color w:val="0000FF"/>
                <w:sz w:val="24"/>
                <w:highlight w:val="none"/>
                <w:lang w:val="en-US" w:eastAsia="zh-CN"/>
              </w:rPr>
              <w:t>潜势</w:t>
            </w:r>
            <w:r>
              <w:rPr>
                <w:rFonts w:hint="default" w:ascii="Times New Roman" w:hAnsi="Times New Roman" w:cs="Times New Roman"/>
                <w:i w:val="0"/>
                <w:iCs w:val="0"/>
                <w:color w:val="0000FF"/>
                <w:sz w:val="24"/>
                <w:highlight w:val="none"/>
                <w:lang w:eastAsia="zh-CN"/>
              </w:rPr>
              <w:t>为</w:t>
            </w:r>
            <w:r>
              <w:rPr>
                <w:rFonts w:hint="eastAsia" w:ascii="Times New Roman" w:hAnsi="Times New Roman" w:cs="Times New Roman"/>
                <w:i w:val="0"/>
                <w:iCs w:val="0"/>
                <w:color w:val="0000FF"/>
                <w:sz w:val="24"/>
                <w:highlight w:val="none"/>
                <w:lang w:val="en-US" w:eastAsia="zh-CN"/>
              </w:rPr>
              <w:t>Ⅲ</w:t>
            </w:r>
            <w:r>
              <w:rPr>
                <w:rFonts w:hint="default" w:ascii="Times New Roman" w:hAnsi="Times New Roman" w:cs="Times New Roman"/>
                <w:i w:val="0"/>
                <w:iCs w:val="0"/>
                <w:color w:val="0000FF"/>
                <w:sz w:val="24"/>
                <w:highlight w:val="none"/>
                <w:lang w:val="en-US" w:eastAsia="zh-CN"/>
              </w:rPr>
              <w:t>，</w:t>
            </w:r>
            <w:r>
              <w:rPr>
                <w:rFonts w:hint="default" w:ascii="Times New Roman" w:hAnsi="Times New Roman" w:cs="Times New Roman"/>
                <w:i w:val="0"/>
                <w:iCs w:val="0"/>
                <w:color w:val="0000FF"/>
                <w:sz w:val="24"/>
                <w:highlight w:val="none"/>
                <w:lang w:eastAsia="zh-CN"/>
              </w:rPr>
              <w:t>大气风险评价等级为</w:t>
            </w:r>
            <w:r>
              <w:rPr>
                <w:rFonts w:hint="eastAsia" w:ascii="Times New Roman" w:hAnsi="Times New Roman" w:cs="Times New Roman"/>
                <w:i w:val="0"/>
                <w:iCs w:val="0"/>
                <w:color w:val="0000FF"/>
                <w:sz w:val="24"/>
                <w:highlight w:val="none"/>
                <w:lang w:val="en-US" w:eastAsia="zh-CN"/>
              </w:rPr>
              <w:t>三级</w:t>
            </w:r>
            <w:r>
              <w:rPr>
                <w:rFonts w:hint="eastAsia" w:ascii="Times New Roman" w:hAnsi="Times New Roman" w:cs="Times New Roman"/>
                <w:i w:val="0"/>
                <w:iCs w:val="0"/>
                <w:color w:val="0000FF"/>
                <w:sz w:val="24"/>
                <w:highlight w:val="none"/>
                <w:lang w:eastAsia="zh-CN"/>
              </w:rPr>
              <w:t>，</w:t>
            </w:r>
            <w:r>
              <w:rPr>
                <w:rFonts w:hint="default" w:ascii="Times New Roman" w:hAnsi="Times New Roman" w:cs="Times New Roman"/>
                <w:i w:val="0"/>
                <w:iCs w:val="0"/>
                <w:color w:val="0000FF"/>
                <w:sz w:val="24"/>
                <w:highlight w:val="none"/>
                <w:lang w:val="en-US" w:eastAsia="zh-CN"/>
              </w:rPr>
              <w:t>地表水</w:t>
            </w:r>
            <w:r>
              <w:rPr>
                <w:rFonts w:hint="default" w:ascii="Times New Roman" w:hAnsi="Times New Roman" w:cs="Times New Roman"/>
                <w:i w:val="0"/>
                <w:iCs w:val="0"/>
                <w:color w:val="0000FF"/>
                <w:sz w:val="24"/>
                <w:highlight w:val="none"/>
                <w:lang w:eastAsia="zh-CN"/>
              </w:rPr>
              <w:t>环境风险评价等级为</w:t>
            </w:r>
            <w:r>
              <w:rPr>
                <w:rFonts w:hint="eastAsia" w:ascii="Times New Roman" w:hAnsi="Times New Roman" w:cs="Times New Roman"/>
                <w:i w:val="0"/>
                <w:iCs w:val="0"/>
                <w:color w:val="0000FF"/>
                <w:sz w:val="24"/>
                <w:highlight w:val="none"/>
                <w:lang w:val="en-US" w:eastAsia="zh-CN"/>
              </w:rPr>
              <w:t>三级</w:t>
            </w:r>
            <w:r>
              <w:rPr>
                <w:rFonts w:hint="eastAsia" w:ascii="Times New Roman" w:hAnsi="Times New Roman" w:cs="Times New Roman"/>
                <w:i w:val="0"/>
                <w:iCs w:val="0"/>
                <w:color w:val="0000FF"/>
                <w:sz w:val="24"/>
                <w:highlight w:val="none"/>
                <w:lang w:eastAsia="zh-CN"/>
              </w:rPr>
              <w:t>，</w:t>
            </w:r>
            <w:r>
              <w:rPr>
                <w:rFonts w:hint="default" w:ascii="Times New Roman" w:hAnsi="Times New Roman" w:cs="Times New Roman"/>
                <w:i w:val="0"/>
                <w:iCs w:val="0"/>
                <w:color w:val="0000FF"/>
                <w:sz w:val="24"/>
                <w:highlight w:val="none"/>
                <w:lang w:eastAsia="zh-CN"/>
              </w:rPr>
              <w:t>地下水环境风险评价等级为</w:t>
            </w:r>
            <w:r>
              <w:rPr>
                <w:rFonts w:hint="eastAsia" w:ascii="Times New Roman" w:hAnsi="Times New Roman" w:cs="Times New Roman"/>
                <w:i w:val="0"/>
                <w:iCs w:val="0"/>
                <w:color w:val="0000FF"/>
                <w:sz w:val="24"/>
                <w:highlight w:val="none"/>
                <w:lang w:val="en-US" w:eastAsia="zh-CN"/>
              </w:rPr>
              <w:t>二</w:t>
            </w:r>
            <w:r>
              <w:rPr>
                <w:rFonts w:hint="default" w:ascii="Times New Roman" w:hAnsi="Times New Roman" w:cs="Times New Roman"/>
                <w:i w:val="0"/>
                <w:iCs w:val="0"/>
                <w:color w:val="0000FF"/>
                <w:sz w:val="24"/>
                <w:highlight w:val="none"/>
                <w:lang w:val="en-US" w:eastAsia="zh-CN"/>
              </w:rPr>
              <w:t>级</w:t>
            </w:r>
            <w:r>
              <w:rPr>
                <w:rFonts w:hint="default" w:ascii="Times New Roman" w:hAnsi="Times New Roman" w:cs="Times New Roman"/>
                <w:i w:val="0"/>
                <w:iCs w:val="0"/>
                <w:color w:val="0000FF"/>
                <w:sz w:val="24"/>
                <w:highlight w:val="none"/>
                <w:lang w:eastAsia="zh-CN"/>
              </w:rPr>
              <w:t>，评价内容按照</w:t>
            </w:r>
            <w:r>
              <w:rPr>
                <w:rFonts w:hint="default" w:ascii="Times New Roman" w:hAnsi="Times New Roman" w:cs="Times New Roman"/>
                <w:i w:val="0"/>
                <w:iCs w:val="0"/>
                <w:color w:val="0000FF"/>
                <w:sz w:val="24"/>
                <w:highlight w:val="none"/>
                <w:lang w:val="en-US" w:eastAsia="zh-CN"/>
              </w:rPr>
              <w:t>HJ610进行。</w:t>
            </w:r>
          </w:p>
          <w:p w14:paraId="31AF22A6">
            <w:pPr>
              <w:pStyle w:val="42"/>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outlineLvl w:val="9"/>
              <w:rPr>
                <w:rFonts w:hint="default" w:ascii="Times New Roman" w:hAnsi="Times New Roman" w:cs="Times New Roman"/>
                <w:i w:val="0"/>
                <w:iCs w:val="0"/>
                <w:color w:val="0000FF"/>
                <w:sz w:val="24"/>
                <w:highlight w:val="none"/>
                <w:lang w:eastAsia="zh-CN"/>
              </w:rPr>
            </w:pPr>
            <w:r>
              <w:rPr>
                <w:rFonts w:hint="eastAsia" w:ascii="Times New Roman" w:hAnsi="Times New Roman" w:cs="Times New Roman"/>
                <w:i w:val="0"/>
                <w:iCs w:val="0"/>
                <w:color w:val="0000FF"/>
                <w:sz w:val="24"/>
                <w:highlight w:val="none"/>
                <w:lang w:val="en-US" w:eastAsia="zh-CN"/>
              </w:rPr>
              <w:t>本项目</w:t>
            </w:r>
            <w:r>
              <w:rPr>
                <w:rFonts w:hint="default" w:ascii="Times New Roman" w:hAnsi="Times New Roman" w:cs="Times New Roman"/>
                <w:i w:val="0"/>
                <w:iCs w:val="0"/>
                <w:color w:val="0000FF"/>
                <w:sz w:val="24"/>
                <w:highlight w:val="none"/>
                <w:lang w:val="en-US" w:eastAsia="zh-CN"/>
              </w:rPr>
              <w:t>风险评价等级为</w:t>
            </w:r>
            <w:r>
              <w:rPr>
                <w:rFonts w:hint="eastAsia" w:ascii="Times New Roman" w:hAnsi="Times New Roman" w:cs="Times New Roman"/>
                <w:i w:val="0"/>
                <w:iCs w:val="0"/>
                <w:color w:val="0000FF"/>
                <w:sz w:val="24"/>
                <w:highlight w:val="none"/>
                <w:lang w:val="en-US" w:eastAsia="zh-CN"/>
              </w:rPr>
              <w:t>二</w:t>
            </w:r>
            <w:r>
              <w:rPr>
                <w:rFonts w:hint="default" w:ascii="Times New Roman" w:hAnsi="Times New Roman" w:cs="Times New Roman"/>
                <w:i w:val="0"/>
                <w:iCs w:val="0"/>
                <w:color w:val="0000FF"/>
                <w:sz w:val="24"/>
                <w:highlight w:val="none"/>
                <w:lang w:val="en-US" w:eastAsia="zh-CN"/>
              </w:rPr>
              <w:t>级</w:t>
            </w:r>
            <w:r>
              <w:rPr>
                <w:rFonts w:hint="default" w:ascii="Times New Roman" w:hAnsi="Times New Roman" w:cs="Times New Roman"/>
                <w:i w:val="0"/>
                <w:iCs w:val="0"/>
                <w:color w:val="0000FF"/>
                <w:sz w:val="24"/>
                <w:highlight w:val="none"/>
                <w:lang w:eastAsia="zh-CN"/>
              </w:rPr>
              <w:t>。</w:t>
            </w:r>
          </w:p>
          <w:p w14:paraId="7CBBC5E0">
            <w:pPr>
              <w:pStyle w:val="42"/>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outlineLvl w:val="9"/>
              <w:rPr>
                <w:rFonts w:hint="default" w:ascii="Times New Roman" w:hAnsi="Times New Roman" w:eastAsia="宋体" w:cs="Times New Roman"/>
                <w:color w:val="auto"/>
                <w:kern w:val="0"/>
                <w:sz w:val="24"/>
                <w:szCs w:val="24"/>
                <w:highlight w:val="none"/>
                <w:shd w:val="clear" w:color="auto" w:fill="auto"/>
                <w:lang w:val="en-US" w:eastAsia="zh-CN"/>
              </w:rPr>
            </w:pPr>
            <w:r>
              <w:rPr>
                <w:rFonts w:hint="default" w:ascii="Times New Roman" w:hAnsi="Times New Roman" w:cs="Times New Roman"/>
                <w:i w:val="0"/>
                <w:iCs w:val="0"/>
                <w:color w:val="0000FF"/>
                <w:sz w:val="24"/>
                <w:highlight w:val="none"/>
                <w:lang w:val="en-US" w:eastAsia="zh-CN"/>
              </w:rPr>
              <w:t>环境风险评价详见《环境风险专项评价报告》。</w:t>
            </w:r>
          </w:p>
        </w:tc>
      </w:tr>
      <w:tr w14:paraId="00AC6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11" w:type="dxa"/>
            <w:noWrap w:val="0"/>
            <w:vAlign w:val="center"/>
          </w:tcPr>
          <w:p w14:paraId="60730BFB">
            <w:pPr>
              <w:keepNext w:val="0"/>
              <w:keepLines w:val="0"/>
              <w:pageBreakBefore w:val="0"/>
              <w:widowControl w:val="0"/>
              <w:kinsoku/>
              <w:wordWrap/>
              <w:overflowPunct/>
              <w:topLinePunct w:val="0"/>
              <w:autoSpaceDE w:val="0"/>
              <w:autoSpaceDN w:val="0"/>
              <w:bidi w:val="0"/>
              <w:adjustRightInd w:val="0"/>
              <w:snapToGrid w:val="0"/>
              <w:spacing w:line="420" w:lineRule="exact"/>
              <w:jc w:val="center"/>
              <w:textAlignment w:val="auto"/>
              <w:rPr>
                <w:rFonts w:hint="default" w:ascii="Times New Roman" w:hAnsi="Times New Roman" w:eastAsia="宋体" w:cs="Times New Roman"/>
                <w:color w:val="auto"/>
                <w:kern w:val="0"/>
                <w:sz w:val="24"/>
                <w:szCs w:val="24"/>
                <w:shd w:val="clear" w:color="auto" w:fill="auto"/>
              </w:rPr>
            </w:pPr>
            <w:r>
              <w:rPr>
                <w:rFonts w:hint="default" w:ascii="Times New Roman" w:hAnsi="Times New Roman" w:eastAsia="宋体" w:cs="Times New Roman"/>
                <w:color w:val="auto"/>
                <w:sz w:val="24"/>
                <w:szCs w:val="24"/>
                <w:shd w:val="clear" w:color="auto" w:fill="auto"/>
              </w:rPr>
              <w:t>规划情况</w:t>
            </w:r>
          </w:p>
        </w:tc>
        <w:tc>
          <w:tcPr>
            <w:tcW w:w="7689" w:type="dxa"/>
            <w:gridSpan w:val="3"/>
            <w:noWrap w:val="0"/>
            <w:vAlign w:val="center"/>
          </w:tcPr>
          <w:p w14:paraId="2F259B2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shd w:val="clear" w:color="auto" w:fill="auto"/>
              </w:rPr>
            </w:pPr>
            <w:r>
              <w:rPr>
                <w:rFonts w:hint="default" w:ascii="Times New Roman" w:hAnsi="Times New Roman" w:eastAsia="宋体" w:cs="Times New Roman"/>
                <w:color w:val="auto"/>
                <w:kern w:val="0"/>
                <w:sz w:val="24"/>
                <w:szCs w:val="24"/>
                <w:shd w:val="clear" w:color="auto" w:fill="auto"/>
              </w:rPr>
              <w:t>项目位于</w:t>
            </w:r>
            <w:r>
              <w:rPr>
                <w:rFonts w:hint="default" w:ascii="Times New Roman" w:hAnsi="Times New Roman" w:eastAsia="宋体" w:cs="Times New Roman"/>
                <w:color w:val="0000FF"/>
                <w:kern w:val="0"/>
                <w:sz w:val="24"/>
                <w:szCs w:val="24"/>
                <w:shd w:val="clear" w:color="auto" w:fill="auto"/>
              </w:rPr>
              <w:t>内蒙古包头九原工业园区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eastAsia="宋体" w:cs="Times New Roman"/>
                <w:color w:val="auto"/>
                <w:kern w:val="0"/>
                <w:sz w:val="24"/>
                <w:szCs w:val="24"/>
                <w:shd w:val="clear" w:color="auto" w:fill="auto"/>
              </w:rPr>
              <w:t>内，目前园区已开展规划，规划名称为：《内蒙古包头九原工业园区—新材料产业园总体规划（2021</w:t>
            </w:r>
            <w:r>
              <w:rPr>
                <w:rFonts w:hint="default" w:ascii="Times New Roman" w:hAnsi="Times New Roman" w:eastAsia="宋体" w:cs="Times New Roman"/>
                <w:color w:val="auto"/>
                <w:kern w:val="0"/>
                <w:sz w:val="24"/>
                <w:szCs w:val="24"/>
                <w:shd w:val="clear" w:color="auto" w:fill="auto"/>
                <w:lang w:val="en-US" w:eastAsia="zh-CN"/>
              </w:rPr>
              <w:t>~</w:t>
            </w:r>
            <w:r>
              <w:rPr>
                <w:rFonts w:hint="default" w:ascii="Times New Roman" w:hAnsi="Times New Roman" w:eastAsia="宋体" w:cs="Times New Roman"/>
                <w:color w:val="auto"/>
                <w:kern w:val="0"/>
                <w:sz w:val="24"/>
                <w:szCs w:val="24"/>
                <w:shd w:val="clear" w:color="auto" w:fill="auto"/>
              </w:rPr>
              <w:t>2030年</w:t>
            </w:r>
            <w:r>
              <w:rPr>
                <w:rFonts w:hint="default" w:ascii="Times New Roman" w:hAnsi="Times New Roman" w:eastAsia="宋体" w:cs="Times New Roman"/>
                <w:color w:val="auto"/>
                <w:kern w:val="0"/>
                <w:sz w:val="24"/>
                <w:szCs w:val="24"/>
                <w:shd w:val="clear" w:color="auto" w:fill="auto"/>
                <w:lang w:eastAsia="zh-CN"/>
              </w:rPr>
              <w:t>）</w:t>
            </w:r>
            <w:r>
              <w:rPr>
                <w:rFonts w:hint="default" w:ascii="Times New Roman" w:hAnsi="Times New Roman" w:eastAsia="宋体" w:cs="Times New Roman"/>
                <w:color w:val="auto"/>
                <w:kern w:val="0"/>
                <w:sz w:val="24"/>
                <w:szCs w:val="24"/>
                <w:shd w:val="clear" w:color="auto" w:fill="auto"/>
              </w:rPr>
              <w:t>》</w:t>
            </w:r>
          </w:p>
        </w:tc>
      </w:tr>
      <w:tr w14:paraId="6C2BA6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011" w:type="dxa"/>
            <w:noWrap w:val="0"/>
            <w:vAlign w:val="center"/>
          </w:tcPr>
          <w:p w14:paraId="2A50CBA6">
            <w:pPr>
              <w:keepNext w:val="0"/>
              <w:keepLines w:val="0"/>
              <w:pageBreakBefore w:val="0"/>
              <w:widowControl w:val="0"/>
              <w:kinsoku/>
              <w:wordWrap/>
              <w:overflowPunct/>
              <w:topLinePunct w:val="0"/>
              <w:bidi w:val="0"/>
              <w:adjustRightInd w:val="0"/>
              <w:snapToGrid w:val="0"/>
              <w:spacing w:line="420" w:lineRule="exact"/>
              <w:jc w:val="center"/>
              <w:textAlignment w:val="auto"/>
              <w:rPr>
                <w:rFonts w:hint="default" w:ascii="Times New Roman" w:hAnsi="Times New Roman" w:eastAsia="宋体" w:cs="Times New Roman"/>
                <w:color w:val="auto"/>
                <w:kern w:val="0"/>
                <w:sz w:val="24"/>
                <w:szCs w:val="24"/>
                <w:shd w:val="clear" w:color="auto" w:fill="auto"/>
              </w:rPr>
            </w:pPr>
            <w:r>
              <w:rPr>
                <w:rFonts w:hint="default" w:ascii="Times New Roman" w:hAnsi="Times New Roman" w:eastAsia="宋体" w:cs="Times New Roman"/>
                <w:color w:val="auto"/>
                <w:sz w:val="24"/>
                <w:szCs w:val="24"/>
                <w:shd w:val="clear" w:color="auto" w:fill="auto"/>
              </w:rPr>
              <w:t>规划环境影响评价情况</w:t>
            </w:r>
          </w:p>
        </w:tc>
        <w:tc>
          <w:tcPr>
            <w:tcW w:w="7689" w:type="dxa"/>
            <w:gridSpan w:val="3"/>
            <w:noWrap w:val="0"/>
            <w:vAlign w:val="center"/>
          </w:tcPr>
          <w:p w14:paraId="1A9AD32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shd w:val="clear" w:color="auto" w:fill="auto"/>
                <w:lang w:eastAsia="zh-CN"/>
              </w:rPr>
            </w:pPr>
            <w:r>
              <w:rPr>
                <w:rFonts w:hint="default" w:ascii="Times New Roman" w:hAnsi="Times New Roman" w:eastAsia="宋体" w:cs="Times New Roman"/>
                <w:color w:val="auto"/>
                <w:kern w:val="0"/>
                <w:sz w:val="24"/>
                <w:szCs w:val="24"/>
                <w:shd w:val="clear" w:color="auto" w:fill="auto"/>
                <w:lang w:val="en-US" w:eastAsia="zh-CN"/>
              </w:rPr>
              <w:t>内蒙古</w:t>
            </w:r>
            <w:r>
              <w:rPr>
                <w:rFonts w:hint="default" w:ascii="Times New Roman" w:hAnsi="Times New Roman" w:eastAsia="宋体" w:cs="Times New Roman"/>
                <w:color w:val="0000FF"/>
                <w:kern w:val="0"/>
                <w:sz w:val="24"/>
                <w:szCs w:val="24"/>
                <w:shd w:val="clear" w:color="auto" w:fill="auto"/>
                <w:lang w:val="en-US" w:eastAsia="zh-CN"/>
              </w:rPr>
              <w:t>包头九原工业园区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eastAsia="宋体" w:cs="Times New Roman"/>
                <w:color w:val="auto"/>
                <w:kern w:val="0"/>
                <w:sz w:val="24"/>
                <w:szCs w:val="24"/>
                <w:shd w:val="clear" w:color="auto" w:fill="auto"/>
                <w:lang w:val="en-US" w:eastAsia="zh-CN"/>
              </w:rPr>
              <w:t>已开展规划环境影响评价，名称为《内蒙古包头九原工业园区—新材料产业园总体规划（2021</w:t>
            </w:r>
            <w:r>
              <w:rPr>
                <w:rFonts w:hint="default" w:ascii="Times New Roman" w:hAnsi="Times New Roman" w:cs="Times New Roman"/>
                <w:color w:val="auto"/>
                <w:kern w:val="0"/>
                <w:sz w:val="24"/>
                <w:szCs w:val="24"/>
                <w:shd w:val="clear" w:color="auto" w:fill="auto"/>
                <w:lang w:val="en-US" w:eastAsia="zh-CN"/>
              </w:rPr>
              <w:t>~</w:t>
            </w:r>
            <w:r>
              <w:rPr>
                <w:rFonts w:hint="default" w:ascii="Times New Roman" w:hAnsi="Times New Roman" w:eastAsia="宋体" w:cs="Times New Roman"/>
                <w:color w:val="auto"/>
                <w:kern w:val="0"/>
                <w:sz w:val="24"/>
                <w:szCs w:val="24"/>
                <w:shd w:val="clear" w:color="auto" w:fill="auto"/>
                <w:lang w:val="en-US" w:eastAsia="zh-CN"/>
              </w:rPr>
              <w:t>2030）环境影响报告书》（中冶西北工程技术有限公司，2023年3月），审查机关：内蒙古自治区生态环境厅，文号：内环审[2023]29号。</w:t>
            </w:r>
          </w:p>
        </w:tc>
      </w:tr>
      <w:tr w14:paraId="10FA83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1011" w:type="dxa"/>
            <w:noWrap w:val="0"/>
            <w:vAlign w:val="center"/>
          </w:tcPr>
          <w:p w14:paraId="19EF5BB9">
            <w:pPr>
              <w:keepNext w:val="0"/>
              <w:keepLines w:val="0"/>
              <w:pageBreakBefore w:val="0"/>
              <w:widowControl w:val="0"/>
              <w:kinsoku/>
              <w:wordWrap/>
              <w:overflowPunct/>
              <w:topLinePunct w:val="0"/>
              <w:autoSpaceDE w:val="0"/>
              <w:autoSpaceDN w:val="0"/>
              <w:bidi w:val="0"/>
              <w:adjustRightInd w:val="0"/>
              <w:snapToGrid w:val="0"/>
              <w:spacing w:line="420" w:lineRule="exact"/>
              <w:jc w:val="center"/>
              <w:textAlignment w:val="auto"/>
              <w:rPr>
                <w:rFonts w:hint="default" w:ascii="Times New Roman" w:hAnsi="Times New Roman" w:eastAsia="宋体" w:cs="Times New Roman"/>
                <w:color w:val="auto"/>
                <w:kern w:val="0"/>
                <w:sz w:val="24"/>
                <w:szCs w:val="24"/>
                <w:shd w:val="clear" w:color="auto" w:fill="auto"/>
              </w:rPr>
            </w:pPr>
            <w:r>
              <w:rPr>
                <w:rFonts w:hint="default" w:ascii="Times New Roman" w:hAnsi="Times New Roman" w:eastAsia="宋体" w:cs="Times New Roman"/>
                <w:color w:val="auto"/>
                <w:kern w:val="0"/>
                <w:sz w:val="24"/>
                <w:szCs w:val="24"/>
                <w:shd w:val="clear" w:color="auto" w:fill="auto"/>
              </w:rPr>
              <w:t>规划及规划环境影响评价符合性分析</w:t>
            </w:r>
          </w:p>
        </w:tc>
        <w:tc>
          <w:tcPr>
            <w:tcW w:w="7689" w:type="dxa"/>
            <w:gridSpan w:val="3"/>
            <w:noWrap w:val="0"/>
            <w:vAlign w:val="center"/>
          </w:tcPr>
          <w:p w14:paraId="1090E445">
            <w:pPr>
              <w:pStyle w:val="107"/>
              <w:spacing w:before="120" w:after="24"/>
              <w:rPr>
                <w:rFonts w:hint="default" w:ascii="Times New Roman" w:hAnsi="Times New Roman" w:cs="Times New Roman"/>
                <w:b w:val="0"/>
                <w:sz w:val="24"/>
                <w:szCs w:val="24"/>
              </w:rPr>
            </w:pPr>
            <w:r>
              <w:rPr>
                <w:rFonts w:hint="default" w:ascii="Times New Roman" w:hAnsi="Times New Roman" w:cs="Times New Roman"/>
                <w:b w:val="0"/>
                <w:sz w:val="24"/>
                <w:szCs w:val="24"/>
              </w:rPr>
              <w:t>1、《内蒙古包头九原工业园区—新材料产业园总体规划（2021-2030）》</w:t>
            </w:r>
          </w:p>
          <w:p w14:paraId="384C50BF">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（1）位置</w:t>
            </w:r>
          </w:p>
          <w:p w14:paraId="0D56C733">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内蒙古包头九原工业园区—新材料产业园（地块一）北至包兰铁路，西、南至南绕城公路，东至宋昭公路；内蒙古包头九原工业园区—新材料产业园（地块二）东至宋昭公路、西至神华西侧、南至黄河二道坝、北接南绕城公路。</w:t>
            </w:r>
          </w:p>
          <w:p w14:paraId="706FAD72">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（2）规划期限与范围</w:t>
            </w:r>
          </w:p>
          <w:p w14:paraId="0C803DD1">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本次规划期限为2021-2030年，其中近期为2021-2025年，远期为2026-2030年。规划用地范围为53.06km</w:t>
            </w:r>
            <w:r>
              <w:rPr>
                <w:rFonts w:hint="default" w:ascii="Times New Roman" w:hAnsi="Times New Roman" w:cs="Times New Roman"/>
                <w:sz w:val="24"/>
                <w:szCs w:val="32"/>
                <w:vertAlign w:val="superscript"/>
              </w:rPr>
              <w:t>2</w:t>
            </w:r>
            <w:r>
              <w:rPr>
                <w:rFonts w:hint="default" w:ascii="Times New Roman" w:hAnsi="Times New Roman" w:cs="Times New Roman"/>
                <w:sz w:val="24"/>
                <w:szCs w:val="32"/>
              </w:rPr>
              <w:t>。</w:t>
            </w:r>
          </w:p>
          <w:p w14:paraId="65DCF26B">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（3）产业发展定位</w:t>
            </w:r>
          </w:p>
          <w:p w14:paraId="1953F565">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园区产业发展定位是以化工及新能源产业和战略性新兴产业为主导产业。其中化工及新能源产业重点发展高性能树脂、高性能橡胶（包括合成橡胶等）、聚氨酯材料、氟材料、硅材料、高性能纤维、高性能膜材料、电子化学品、前沿新材料以及新能源材料等。战略性新兴产业重点发展高端稀土新材料、高性能新材料、先进金属新材料、高端装备制造产业、节能环保产业等。同时，培育物流产业，配套商务、金融、研发及服务设施等综合服务为支撑的新型特色工业园区。</w:t>
            </w:r>
          </w:p>
          <w:p w14:paraId="5A0E7684">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（4）总体布局规划</w:t>
            </w:r>
          </w:p>
          <w:p w14:paraId="4A2AC6B9">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内蒙古包头九原工业园区—新材料产业园按照其功能的不同分为：新型化工及高分子材料产业区，中小企业园，超纯铁素体不锈钢新材料产业区，九原公铁海铁国际物流园，综合产业区，储备发展用地。</w:t>
            </w:r>
          </w:p>
          <w:p w14:paraId="429F9B7C">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储备发展用地主要作为园区产业发展的备用地。</w:t>
            </w:r>
          </w:p>
          <w:p w14:paraId="64089C48">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（4）市政基础设施规划</w:t>
            </w:r>
          </w:p>
          <w:p w14:paraId="03DDF496">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①给水工程</w:t>
            </w:r>
          </w:p>
          <w:p w14:paraId="4DD63989">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园区的工业用水由画匠营子水源地提供，工业园区第二部分水源利用二次回用水满足对水质要求不严格的企业、洗车、绿化及浇洒道路。职工生活饮用水可以采用分质供水。</w:t>
            </w:r>
          </w:p>
          <w:p w14:paraId="16E5466E">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②排水工程</w:t>
            </w:r>
          </w:p>
          <w:p w14:paraId="57662C56">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规划污水处理厂位于工业园区南部，经七路的延长线上，污水处理厂的规模为5万m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/d。</w:t>
            </w:r>
          </w:p>
          <w:p w14:paraId="17D14CEC">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新建的雨水管道结合地形和道路坡度，沿道路敷设，尽量靠重力流排放雨水。工业园区的雨水管布置在快车道中心或绿化带下。</w:t>
            </w:r>
          </w:p>
          <w:p w14:paraId="0B87C4E4">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③燃气工程</w:t>
            </w:r>
          </w:p>
          <w:p w14:paraId="6D5B0B1C">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规划“长－呼天然气工程”的气源为长庆气田，是我国最大的复合型整装气田。天然气蕴藏量约4.788亿m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。长呼管线的设计年输气量为9.56亿m</w:t>
            </w:r>
            <w:r>
              <w:rPr>
                <w:rFonts w:hint="default" w:ascii="Times New Roman" w:hAnsi="Times New Roman" w:cs="Times New Roman"/>
                <w:sz w:val="24"/>
                <w:szCs w:val="32"/>
                <w:vertAlign w:val="superscript"/>
              </w:rPr>
              <w:t>3</w:t>
            </w:r>
            <w:r>
              <w:rPr>
                <w:rFonts w:hint="default" w:ascii="Times New Roman" w:hAnsi="Times New Roman" w:cs="Times New Roman"/>
                <w:sz w:val="24"/>
                <w:szCs w:val="32"/>
              </w:rPr>
              <w:t>，气质符合原石油部标准中的Ⅱ类，可为工业园区提供充足可靠的气源。</w:t>
            </w:r>
          </w:p>
          <w:p w14:paraId="1E7A67A8">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④环境卫生设施规划</w:t>
            </w:r>
          </w:p>
          <w:p w14:paraId="65862BC2">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园区规划垃圾转运站设置按平均每座服务面积0.7~1.0km</w:t>
            </w:r>
            <w:r>
              <w:rPr>
                <w:rFonts w:hint="default" w:ascii="Times New Roman" w:hAnsi="Times New Roman" w:cs="Times New Roman"/>
                <w:sz w:val="24"/>
                <w:szCs w:val="32"/>
                <w:vertAlign w:val="superscript"/>
              </w:rPr>
              <w:t>2</w:t>
            </w:r>
            <w:r>
              <w:rPr>
                <w:rFonts w:hint="default" w:ascii="Times New Roman" w:hAnsi="Times New Roman" w:cs="Times New Roman"/>
                <w:sz w:val="24"/>
                <w:szCs w:val="32"/>
              </w:rPr>
              <w:t>考虑，共规划垃圾转运站2座，垃圾转运站采用压缩箱式，并附设工人休息场所，收集垃圾采用小型自卸车。工业垃圾和建筑垃圾采取谁生产谁处理的原则，无处理能力的可由环卫部门有偿服务，建筑垃圾要与生活垃圾分开收运、单独处理。</w:t>
            </w:r>
          </w:p>
          <w:p w14:paraId="2462E869">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⑤环境保护规划</w:t>
            </w:r>
          </w:p>
          <w:p w14:paraId="4BDEC706">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九原工业园区—新材料产业园全部为二类大气环境功能区，总体空气环境质量应达到国家二级标准。服务设施用地执行《声环境质量标准》(GB3096-2008)中的2类标准；工业用地</w:t>
            </w:r>
            <w:bookmarkStart w:id="2" w:name="OLE_LINK11"/>
            <w:bookmarkStart w:id="3" w:name="OLE_LINK10"/>
            <w:r>
              <w:rPr>
                <w:rFonts w:hint="default" w:ascii="Times New Roman" w:hAnsi="Times New Roman" w:cs="Times New Roman"/>
                <w:sz w:val="24"/>
                <w:szCs w:val="32"/>
              </w:rPr>
              <w:t>执行《声环境质量标准》(GB3096-2008)中的3类标准</w:t>
            </w:r>
            <w:bookmarkEnd w:id="2"/>
            <w:bookmarkEnd w:id="3"/>
            <w:r>
              <w:rPr>
                <w:rFonts w:hint="default" w:ascii="Times New Roman" w:hAnsi="Times New Roman" w:cs="Times New Roman"/>
                <w:sz w:val="24"/>
                <w:szCs w:val="32"/>
              </w:rPr>
              <w:t>；交通干线及两侧25m内全部执行《声环境质量标准》(GB3096-2008)中的4a类标准。</w:t>
            </w:r>
          </w:p>
          <w:p w14:paraId="15B03A82">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本项目位于二类大气环境功能区，占用土地为工业用地，执行《声环境质量标准》(GB3096-2008)中的3类标准。</w:t>
            </w:r>
          </w:p>
          <w:p w14:paraId="621D7E01">
            <w:pPr>
              <w:spacing w:line="360" w:lineRule="auto"/>
              <w:ind w:firstLine="482"/>
              <w:rPr>
                <w:rFonts w:hint="default" w:ascii="Times New Roman" w:hAnsi="Times New Roman" w:cs="Times New Roman"/>
                <w:sz w:val="24"/>
                <w:szCs w:val="32"/>
              </w:rPr>
            </w:pPr>
            <w:r>
              <w:rPr>
                <w:rFonts w:hint="default" w:ascii="Times New Roman" w:hAnsi="Times New Roman" w:cs="Times New Roman"/>
                <w:color w:val="auto"/>
                <w:sz w:val="24"/>
                <w:szCs w:val="32"/>
                <w:lang w:val="en-US" w:eastAsia="zh-CN"/>
              </w:rPr>
              <w:t>本项目为</w:t>
            </w:r>
            <w:r>
              <w:rPr>
                <w:rFonts w:hint="default" w:ascii="Times New Roman" w:hAnsi="Times New Roman" w:cs="Times New Roman"/>
                <w:color w:val="auto"/>
                <w:sz w:val="24"/>
                <w:szCs w:val="24"/>
                <w:shd w:val="clear" w:color="auto" w:fill="auto"/>
                <w:lang w:val="en-US" w:eastAsia="zh-CN"/>
              </w:rPr>
              <w:t>其他基础化学原料制造（单纯物理混合、分装）、</w:t>
            </w:r>
            <w:r>
              <w:rPr>
                <w:rFonts w:hint="default" w:ascii="Times New Roman" w:hAnsi="Times New Roman" w:eastAsia="宋体" w:cs="Times New Roman"/>
                <w:color w:val="auto"/>
                <w:sz w:val="24"/>
                <w:szCs w:val="24"/>
                <w:shd w:val="clear" w:color="auto" w:fill="auto"/>
                <w:lang w:val="en-US" w:eastAsia="zh-CN"/>
              </w:rPr>
              <w:t>油气仓储项目，</w:t>
            </w:r>
            <w:r>
              <w:rPr>
                <w:rFonts w:hint="default" w:ascii="Times New Roman" w:hAnsi="Times New Roman" w:cs="Times New Roman"/>
                <w:color w:val="auto"/>
                <w:sz w:val="24"/>
                <w:szCs w:val="24"/>
                <w:shd w:val="clear" w:color="auto" w:fill="auto"/>
                <w:lang w:val="en-US" w:eastAsia="zh-CN"/>
              </w:rPr>
              <w:t>储存和分装的工业气体为改性丙烷、</w:t>
            </w:r>
            <w:r>
              <w:rPr>
                <w:rFonts w:hint="default" w:ascii="Times New Roman" w:hAnsi="Times New Roman" w:eastAsia="宋体" w:cs="Times New Roman"/>
                <w:color w:val="auto"/>
                <w:sz w:val="24"/>
                <w:szCs w:val="24"/>
                <w:shd w:val="clear" w:color="auto" w:fill="auto"/>
                <w:lang w:val="en-US" w:eastAsia="zh-CN"/>
              </w:rPr>
              <w:t>液氧、液氮、液氩、液体二氧化</w:t>
            </w:r>
            <w:r>
              <w:rPr>
                <w:rFonts w:hint="default" w:ascii="Times New Roman" w:hAnsi="Times New Roman" w:cs="Times New Roman"/>
                <w:color w:val="auto"/>
                <w:sz w:val="24"/>
                <w:szCs w:val="24"/>
                <w:shd w:val="clear" w:color="auto" w:fill="auto"/>
                <w:lang w:val="en-US" w:eastAsia="zh-CN"/>
              </w:rPr>
              <w:t>碳、液化石油气，均</w:t>
            </w:r>
            <w:r>
              <w:rPr>
                <w:rFonts w:hint="default" w:ascii="Times New Roman" w:hAnsi="Times New Roman" w:eastAsia="宋体" w:cs="Times New Roman"/>
                <w:color w:val="auto"/>
                <w:sz w:val="24"/>
                <w:szCs w:val="24"/>
                <w:shd w:val="clear" w:color="auto" w:fill="auto"/>
                <w:lang w:val="en-US" w:eastAsia="zh-CN"/>
              </w:rPr>
              <w:t>为工业常用气体</w:t>
            </w:r>
            <w:r>
              <w:rPr>
                <w:rFonts w:hint="default" w:ascii="Times New Roman" w:hAnsi="Times New Roman" w:cs="Times New Roman"/>
                <w:color w:val="auto"/>
                <w:sz w:val="24"/>
                <w:szCs w:val="24"/>
                <w:shd w:val="clear" w:color="auto" w:fill="auto"/>
                <w:lang w:val="en-US" w:eastAsia="zh-CN"/>
              </w:rPr>
              <w:t>，其中改性丙烷为丙烷气体和改性剂的物理混合物。项目建成后</w:t>
            </w:r>
            <w:r>
              <w:rPr>
                <w:rFonts w:hint="default" w:ascii="Times New Roman" w:hAnsi="Times New Roman" w:eastAsia="宋体" w:cs="Times New Roman"/>
                <w:color w:val="auto"/>
                <w:sz w:val="24"/>
                <w:szCs w:val="24"/>
                <w:shd w:val="clear" w:color="auto" w:fill="auto"/>
                <w:lang w:val="en-US" w:eastAsia="zh-CN"/>
              </w:rPr>
              <w:t>主要为园区内工业企业提供</w:t>
            </w:r>
            <w:r>
              <w:rPr>
                <w:rFonts w:hint="default" w:ascii="Times New Roman" w:hAnsi="Times New Roman" w:cs="Times New Roman"/>
                <w:color w:val="auto"/>
                <w:sz w:val="24"/>
                <w:szCs w:val="24"/>
                <w:shd w:val="clear" w:color="auto" w:fill="auto"/>
                <w:lang w:val="en-US" w:eastAsia="zh-CN"/>
              </w:rPr>
              <w:t>改性</w:t>
            </w:r>
            <w:r>
              <w:rPr>
                <w:rFonts w:hint="default" w:ascii="Times New Roman" w:hAnsi="Times New Roman" w:eastAsia="宋体" w:cs="Times New Roman"/>
                <w:color w:val="auto"/>
                <w:sz w:val="24"/>
                <w:szCs w:val="24"/>
                <w:shd w:val="clear" w:color="auto" w:fill="auto"/>
                <w:lang w:val="en-US" w:eastAsia="zh-CN"/>
              </w:rPr>
              <w:t>丙烷、液氧</w:t>
            </w:r>
            <w:r>
              <w:rPr>
                <w:rFonts w:hint="default" w:ascii="Times New Roman" w:hAnsi="Times New Roman" w:cs="Times New Roman"/>
                <w:color w:val="auto"/>
                <w:sz w:val="24"/>
                <w:szCs w:val="24"/>
                <w:shd w:val="clear" w:color="auto" w:fill="auto"/>
                <w:lang w:val="en-US" w:eastAsia="zh-CN"/>
              </w:rPr>
              <w:t>（工业、医用）</w:t>
            </w:r>
            <w:r>
              <w:rPr>
                <w:rFonts w:hint="default" w:ascii="Times New Roman" w:hAnsi="Times New Roman" w:eastAsia="宋体" w:cs="Times New Roman"/>
                <w:color w:val="auto"/>
                <w:sz w:val="24"/>
                <w:szCs w:val="24"/>
                <w:shd w:val="clear" w:color="auto" w:fill="auto"/>
                <w:lang w:val="en-US" w:eastAsia="zh-CN"/>
              </w:rPr>
              <w:t>、液氮、液氩、液体二氧化等工业常用气体原辅料，同时提供</w:t>
            </w:r>
            <w:r>
              <w:rPr>
                <w:rFonts w:hint="default" w:ascii="Times New Roman" w:hAnsi="Times New Roman" w:cs="Times New Roman"/>
                <w:color w:val="auto"/>
                <w:sz w:val="24"/>
                <w:szCs w:val="24"/>
                <w:shd w:val="clear" w:color="auto" w:fill="auto"/>
                <w:lang w:val="en-US" w:eastAsia="zh-CN"/>
              </w:rPr>
              <w:t>民用</w:t>
            </w:r>
            <w:r>
              <w:rPr>
                <w:rFonts w:hint="default" w:ascii="Times New Roman" w:hAnsi="Times New Roman" w:eastAsia="宋体" w:cs="Times New Roman"/>
                <w:color w:val="auto"/>
                <w:sz w:val="24"/>
                <w:szCs w:val="24"/>
                <w:shd w:val="clear" w:color="auto" w:fill="auto"/>
                <w:lang w:val="en-US" w:eastAsia="zh-CN"/>
              </w:rPr>
              <w:t>液态石油气（LPG）</w:t>
            </w:r>
            <w:r>
              <w:rPr>
                <w:rFonts w:hint="default" w:ascii="Times New Roman" w:hAnsi="Times New Roman" w:cs="Times New Roman"/>
                <w:color w:val="auto"/>
                <w:sz w:val="24"/>
                <w:szCs w:val="24"/>
                <w:shd w:val="clear" w:color="auto" w:fill="auto"/>
                <w:lang w:val="en-US" w:eastAsia="zh-CN"/>
              </w:rPr>
              <w:t>；同时，本项目新建2条钢瓶检验线，提供丙烷/液化石油气及其他工业用气钢瓶的检验维修业务，</w:t>
            </w:r>
            <w:r>
              <w:rPr>
                <w:rFonts w:hint="default" w:ascii="Times New Roman" w:hAnsi="Times New Roman" w:eastAsia="宋体" w:cs="Times New Roman"/>
                <w:color w:val="auto"/>
                <w:sz w:val="24"/>
                <w:szCs w:val="24"/>
                <w:shd w:val="clear" w:color="auto" w:fill="auto"/>
                <w:lang w:val="en-US" w:eastAsia="zh-CN"/>
              </w:rPr>
              <w:t>属于园区主导产业的配套相关产业，</w:t>
            </w:r>
            <w:bookmarkStart w:id="4" w:name="OLE_LINK33"/>
            <w:bookmarkStart w:id="5" w:name="OLE_LINK32"/>
            <w:r>
              <w:rPr>
                <w:rFonts w:hint="default" w:ascii="Times New Roman" w:hAnsi="Times New Roman" w:cs="Times New Roman"/>
                <w:sz w:val="24"/>
                <w:szCs w:val="32"/>
              </w:rPr>
              <w:t>项目选址位于园区新型化工及高分子材料产业区</w:t>
            </w:r>
            <w:r>
              <w:rPr>
                <w:rFonts w:hint="default" w:ascii="Times New Roman" w:hAnsi="Times New Roman" w:cs="Times New Roman"/>
                <w:sz w:val="24"/>
                <w:szCs w:val="32"/>
                <w:lang w:eastAsia="zh-CN"/>
              </w:rPr>
              <w:t>，</w:t>
            </w:r>
            <w:r>
              <w:rPr>
                <w:rFonts w:hint="default" w:ascii="Times New Roman" w:hAnsi="Times New Roman" w:cs="Times New Roman"/>
                <w:sz w:val="24"/>
                <w:szCs w:val="32"/>
              </w:rPr>
              <w:t>项目选址符合国家产业政策、园区总体规划及发展要求。企业已和园区管委会签订入园协议书</w:t>
            </w:r>
            <w:r>
              <w:rPr>
                <w:rFonts w:hint="default" w:ascii="Times New Roman" w:hAnsi="Times New Roman" w:cs="Times New Roman"/>
                <w:sz w:val="24"/>
                <w:szCs w:val="32"/>
                <w:lang w:eastAsia="zh-CN"/>
              </w:rPr>
              <w:t>，</w:t>
            </w:r>
            <w:r>
              <w:rPr>
                <w:rFonts w:hint="default" w:ascii="Times New Roman" w:hAnsi="Times New Roman" w:cs="Times New Roman"/>
                <w:sz w:val="24"/>
                <w:szCs w:val="32"/>
              </w:rPr>
              <w:t>项目运营后</w:t>
            </w:r>
            <w:r>
              <w:rPr>
                <w:rFonts w:hint="default" w:ascii="Times New Roman" w:hAnsi="Times New Roman" w:cs="Times New Roman"/>
                <w:sz w:val="24"/>
                <w:szCs w:val="32"/>
                <w:lang w:val="en-US" w:eastAsia="zh-CN"/>
              </w:rPr>
              <w:t>可为园区内企业提供便利的工业气体供应，</w:t>
            </w:r>
            <w:r>
              <w:rPr>
                <w:rFonts w:hint="default" w:ascii="Times New Roman" w:hAnsi="Times New Roman" w:cs="Times New Roman"/>
                <w:sz w:val="24"/>
                <w:szCs w:val="32"/>
              </w:rPr>
              <w:t>有利于园区产业发展。因此，项目建设满足《内蒙古包头九原工业园区—新材料产业园总体规划（2021-2030）》要求。</w:t>
            </w:r>
            <w:bookmarkEnd w:id="4"/>
            <w:bookmarkEnd w:id="5"/>
          </w:p>
          <w:p w14:paraId="2DF4CECE">
            <w:pPr>
              <w:pStyle w:val="107"/>
              <w:spacing w:before="120" w:after="24"/>
              <w:rPr>
                <w:rFonts w:hint="default" w:ascii="Times New Roman" w:hAnsi="Times New Roman" w:cs="Times New Roman"/>
                <w:b w:val="0"/>
                <w:sz w:val="24"/>
                <w:szCs w:val="24"/>
              </w:rPr>
            </w:pPr>
            <w:r>
              <w:rPr>
                <w:rFonts w:hint="default" w:ascii="Times New Roman" w:hAnsi="Times New Roman" w:cs="Times New Roman"/>
                <w:b w:val="0"/>
                <w:sz w:val="24"/>
                <w:szCs w:val="24"/>
              </w:rPr>
              <w:t>2、项目与《内蒙古包头九原工业园区—新材料产业园总体规划（2021</w:t>
            </w:r>
            <w:r>
              <w:rPr>
                <w:rFonts w:hint="default" w:ascii="Times New Roman" w:hAnsi="Times New Roman" w:cs="Times New Roman"/>
                <w:b w:val="0"/>
                <w:sz w:val="24"/>
                <w:szCs w:val="24"/>
                <w:lang w:val="en-US" w:eastAsia="zh-CN"/>
              </w:rPr>
              <w:t>~</w:t>
            </w:r>
            <w:r>
              <w:rPr>
                <w:rFonts w:hint="default" w:ascii="Times New Roman" w:hAnsi="Times New Roman" w:cs="Times New Roman"/>
                <w:b w:val="0"/>
                <w:sz w:val="24"/>
                <w:szCs w:val="24"/>
              </w:rPr>
              <w:t>2030）环境影响报告书》符合性分析</w:t>
            </w:r>
          </w:p>
          <w:p w14:paraId="0C3B3E14">
            <w:pPr>
              <w:spacing w:line="360" w:lineRule="auto"/>
              <w:ind w:firstLine="482"/>
              <w:rPr>
                <w:rFonts w:hint="default" w:ascii="Times New Roman" w:hAnsi="Times New Roman" w:cs="Times New Roman"/>
                <w:sz w:val="24"/>
                <w:szCs w:val="32"/>
              </w:rPr>
            </w:pPr>
            <w:bookmarkStart w:id="6" w:name="OLE_LINK37"/>
            <w:bookmarkStart w:id="7" w:name="OLE_LINK36"/>
            <w:r>
              <w:rPr>
                <w:rFonts w:hint="default" w:ascii="Times New Roman" w:hAnsi="Times New Roman" w:cs="Times New Roman"/>
                <w:sz w:val="24"/>
                <w:szCs w:val="32"/>
              </w:rPr>
              <w:t>《内蒙古包头九原工业园区—新材料产业园总体规划（2021</w:t>
            </w:r>
            <w:r>
              <w:rPr>
                <w:rFonts w:hint="default" w:ascii="Times New Roman" w:hAnsi="Times New Roman" w:cs="Times New Roman"/>
                <w:sz w:val="24"/>
                <w:szCs w:val="32"/>
                <w:lang w:val="en-US" w:eastAsia="zh-CN"/>
              </w:rPr>
              <w:t>~</w:t>
            </w:r>
            <w:r>
              <w:rPr>
                <w:rFonts w:hint="default" w:ascii="Times New Roman" w:hAnsi="Times New Roman" w:cs="Times New Roman"/>
                <w:sz w:val="24"/>
                <w:szCs w:val="32"/>
              </w:rPr>
              <w:t>2030年）环境影响报告书》于2023年3月24日审查通过，取得内蒙古自治区生态环境厅关于《内蒙古包头九原工业园区—新材料产业园总体规划（2021—2030年）环境影响报告书》的审查意见（内环审[2023]29号）。</w:t>
            </w:r>
            <w:bookmarkEnd w:id="6"/>
            <w:bookmarkEnd w:id="7"/>
          </w:p>
          <w:p w14:paraId="77EAB98D">
            <w:pPr>
              <w:autoSpaceDE w:val="0"/>
              <w:autoSpaceDN w:val="0"/>
              <w:adjustRightInd w:val="0"/>
              <w:snapToGrid w:val="0"/>
              <w:spacing w:line="360" w:lineRule="auto"/>
              <w:ind w:firstLine="482"/>
              <w:rPr>
                <w:rFonts w:hint="default" w:ascii="Times New Roman" w:hAnsi="Times New Roman" w:cs="Times New Roman"/>
                <w:kern w:val="0"/>
                <w:sz w:val="24"/>
                <w:szCs w:val="32"/>
              </w:rPr>
            </w:pPr>
            <w:r>
              <w:rPr>
                <w:rFonts w:hint="default" w:ascii="Times New Roman" w:hAnsi="Times New Roman" w:cs="Times New Roman"/>
                <w:sz w:val="24"/>
                <w:szCs w:val="32"/>
              </w:rPr>
              <w:t>本项目与《内蒙古包头九原工业园区—新材料产业园总体规划（2021</w:t>
            </w:r>
            <w:r>
              <w:rPr>
                <w:rFonts w:hint="default" w:ascii="Times New Roman" w:hAnsi="Times New Roman" w:cs="Times New Roman"/>
                <w:sz w:val="24"/>
                <w:szCs w:val="32"/>
                <w:lang w:val="en-US" w:eastAsia="zh-CN"/>
              </w:rPr>
              <w:t>~</w:t>
            </w:r>
            <w:r>
              <w:rPr>
                <w:rFonts w:hint="default" w:ascii="Times New Roman" w:hAnsi="Times New Roman" w:cs="Times New Roman"/>
                <w:sz w:val="24"/>
                <w:szCs w:val="32"/>
              </w:rPr>
              <w:t>2030年）环境影响报告书》的符合性见表1</w:t>
            </w:r>
            <w:r>
              <w:rPr>
                <w:rFonts w:hint="default" w:ascii="Times New Roman" w:hAnsi="Times New Roman" w:cs="Times New Roman"/>
                <w:sz w:val="24"/>
                <w:szCs w:val="32"/>
                <w:lang w:val="en-US" w:eastAsia="zh-CN"/>
              </w:rPr>
              <w:t>-13</w:t>
            </w:r>
            <w:r>
              <w:rPr>
                <w:rFonts w:hint="default" w:ascii="Times New Roman" w:hAnsi="Times New Roman" w:cs="Times New Roman"/>
                <w:sz w:val="24"/>
                <w:szCs w:val="32"/>
              </w:rPr>
              <w:t>~表</w:t>
            </w:r>
            <w:r>
              <w:rPr>
                <w:rFonts w:hint="default" w:ascii="Times New Roman" w:hAnsi="Times New Roman" w:cs="Times New Roman"/>
                <w:sz w:val="24"/>
                <w:szCs w:val="32"/>
                <w:lang w:val="en-US" w:eastAsia="zh-CN"/>
              </w:rPr>
              <w:t>1-14</w:t>
            </w:r>
            <w:r>
              <w:rPr>
                <w:rFonts w:hint="default" w:ascii="Times New Roman" w:hAnsi="Times New Roman" w:cs="Times New Roman"/>
                <w:sz w:val="24"/>
                <w:szCs w:val="32"/>
              </w:rPr>
              <w:t>。</w:t>
            </w:r>
          </w:p>
          <w:p w14:paraId="3B6DA392">
            <w:pPr>
              <w:spacing w:line="240" w:lineRule="atLeast"/>
              <w:ind w:firstLine="632" w:firstLineChars="300"/>
              <w:jc w:val="center"/>
              <w:rPr>
                <w:rFonts w:hint="default" w:ascii="Times New Roman" w:hAnsi="Times New Roman" w:cs="Times New Roman"/>
                <w:sz w:val="21"/>
                <w:szCs w:val="21"/>
              </w:rPr>
            </w:pPr>
            <w:r>
              <w:rPr>
                <w:rFonts w:hint="default" w:ascii="Times New Roman" w:hAnsi="Times New Roman" w:cs="Times New Roman"/>
                <w:b/>
                <w:bCs/>
                <w:sz w:val="21"/>
                <w:szCs w:val="21"/>
              </w:rPr>
              <w:t>表1-</w:t>
            </w:r>
            <w:r>
              <w:rPr>
                <w:rFonts w:hint="default" w:ascii="Times New Roman" w:hAnsi="Times New Roman" w:cs="Times New Roman"/>
                <w:b/>
                <w:bCs/>
                <w:sz w:val="21"/>
                <w:szCs w:val="21"/>
                <w:lang w:val="en-US" w:eastAsia="zh-CN"/>
              </w:rPr>
              <w:t>13</w:t>
            </w:r>
            <w:r>
              <w:rPr>
                <w:rFonts w:hint="default" w:ascii="Times New Roman" w:hAnsi="Times New Roman" w:cs="Times New Roman"/>
                <w:b/>
                <w:bCs/>
                <w:sz w:val="21"/>
                <w:szCs w:val="21"/>
              </w:rPr>
              <w:t xml:space="preserve">   本项目与园区规划环评符合性分析表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1" w:type="dxa"/>
                <w:bottom w:w="0" w:type="dxa"/>
                <w:right w:w="51" w:type="dxa"/>
              </w:tblCellMar>
            </w:tblPr>
            <w:tblGrid>
              <w:gridCol w:w="683"/>
              <w:gridCol w:w="3935"/>
              <w:gridCol w:w="2027"/>
              <w:gridCol w:w="795"/>
            </w:tblGrid>
            <w:tr w14:paraId="1A70A0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40" w:hRule="atLeast"/>
              </w:trPr>
              <w:tc>
                <w:tcPr>
                  <w:tcW w:w="459" w:type="pct"/>
                  <w:shd w:val="clear" w:color="auto" w:fill="auto"/>
                  <w:vAlign w:val="center"/>
                </w:tcPr>
                <w:p w14:paraId="6E8496F0">
                  <w:pPr>
                    <w:jc w:val="center"/>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2644" w:type="pct"/>
                  <w:shd w:val="clear" w:color="auto" w:fill="auto"/>
                  <w:vAlign w:val="center"/>
                </w:tcPr>
                <w:p w14:paraId="1F06C1B7">
                  <w:pPr>
                    <w:jc w:val="center"/>
                    <w:rPr>
                      <w:rFonts w:hint="default" w:ascii="Times New Roman" w:hAnsi="Times New Roman" w:cs="Times New Roman"/>
                      <w:sz w:val="21"/>
                      <w:szCs w:val="21"/>
                    </w:rPr>
                  </w:pPr>
                  <w:r>
                    <w:rPr>
                      <w:rFonts w:hint="default" w:ascii="Times New Roman" w:hAnsi="Times New Roman" w:cs="Times New Roman"/>
                      <w:sz w:val="21"/>
                      <w:szCs w:val="21"/>
                    </w:rPr>
                    <w:t>规划内容</w:t>
                  </w:r>
                </w:p>
              </w:tc>
              <w:tc>
                <w:tcPr>
                  <w:tcW w:w="1362" w:type="pct"/>
                  <w:shd w:val="clear" w:color="auto" w:fill="auto"/>
                  <w:vAlign w:val="center"/>
                </w:tcPr>
                <w:p w14:paraId="5037DA79">
                  <w:pPr>
                    <w:jc w:val="center"/>
                    <w:rPr>
                      <w:rFonts w:hint="default" w:ascii="Times New Roman" w:hAnsi="Times New Roman" w:cs="Times New Roman"/>
                      <w:sz w:val="21"/>
                      <w:szCs w:val="21"/>
                    </w:rPr>
                  </w:pPr>
                  <w:r>
                    <w:rPr>
                      <w:rFonts w:hint="default" w:ascii="Times New Roman" w:hAnsi="Times New Roman" w:cs="Times New Roman"/>
                      <w:sz w:val="21"/>
                      <w:szCs w:val="21"/>
                    </w:rPr>
                    <w:t>本项目</w:t>
                  </w:r>
                </w:p>
              </w:tc>
              <w:tc>
                <w:tcPr>
                  <w:tcW w:w="534" w:type="pct"/>
                  <w:shd w:val="clear" w:color="auto" w:fill="auto"/>
                  <w:vAlign w:val="center"/>
                </w:tcPr>
                <w:p w14:paraId="61A7ECAC">
                  <w:pPr>
                    <w:jc w:val="center"/>
                    <w:rPr>
                      <w:rFonts w:hint="default" w:ascii="Times New Roman" w:hAnsi="Times New Roman" w:cs="Times New Roman"/>
                      <w:sz w:val="21"/>
                      <w:szCs w:val="21"/>
                    </w:rPr>
                  </w:pPr>
                  <w:r>
                    <w:rPr>
                      <w:rFonts w:hint="default" w:ascii="Times New Roman" w:hAnsi="Times New Roman" w:cs="Times New Roman"/>
                      <w:sz w:val="21"/>
                      <w:szCs w:val="21"/>
                    </w:rPr>
                    <w:t>符合性</w:t>
                  </w:r>
                </w:p>
              </w:tc>
            </w:tr>
            <w:tr w14:paraId="726FCC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40" w:hRule="atLeast"/>
              </w:trPr>
              <w:tc>
                <w:tcPr>
                  <w:tcW w:w="459" w:type="pct"/>
                  <w:shd w:val="clear" w:color="auto" w:fill="auto"/>
                  <w:vAlign w:val="center"/>
                </w:tcPr>
                <w:p w14:paraId="0D79B45E">
                  <w:pPr>
                    <w:jc w:val="center"/>
                    <w:rPr>
                      <w:rFonts w:hint="default" w:ascii="Times New Roman" w:hAnsi="Times New Roman" w:cs="Times New Roman"/>
                      <w:sz w:val="21"/>
                      <w:szCs w:val="21"/>
                    </w:rPr>
                  </w:pPr>
                  <w:r>
                    <w:rPr>
                      <w:rFonts w:hint="default" w:ascii="Times New Roman" w:hAnsi="Times New Roman" w:cs="Times New Roman"/>
                      <w:sz w:val="21"/>
                      <w:szCs w:val="21"/>
                    </w:rPr>
                    <w:t>规划范围</w:t>
                  </w:r>
                </w:p>
              </w:tc>
              <w:tc>
                <w:tcPr>
                  <w:tcW w:w="2644" w:type="pct"/>
                  <w:shd w:val="clear" w:color="auto" w:fill="auto"/>
                  <w:vAlign w:val="center"/>
                </w:tcPr>
                <w:p w14:paraId="65A88671">
                  <w:pPr>
                    <w:widowControl/>
                    <w:rPr>
                      <w:rFonts w:hint="default" w:ascii="Times New Roman" w:hAnsi="Times New Roman" w:cs="Times New Roman"/>
                      <w:sz w:val="21"/>
                      <w:szCs w:val="21"/>
                    </w:rPr>
                  </w:pPr>
                  <w:r>
                    <w:rPr>
                      <w:rFonts w:hint="default" w:ascii="Times New Roman" w:hAnsi="Times New Roman" w:cs="Times New Roman"/>
                      <w:kern w:val="0"/>
                      <w:sz w:val="21"/>
                      <w:szCs w:val="21"/>
                    </w:rPr>
                    <w:t>内蒙古包头九原工业园区—新材料产业园位于包头市九原区。园区规划面积53.06平方公里，东至宋昭公路、西至哈德门沟、南至纬十路、北至包兰铁路，园区纳入城镇开发边界面积33.186平方公里。</w:t>
                  </w:r>
                </w:p>
              </w:tc>
              <w:tc>
                <w:tcPr>
                  <w:tcW w:w="1362" w:type="pct"/>
                  <w:shd w:val="clear" w:color="auto" w:fill="auto"/>
                  <w:vAlign w:val="center"/>
                </w:tcPr>
                <w:p w14:paraId="03AF46ED">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rPr>
                    <w:t>本项目位于园区规划范围内</w:t>
                  </w:r>
                  <w:r>
                    <w:rPr>
                      <w:rFonts w:hint="default" w:ascii="Times New Roman" w:hAnsi="Times New Roman" w:cs="Times New Roman"/>
                      <w:sz w:val="21"/>
                      <w:szCs w:val="21"/>
                      <w:lang w:eastAsia="zh-CN"/>
                    </w:rPr>
                    <w:t>，项目选址位于园区新型化工及高分子材料产业区。</w:t>
                  </w:r>
                </w:p>
              </w:tc>
              <w:tc>
                <w:tcPr>
                  <w:tcW w:w="534" w:type="pct"/>
                  <w:shd w:val="clear" w:color="auto" w:fill="auto"/>
                  <w:vAlign w:val="center"/>
                </w:tcPr>
                <w:p w14:paraId="59496A04">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6401EC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40" w:hRule="atLeast"/>
              </w:trPr>
              <w:tc>
                <w:tcPr>
                  <w:tcW w:w="459" w:type="pct"/>
                  <w:shd w:val="clear" w:color="auto" w:fill="auto"/>
                  <w:vAlign w:val="center"/>
                </w:tcPr>
                <w:p w14:paraId="56086093">
                  <w:pPr>
                    <w:widowControl/>
                    <w:ind w:firstLine="4" w:firstLineChars="2"/>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产业定位</w:t>
                  </w:r>
                </w:p>
              </w:tc>
              <w:tc>
                <w:tcPr>
                  <w:tcW w:w="2644" w:type="pct"/>
                  <w:shd w:val="clear" w:color="auto" w:fill="auto"/>
                  <w:vAlign w:val="center"/>
                </w:tcPr>
                <w:p w14:paraId="6C9B4DFA">
                  <w:pPr>
                    <w:widowControl/>
                    <w:rPr>
                      <w:rFonts w:hint="default" w:ascii="Times New Roman" w:hAnsi="Times New Roman" w:cs="Times New Roman"/>
                    </w:rPr>
                  </w:pPr>
                  <w:r>
                    <w:rPr>
                      <w:rFonts w:hint="default" w:ascii="Times New Roman" w:hAnsi="Times New Roman" w:cs="Times New Roman"/>
                      <w:kern w:val="0"/>
                      <w:sz w:val="21"/>
                      <w:szCs w:val="21"/>
                    </w:rPr>
                    <w:t>以化工及新能源产业和战略性新兴产业为主导产业。同时，培育壮大物流产业，配套商务、金融、研发及服务设施等综合服务为支撑的新型特色工业园区。</w:t>
                  </w:r>
                </w:p>
              </w:tc>
              <w:tc>
                <w:tcPr>
                  <w:tcW w:w="1362" w:type="pct"/>
                  <w:shd w:val="clear" w:color="auto" w:fill="auto"/>
                  <w:vAlign w:val="center"/>
                </w:tcPr>
                <w:p w14:paraId="095D403A">
                  <w:pPr>
                    <w:widowControl/>
                    <w:ind w:firstLine="4" w:firstLineChars="2"/>
                    <w:jc w:val="center"/>
                    <w:rPr>
                      <w:rFonts w:hint="default" w:ascii="Times New Roman" w:hAnsi="Times New Roman" w:cs="Times New Roman"/>
                      <w:kern w:val="0"/>
                      <w:sz w:val="21"/>
                      <w:szCs w:val="21"/>
                    </w:rPr>
                  </w:pPr>
                  <w:r>
                    <w:rPr>
                      <w:rStyle w:val="115"/>
                      <w:rFonts w:hint="default" w:ascii="Times New Roman" w:hAnsi="Times New Roman" w:cs="Times New Roman"/>
                      <w:color w:val="0000FF"/>
                    </w:rPr>
                    <w:t>项目性质</w:t>
                  </w:r>
                  <w:r>
                    <w:rPr>
                      <w:rFonts w:hint="default" w:ascii="Times New Roman" w:hAnsi="Times New Roman" w:cs="Times New Roman"/>
                      <w:color w:val="0000FF"/>
                      <w:lang w:val="en-US" w:eastAsia="zh-CN"/>
                    </w:rPr>
                    <w:t>为</w:t>
                  </w:r>
                  <w:r>
                    <w:rPr>
                      <w:rStyle w:val="115"/>
                      <w:rFonts w:hint="default" w:ascii="Times New Roman" w:hAnsi="Times New Roman" w:cs="Times New Roman"/>
                      <w:color w:val="0000FF"/>
                      <w:lang w:val="en-US" w:eastAsia="zh-CN"/>
                    </w:rPr>
                    <w:t>新建项目，行业类别</w:t>
                  </w:r>
                  <w:r>
                    <w:rPr>
                      <w:rStyle w:val="115"/>
                      <w:rFonts w:hint="default" w:ascii="Times New Roman" w:hAnsi="Times New Roman" w:cs="Times New Roman"/>
                      <w:color w:val="0000FF"/>
                    </w:rPr>
                    <w:t>为</w:t>
                  </w:r>
                  <w:r>
                    <w:rPr>
                      <w:rStyle w:val="115"/>
                      <w:rFonts w:hint="default" w:ascii="Times New Roman" w:hAnsi="Times New Roman" w:cs="Times New Roman"/>
                      <w:lang w:val="en-US" w:eastAsia="zh-CN"/>
                    </w:rPr>
                    <w:t>其他基础化学原料制造（单纯物理混合、分装）、油气仓储项目</w:t>
                  </w:r>
                  <w:r>
                    <w:rPr>
                      <w:rStyle w:val="115"/>
                      <w:rFonts w:hint="default" w:ascii="Times New Roman" w:hAnsi="Times New Roman" w:cs="Times New Roman"/>
                    </w:rPr>
                    <w:t>，</w:t>
                  </w:r>
                  <w:r>
                    <w:rPr>
                      <w:rStyle w:val="115"/>
                      <w:rFonts w:hint="default" w:ascii="Times New Roman" w:hAnsi="Times New Roman" w:cs="Times New Roman"/>
                      <w:lang w:val="en-US" w:eastAsia="zh-CN"/>
                    </w:rPr>
                    <w:t>为</w:t>
                  </w:r>
                  <w:r>
                    <w:rPr>
                      <w:rStyle w:val="115"/>
                      <w:rFonts w:hint="default" w:ascii="Times New Roman" w:hAnsi="Times New Roman" w:cs="Times New Roman"/>
                    </w:rPr>
                    <w:t>园区、包头市</w:t>
                  </w:r>
                  <w:r>
                    <w:rPr>
                      <w:rStyle w:val="115"/>
                      <w:rFonts w:hint="default" w:ascii="Times New Roman" w:hAnsi="Times New Roman" w:cs="Times New Roman"/>
                      <w:lang w:val="en-US" w:eastAsia="zh-CN"/>
                    </w:rPr>
                    <w:t>内</w:t>
                  </w:r>
                  <w:r>
                    <w:rPr>
                      <w:rStyle w:val="115"/>
                      <w:rFonts w:hint="default" w:ascii="Times New Roman" w:hAnsi="Times New Roman" w:cs="Times New Roman"/>
                    </w:rPr>
                    <w:t>企业，</w:t>
                  </w:r>
                  <w:r>
                    <w:rPr>
                      <w:rStyle w:val="115"/>
                      <w:rFonts w:hint="default" w:ascii="Times New Roman" w:hAnsi="Times New Roman" w:cs="Times New Roman"/>
                      <w:lang w:val="en-US" w:eastAsia="zh-CN"/>
                    </w:rPr>
                    <w:t>运营后可</w:t>
                  </w:r>
                  <w:r>
                    <w:rPr>
                      <w:rStyle w:val="115"/>
                      <w:rFonts w:hint="default" w:ascii="Times New Roman" w:hAnsi="Times New Roman" w:cs="Times New Roman"/>
                    </w:rPr>
                    <w:t>提供便利的工业气体供应服务</w:t>
                  </w:r>
                  <w:r>
                    <w:rPr>
                      <w:rStyle w:val="115"/>
                      <w:rFonts w:hint="default" w:ascii="Times New Roman" w:hAnsi="Times New Roman" w:cs="Times New Roman"/>
                      <w:lang w:eastAsia="zh-CN"/>
                    </w:rPr>
                    <w:t>，</w:t>
                  </w:r>
                  <w:r>
                    <w:rPr>
                      <w:rFonts w:hint="default" w:ascii="Times New Roman" w:hAnsi="Times New Roman" w:cs="Times New Roman"/>
                      <w:kern w:val="0"/>
                      <w:sz w:val="21"/>
                      <w:szCs w:val="21"/>
                    </w:rPr>
                    <w:t>为园区配套服务设施</w:t>
                  </w:r>
                  <w:r>
                    <w:rPr>
                      <w:rFonts w:hint="default" w:ascii="Times New Roman" w:hAnsi="Times New Roman" w:cs="Times New Roman"/>
                      <w:kern w:val="0"/>
                      <w:sz w:val="21"/>
                      <w:szCs w:val="21"/>
                      <w:lang w:eastAsia="zh-CN"/>
                    </w:rPr>
                    <w:t>。</w:t>
                  </w:r>
                </w:p>
              </w:tc>
              <w:tc>
                <w:tcPr>
                  <w:tcW w:w="534" w:type="pct"/>
                  <w:shd w:val="clear" w:color="auto" w:fill="auto"/>
                  <w:vAlign w:val="center"/>
                </w:tcPr>
                <w:p w14:paraId="2B01FD12">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499FF5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340" w:hRule="atLeast"/>
              </w:trPr>
              <w:tc>
                <w:tcPr>
                  <w:tcW w:w="459" w:type="pct"/>
                  <w:shd w:val="clear" w:color="auto" w:fill="auto"/>
                  <w:vAlign w:val="center"/>
                </w:tcPr>
                <w:p w14:paraId="19ED45D9">
                  <w:pPr>
                    <w:widowControl/>
                    <w:ind w:firstLine="4" w:firstLineChars="2"/>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功能区布局</w:t>
                  </w:r>
                </w:p>
              </w:tc>
              <w:tc>
                <w:tcPr>
                  <w:tcW w:w="2644" w:type="pct"/>
                  <w:shd w:val="clear" w:color="auto" w:fill="auto"/>
                  <w:vAlign w:val="center"/>
                </w:tcPr>
                <w:p w14:paraId="1F589662">
                  <w:pPr>
                    <w:widowControl/>
                    <w:rPr>
                      <w:rFonts w:hint="default" w:ascii="Times New Roman" w:hAnsi="Times New Roman" w:cs="Times New Roman"/>
                      <w:kern w:val="0"/>
                      <w:sz w:val="21"/>
                      <w:szCs w:val="21"/>
                    </w:rPr>
                  </w:pPr>
                  <w:r>
                    <w:rPr>
                      <w:rFonts w:hint="default" w:ascii="Times New Roman" w:hAnsi="Times New Roman" w:cs="Times New Roman"/>
                      <w:kern w:val="0"/>
                      <w:sz w:val="21"/>
                      <w:szCs w:val="21"/>
                    </w:rPr>
                    <w:t>新型化工及高分子材料产业区，中小企业园，超纯铁素体不锈钢新材料产业区，九原公铁海铁国际物流园，新材料及稀土产业区，新材料、新能源、稀土产业及装备制造产业区，储备发展用地。储备发展用地主要作为园区产业发展的备用地。</w:t>
                  </w:r>
                </w:p>
              </w:tc>
              <w:tc>
                <w:tcPr>
                  <w:tcW w:w="1362" w:type="pct"/>
                  <w:shd w:val="clear" w:color="auto" w:fill="auto"/>
                  <w:vAlign w:val="center"/>
                </w:tcPr>
                <w:p w14:paraId="74E62A8B">
                  <w:pPr>
                    <w:widowControl/>
                    <w:ind w:firstLine="4" w:firstLineChars="2"/>
                    <w:jc w:val="center"/>
                    <w:rPr>
                      <w:rFonts w:hint="default" w:ascii="Times New Roman" w:hAnsi="Times New Roman" w:eastAsia="宋体" w:cs="Times New Roman"/>
                      <w:kern w:val="0"/>
                      <w:sz w:val="21"/>
                      <w:szCs w:val="21"/>
                      <w:lang w:eastAsia="zh-CN"/>
                    </w:rPr>
                  </w:pPr>
                  <w:r>
                    <w:rPr>
                      <w:rFonts w:hint="default" w:ascii="Times New Roman" w:hAnsi="Times New Roman" w:cs="Times New Roman"/>
                      <w:kern w:val="0"/>
                      <w:sz w:val="21"/>
                      <w:szCs w:val="21"/>
                    </w:rPr>
                    <w:t>本项目位于</w:t>
                  </w:r>
                  <w:r>
                    <w:rPr>
                      <w:rFonts w:hint="default" w:ascii="Times New Roman" w:hAnsi="Times New Roman" w:cs="Times New Roman"/>
                      <w:sz w:val="21"/>
                      <w:szCs w:val="21"/>
                      <w:lang w:eastAsia="zh-CN"/>
                    </w:rPr>
                    <w:t>园区新型化工及高分子材料产业区</w:t>
                  </w:r>
                  <w:r>
                    <w:rPr>
                      <w:rFonts w:hint="default" w:ascii="Times New Roman" w:hAnsi="Times New Roman" w:cs="Times New Roman"/>
                      <w:kern w:val="0"/>
                      <w:sz w:val="21"/>
                      <w:szCs w:val="21"/>
                    </w:rPr>
                    <w:t>，属于园区主导产业配套的相关产业</w:t>
                  </w:r>
                  <w:r>
                    <w:rPr>
                      <w:rFonts w:hint="default" w:ascii="Times New Roman" w:hAnsi="Times New Roman" w:cs="Times New Roman"/>
                      <w:kern w:val="0"/>
                      <w:sz w:val="21"/>
                      <w:szCs w:val="21"/>
                      <w:lang w:eastAsia="zh-CN"/>
                    </w:rPr>
                    <w:t>。</w:t>
                  </w:r>
                </w:p>
              </w:tc>
              <w:tc>
                <w:tcPr>
                  <w:tcW w:w="534" w:type="pct"/>
                  <w:shd w:val="clear" w:color="auto" w:fill="auto"/>
                  <w:vAlign w:val="center"/>
                </w:tcPr>
                <w:p w14:paraId="20206B79">
                  <w:pPr>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14:paraId="48468BA9">
            <w:pPr>
              <w:spacing w:before="240" w:line="240" w:lineRule="atLeast"/>
              <w:jc w:val="center"/>
              <w:rPr>
                <w:rFonts w:hint="default" w:ascii="Times New Roman" w:hAnsi="Times New Roman" w:cs="Times New Roman"/>
                <w:b/>
                <w:bCs/>
                <w:sz w:val="21"/>
                <w:szCs w:val="21"/>
              </w:rPr>
            </w:pPr>
            <w:r>
              <w:rPr>
                <w:rFonts w:hint="default" w:ascii="Times New Roman" w:hAnsi="Times New Roman" w:cs="Times New Roman"/>
                <w:b/>
                <w:bCs/>
                <w:sz w:val="21"/>
                <w:szCs w:val="21"/>
              </w:rPr>
              <w:t>表1-</w:t>
            </w:r>
            <w:r>
              <w:rPr>
                <w:rFonts w:hint="default" w:ascii="Times New Roman" w:hAnsi="Times New Roman" w:cs="Times New Roman"/>
                <w:b/>
                <w:bCs/>
                <w:sz w:val="21"/>
                <w:szCs w:val="21"/>
                <w:lang w:val="en-US" w:eastAsia="zh-CN"/>
              </w:rPr>
              <w:t>14</w:t>
            </w:r>
            <w:r>
              <w:rPr>
                <w:rFonts w:hint="default" w:ascii="Times New Roman" w:hAnsi="Times New Roman" w:cs="Times New Roman"/>
                <w:b/>
                <w:bCs/>
                <w:sz w:val="21"/>
                <w:szCs w:val="21"/>
              </w:rPr>
              <w:t xml:space="preserve">      园区规划环评准入要求符合性分析表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44"/>
              <w:gridCol w:w="3730"/>
              <w:gridCol w:w="2691"/>
              <w:gridCol w:w="578"/>
            </w:tblGrid>
            <w:tr w14:paraId="5EFEE26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57108447">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项目</w:t>
                  </w:r>
                </w:p>
              </w:tc>
              <w:tc>
                <w:tcPr>
                  <w:tcW w:w="2505" w:type="pct"/>
                  <w:vAlign w:val="center"/>
                </w:tcPr>
                <w:p w14:paraId="0ADEAFA3">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管控要求</w:t>
                  </w:r>
                </w:p>
              </w:tc>
              <w:tc>
                <w:tcPr>
                  <w:tcW w:w="1807" w:type="pct"/>
                  <w:vAlign w:val="center"/>
                </w:tcPr>
                <w:p w14:paraId="6FA904B0">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本项目建设情况</w:t>
                  </w:r>
                </w:p>
              </w:tc>
              <w:tc>
                <w:tcPr>
                  <w:tcW w:w="388" w:type="pct"/>
                  <w:vAlign w:val="center"/>
                </w:tcPr>
                <w:p w14:paraId="4E53FC53">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符合性</w:t>
                  </w:r>
                </w:p>
              </w:tc>
            </w:tr>
            <w:tr w14:paraId="2DFD310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2A0CA7A5">
                  <w:pPr>
                    <w:spacing w:line="300" w:lineRule="exact"/>
                    <w:rPr>
                      <w:rFonts w:hint="default" w:ascii="Times New Roman" w:hAnsi="Times New Roman" w:cs="Times New Roman"/>
                      <w:sz w:val="21"/>
                      <w:szCs w:val="21"/>
                    </w:rPr>
                  </w:pPr>
                  <w:r>
                    <w:rPr>
                      <w:rFonts w:hint="default" w:ascii="Times New Roman" w:hAnsi="Times New Roman" w:cs="Times New Roman"/>
                      <w:sz w:val="21"/>
                      <w:szCs w:val="21"/>
                    </w:rPr>
                    <w:t>产业准入控制</w:t>
                  </w:r>
                </w:p>
              </w:tc>
              <w:tc>
                <w:tcPr>
                  <w:tcW w:w="2505" w:type="pct"/>
                  <w:vAlign w:val="center"/>
                </w:tcPr>
                <w:p w14:paraId="6A997AFC">
                  <w:pPr>
                    <w:pStyle w:val="108"/>
                    <w:jc w:val="left"/>
                    <w:rPr>
                      <w:rFonts w:hint="default" w:ascii="Times New Roman" w:hAnsi="Times New Roman" w:cs="Times New Roman"/>
                      <w:color w:val="auto"/>
                    </w:rPr>
                  </w:pPr>
                  <w:r>
                    <w:rPr>
                      <w:rFonts w:hint="default" w:ascii="Times New Roman" w:hAnsi="Times New Roman" w:cs="Times New Roman"/>
                      <w:color w:val="auto"/>
                    </w:rPr>
                    <w:t>1、入园项目，需满足国家和地方产业政策、园区产业定位、功能区布局要求；清洁生产水平需达到国际国内先进水平；应符合国家颁布的单位产品能源消耗限额要求。</w:t>
                  </w:r>
                </w:p>
                <w:p w14:paraId="4E62F3E9">
                  <w:pPr>
                    <w:pStyle w:val="108"/>
                    <w:jc w:val="left"/>
                    <w:rPr>
                      <w:rFonts w:hint="default" w:ascii="Times New Roman" w:hAnsi="Times New Roman" w:cs="Times New Roman"/>
                      <w:color w:val="auto"/>
                    </w:rPr>
                  </w:pPr>
                  <w:r>
                    <w:rPr>
                      <w:rFonts w:hint="default" w:ascii="Times New Roman" w:hAnsi="Times New Roman" w:cs="Times New Roman"/>
                      <w:color w:val="auto"/>
                    </w:rPr>
                    <w:t>2、禁止新建和扩建火电、炭素、电石、铁合金冶炼、水泥（含粉磨站）、废旧轮胎再生和利用、防水材料等项目。</w:t>
                  </w:r>
                </w:p>
                <w:p w14:paraId="6F514369">
                  <w:pPr>
                    <w:pStyle w:val="108"/>
                    <w:jc w:val="left"/>
                    <w:rPr>
                      <w:rFonts w:hint="default" w:ascii="Times New Roman" w:hAnsi="Times New Roman" w:cs="Times New Roman"/>
                      <w:color w:val="auto"/>
                    </w:rPr>
                  </w:pPr>
                  <w:r>
                    <w:rPr>
                      <w:rFonts w:hint="default" w:ascii="Times New Roman" w:hAnsi="Times New Roman" w:cs="Times New Roman"/>
                      <w:color w:val="auto"/>
                    </w:rPr>
                    <w:t>3、控制高耗能行业产能规模，确有必要建设的，须实施产能和能耗减量置换。</w:t>
                  </w:r>
                </w:p>
                <w:p w14:paraId="36BF6255">
                  <w:pPr>
                    <w:pStyle w:val="108"/>
                    <w:jc w:val="left"/>
                    <w:rPr>
                      <w:rFonts w:hint="default" w:ascii="Times New Roman" w:hAnsi="Times New Roman" w:cs="Times New Roman"/>
                      <w:color w:val="auto"/>
                    </w:rPr>
                  </w:pPr>
                  <w:r>
                    <w:rPr>
                      <w:rFonts w:hint="default" w:ascii="Times New Roman" w:hAnsi="Times New Roman" w:cs="Times New Roman"/>
                      <w:color w:val="auto"/>
                    </w:rPr>
                    <w:t>4、根据《包头市国民经济和社会发展第十四个五年规划和二○三五年远景目标纲要》山南地区（主城区和土默特右旗）不再新建高污染项目。高污染产业类别需根据相关规划、政策或名录等确定，园区内单独或配套发展该类产业应根据内蒙古、包头市相关政策、规划等对产业发展要求的调整适时合理发展。</w:t>
                  </w:r>
                </w:p>
                <w:p w14:paraId="03962CC2">
                  <w:pPr>
                    <w:pStyle w:val="108"/>
                    <w:jc w:val="left"/>
                    <w:rPr>
                      <w:rFonts w:hint="default" w:ascii="Times New Roman" w:hAnsi="Times New Roman" w:cs="Times New Roman"/>
                      <w:color w:val="auto"/>
                      <w:shd w:val="clear" w:color="auto" w:fill="FFFFFF"/>
                    </w:rPr>
                  </w:pPr>
                  <w:r>
                    <w:rPr>
                      <w:rFonts w:hint="default" w:ascii="Times New Roman" w:hAnsi="Times New Roman" w:cs="Times New Roman"/>
                      <w:color w:val="auto"/>
                    </w:rPr>
                    <w:t>5、禁止使用地下水作为生产水源的项目。</w:t>
                  </w:r>
                </w:p>
              </w:tc>
              <w:tc>
                <w:tcPr>
                  <w:tcW w:w="1807" w:type="pct"/>
                  <w:vAlign w:val="center"/>
                </w:tcPr>
                <w:p w14:paraId="2A4B398D">
                  <w:pPr>
                    <w:pStyle w:val="108"/>
                    <w:jc w:val="left"/>
                    <w:rPr>
                      <w:rFonts w:hint="default" w:ascii="Times New Roman" w:hAnsi="Times New Roman" w:cs="Times New Roman"/>
                      <w:color w:val="auto"/>
                    </w:rPr>
                  </w:pPr>
                  <w:r>
                    <w:rPr>
                      <w:rFonts w:hint="default" w:ascii="Times New Roman" w:hAnsi="Times New Roman" w:cs="Times New Roman"/>
                      <w:color w:val="auto"/>
                    </w:rPr>
                    <w:t>1、本项目符合国家产业政策、园区产业定位、功能区布局要求。本项目所属行业暂无清洁生产标准；项目能耗较小。</w:t>
                  </w:r>
                </w:p>
                <w:p w14:paraId="53A30BE1">
                  <w:pPr>
                    <w:pStyle w:val="108"/>
                    <w:jc w:val="left"/>
                    <w:rPr>
                      <w:rFonts w:hint="default" w:ascii="Times New Roman" w:hAnsi="Times New Roman" w:cs="Times New Roman"/>
                      <w:color w:val="auto"/>
                    </w:rPr>
                  </w:pPr>
                  <w:r>
                    <w:rPr>
                      <w:rFonts w:hint="default" w:ascii="Times New Roman" w:hAnsi="Times New Roman" w:cs="Times New Roman"/>
                      <w:color w:val="auto"/>
                    </w:rPr>
                    <w:t>2、本项目不在禁止</w:t>
                  </w:r>
                  <w:r>
                    <w:rPr>
                      <w:rFonts w:hint="default" w:ascii="Times New Roman" w:hAnsi="Times New Roman" w:cs="Times New Roman"/>
                      <w:color w:val="auto"/>
                      <w:lang w:val="en-US" w:eastAsia="zh-CN"/>
                    </w:rPr>
                    <w:t>建设的项目</w:t>
                  </w:r>
                  <w:r>
                    <w:rPr>
                      <w:rFonts w:hint="default" w:ascii="Times New Roman" w:hAnsi="Times New Roman" w:cs="Times New Roman"/>
                      <w:color w:val="auto"/>
                    </w:rPr>
                    <w:t>范围内。</w:t>
                  </w:r>
                </w:p>
                <w:p w14:paraId="3E471C1F">
                  <w:pPr>
                    <w:pStyle w:val="108"/>
                    <w:jc w:val="left"/>
                    <w:rPr>
                      <w:rFonts w:hint="default" w:ascii="Times New Roman" w:hAnsi="Times New Roman" w:cs="Times New Roman"/>
                      <w:color w:val="auto"/>
                    </w:rPr>
                  </w:pPr>
                  <w:r>
                    <w:rPr>
                      <w:rFonts w:hint="default" w:ascii="Times New Roman" w:hAnsi="Times New Roman" w:cs="Times New Roman"/>
                      <w:color w:val="auto"/>
                    </w:rPr>
                    <w:t>3、本项目不属于高耗能行业。</w:t>
                  </w:r>
                </w:p>
                <w:p w14:paraId="2D200E55">
                  <w:pPr>
                    <w:pStyle w:val="108"/>
                    <w:jc w:val="left"/>
                    <w:rPr>
                      <w:rFonts w:hint="default" w:ascii="Times New Roman" w:hAnsi="Times New Roman" w:cs="Times New Roman"/>
                      <w:color w:val="auto"/>
                    </w:rPr>
                  </w:pPr>
                  <w:r>
                    <w:rPr>
                      <w:rFonts w:hint="default" w:ascii="Times New Roman" w:hAnsi="Times New Roman" w:cs="Times New Roman"/>
                      <w:color w:val="auto"/>
                    </w:rPr>
                    <w:t>4、本项目不属于高污染项目。</w:t>
                  </w:r>
                </w:p>
                <w:p w14:paraId="38630E13">
                  <w:pPr>
                    <w:pStyle w:val="108"/>
                    <w:jc w:val="left"/>
                    <w:rPr>
                      <w:rFonts w:hint="default" w:ascii="Times New Roman" w:hAnsi="Times New Roman" w:cs="Times New Roman"/>
                      <w:color w:val="auto"/>
                    </w:rPr>
                  </w:pPr>
                  <w:r>
                    <w:rPr>
                      <w:rFonts w:hint="default" w:ascii="Times New Roman" w:hAnsi="Times New Roman" w:cs="Times New Roman"/>
                      <w:color w:val="auto"/>
                    </w:rPr>
                    <w:t>5、本项目不使用地下水。</w:t>
                  </w:r>
                </w:p>
              </w:tc>
              <w:tc>
                <w:tcPr>
                  <w:tcW w:w="388" w:type="pct"/>
                  <w:vAlign w:val="center"/>
                </w:tcPr>
                <w:p w14:paraId="04D6AD21">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22022B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6E72F653">
                  <w:pPr>
                    <w:spacing w:line="300" w:lineRule="exact"/>
                    <w:rPr>
                      <w:rFonts w:hint="default" w:ascii="Times New Roman" w:hAnsi="Times New Roman" w:cs="Times New Roman"/>
                      <w:sz w:val="21"/>
                      <w:szCs w:val="21"/>
                    </w:rPr>
                  </w:pPr>
                  <w:r>
                    <w:rPr>
                      <w:rFonts w:hint="default" w:ascii="Times New Roman" w:hAnsi="Times New Roman" w:cs="Times New Roman"/>
                      <w:sz w:val="21"/>
                      <w:szCs w:val="21"/>
                    </w:rPr>
                    <w:t>空间布局约束</w:t>
                  </w:r>
                </w:p>
              </w:tc>
              <w:tc>
                <w:tcPr>
                  <w:tcW w:w="2505" w:type="pct"/>
                  <w:vAlign w:val="center"/>
                </w:tcPr>
                <w:p w14:paraId="03293FE9">
                  <w:pPr>
                    <w:pStyle w:val="108"/>
                    <w:jc w:val="left"/>
                    <w:rPr>
                      <w:rFonts w:hint="default" w:ascii="Times New Roman" w:hAnsi="Times New Roman" w:cs="Times New Roman"/>
                      <w:color w:val="auto"/>
                    </w:rPr>
                  </w:pPr>
                  <w:r>
                    <w:rPr>
                      <w:rFonts w:hint="default" w:ascii="Times New Roman" w:hAnsi="Times New Roman" w:cs="Times New Roman"/>
                      <w:color w:val="auto"/>
                    </w:rPr>
                    <w:t>1、从主导风向和环境风险方面考虑，尽量减轻对包头城市建成区等环境敏感目标的不利影响，将环境影响较大的煤化工、新型化工、高碳铬铁、铁素体不锈钢、硅材料等产业布置在园区西侧，将环境影响较轻的稀土、新能源、新材料、装备制造、物流等产业布置在园区东侧。园区内不同产业区之间建有防护隔离带。</w:t>
                  </w:r>
                </w:p>
                <w:p w14:paraId="7FEACE38">
                  <w:pPr>
                    <w:pStyle w:val="108"/>
                    <w:jc w:val="left"/>
                    <w:rPr>
                      <w:rFonts w:hint="default" w:ascii="Times New Roman" w:hAnsi="Times New Roman" w:cs="Times New Roman"/>
                      <w:color w:val="auto"/>
                    </w:rPr>
                  </w:pPr>
                  <w:r>
                    <w:rPr>
                      <w:rFonts w:hint="default" w:ascii="Times New Roman" w:hAnsi="Times New Roman" w:cs="Times New Roman"/>
                      <w:color w:val="auto"/>
                    </w:rPr>
                    <w:t>2、水环境风险较大企业尽量布置在规划的园区事故水池的汇水范围内。</w:t>
                  </w:r>
                </w:p>
              </w:tc>
              <w:tc>
                <w:tcPr>
                  <w:tcW w:w="1807" w:type="pct"/>
                  <w:vAlign w:val="center"/>
                </w:tcPr>
                <w:p w14:paraId="48E94659">
                  <w:pPr>
                    <w:spacing w:line="300" w:lineRule="exact"/>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rPr>
                    <w:t>1、本项目</w:t>
                  </w:r>
                  <w:r>
                    <w:rPr>
                      <w:rFonts w:hint="default" w:ascii="Times New Roman" w:hAnsi="Times New Roman" w:cs="Times New Roman"/>
                      <w:kern w:val="0"/>
                      <w:sz w:val="21"/>
                      <w:szCs w:val="21"/>
                    </w:rPr>
                    <w:t>为</w:t>
                  </w:r>
                  <w:r>
                    <w:rPr>
                      <w:rStyle w:val="115"/>
                      <w:rFonts w:hint="default" w:ascii="Times New Roman" w:hAnsi="Times New Roman" w:cs="Times New Roman"/>
                      <w:lang w:val="en-US" w:eastAsia="zh-CN"/>
                    </w:rPr>
                    <w:t>其他基础化学原料制造（单纯物理混合、分装）、油气仓储项目</w:t>
                  </w:r>
                  <w:r>
                    <w:rPr>
                      <w:rStyle w:val="115"/>
                      <w:rFonts w:hint="default" w:ascii="Times New Roman" w:hAnsi="Times New Roman" w:cs="Times New Roman"/>
                    </w:rPr>
                    <w:t>，位于园区</w:t>
                  </w:r>
                  <w:r>
                    <w:rPr>
                      <w:rStyle w:val="115"/>
                      <w:rFonts w:hint="default" w:ascii="Times New Roman" w:hAnsi="Times New Roman" w:cs="Times New Roman"/>
                      <w:lang w:val="en-US" w:eastAsia="zh-CN"/>
                    </w:rPr>
                    <w:t>南</w:t>
                  </w:r>
                  <w:r>
                    <w:rPr>
                      <w:rStyle w:val="115"/>
                      <w:rFonts w:hint="default" w:ascii="Times New Roman" w:hAnsi="Times New Roman" w:cs="Times New Roman"/>
                    </w:rPr>
                    <w:t>侧。</w:t>
                  </w:r>
                  <w:r>
                    <w:rPr>
                      <w:rStyle w:val="115"/>
                      <w:rFonts w:hint="default" w:ascii="Times New Roman" w:hAnsi="Times New Roman" w:cs="Times New Roman"/>
                      <w:lang w:val="en-US" w:eastAsia="zh-CN"/>
                    </w:rPr>
                    <w:t>项目场站建设符合《液化石油气供应工程设</w:t>
                  </w:r>
                  <w:r>
                    <w:rPr>
                      <w:rFonts w:hint="default" w:ascii="Times New Roman" w:hAnsi="Times New Roman" w:cs="Times New Roman"/>
                      <w:sz w:val="21"/>
                      <w:szCs w:val="21"/>
                      <w:lang w:val="en-US" w:eastAsia="zh-CN"/>
                    </w:rPr>
                    <w:t>计规范》（GB51142-2015）、《石油化工企业设计防火标准》（GB50160-2008）（2018 年版）、《氧气站设计规范》 （GB50030-2013）和《建筑设计防火规范》（GB50016-2014）(2018年版)等相关设计规范的安全、防火设计要求；</w:t>
                  </w:r>
                </w:p>
                <w:p w14:paraId="47BEB6EE">
                  <w:pPr>
                    <w:spacing w:line="300" w:lineRule="exact"/>
                    <w:rPr>
                      <w:rFonts w:hint="default" w:ascii="Times New Roman" w:hAnsi="Times New Roman" w:cs="Times New Roman"/>
                    </w:rPr>
                  </w:pPr>
                  <w:r>
                    <w:rPr>
                      <w:rFonts w:hint="default" w:ascii="Times New Roman" w:hAnsi="Times New Roman" w:cs="Times New Roman"/>
                      <w:sz w:val="21"/>
                      <w:szCs w:val="21"/>
                    </w:rPr>
                    <w:t>2、项目配备消防设施及事故水池，水环境风险可控。</w:t>
                  </w:r>
                </w:p>
              </w:tc>
              <w:tc>
                <w:tcPr>
                  <w:tcW w:w="388" w:type="pct"/>
                  <w:vAlign w:val="center"/>
                </w:tcPr>
                <w:p w14:paraId="41EC0DDB">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7D47CDF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12F10340">
                  <w:pPr>
                    <w:spacing w:line="300" w:lineRule="exact"/>
                    <w:rPr>
                      <w:rFonts w:hint="default" w:ascii="Times New Roman" w:hAnsi="Times New Roman" w:cs="Times New Roman"/>
                      <w:sz w:val="21"/>
                      <w:szCs w:val="21"/>
                    </w:rPr>
                  </w:pPr>
                  <w:r>
                    <w:rPr>
                      <w:rFonts w:hint="default" w:ascii="Times New Roman" w:hAnsi="Times New Roman" w:cs="Times New Roman"/>
                      <w:sz w:val="21"/>
                      <w:szCs w:val="21"/>
                    </w:rPr>
                    <w:t>污染物排放管控</w:t>
                  </w:r>
                </w:p>
              </w:tc>
              <w:tc>
                <w:tcPr>
                  <w:tcW w:w="2505" w:type="pct"/>
                  <w:vAlign w:val="center"/>
                </w:tcPr>
                <w:p w14:paraId="0A9FB067">
                  <w:pPr>
                    <w:pStyle w:val="108"/>
                    <w:jc w:val="left"/>
                    <w:rPr>
                      <w:rFonts w:hint="default" w:ascii="Times New Roman" w:hAnsi="Times New Roman" w:cs="Times New Roman"/>
                      <w:color w:val="auto"/>
                    </w:rPr>
                  </w:pPr>
                  <w:r>
                    <w:rPr>
                      <w:rFonts w:hint="default" w:ascii="Times New Roman" w:hAnsi="Times New Roman" w:cs="Times New Roman"/>
                      <w:color w:val="auto"/>
                    </w:rPr>
                    <w:t>1、严控“两高”项目新增产能，确需建设且符合相关准入要求的，新增主要污染物排放量实行区域削减；园区钢铁、石化、有色、化工等行业新建、改建、扩建项目执行国家特别排放限值或超低排放限值要求。</w:t>
                  </w:r>
                </w:p>
                <w:p w14:paraId="4ABE69E4">
                  <w:pPr>
                    <w:pStyle w:val="108"/>
                    <w:jc w:val="left"/>
                    <w:rPr>
                      <w:rFonts w:hint="default" w:ascii="Times New Roman" w:hAnsi="Times New Roman" w:cs="Times New Roman"/>
                      <w:color w:val="auto"/>
                    </w:rPr>
                  </w:pPr>
                  <w:r>
                    <w:rPr>
                      <w:rFonts w:hint="default" w:ascii="Times New Roman" w:hAnsi="Times New Roman" w:cs="Times New Roman"/>
                      <w:color w:val="auto"/>
                    </w:rPr>
                    <w:t>2、新、改、扩建项目排放二氧化硫、氮氧化物、烟粉尘和挥发性有机污染物的项目，必须落实相关污染物总量减排方案。</w:t>
                  </w:r>
                </w:p>
                <w:p w14:paraId="2E0579B0">
                  <w:pPr>
                    <w:pStyle w:val="108"/>
                    <w:jc w:val="left"/>
                    <w:rPr>
                      <w:rFonts w:hint="default" w:ascii="Times New Roman" w:hAnsi="Times New Roman" w:cs="Times New Roman"/>
                      <w:color w:val="auto"/>
                    </w:rPr>
                  </w:pPr>
                  <w:r>
                    <w:rPr>
                      <w:rFonts w:hint="default" w:ascii="Times New Roman" w:hAnsi="Times New Roman" w:cs="Times New Roman"/>
                      <w:color w:val="auto"/>
                    </w:rPr>
                    <w:t>3、严格限制新建生产和使用高挥发性有机物原辅材料项目，优先开展低VOCs含量原辅材料替代，强化无组织排放控制。</w:t>
                  </w:r>
                </w:p>
                <w:p w14:paraId="0CB88D7C">
                  <w:pPr>
                    <w:pStyle w:val="108"/>
                    <w:jc w:val="left"/>
                    <w:rPr>
                      <w:rFonts w:hint="default" w:ascii="Times New Roman" w:hAnsi="Times New Roman" w:cs="Times New Roman"/>
                      <w:color w:val="auto"/>
                    </w:rPr>
                  </w:pPr>
                  <w:r>
                    <w:rPr>
                      <w:rFonts w:hint="default" w:ascii="Times New Roman" w:hAnsi="Times New Roman" w:cs="Times New Roman"/>
                      <w:color w:val="auto"/>
                    </w:rPr>
                    <w:t>4、强化企业大气污染物排放精细化管理、无组织废气排放控制以及高效治污设施建设。重点行业粉状物料堆场实现全封闭，块状物料安装抑尘设施。</w:t>
                  </w:r>
                </w:p>
                <w:p w14:paraId="276BCEE8">
                  <w:pPr>
                    <w:pStyle w:val="108"/>
                    <w:jc w:val="left"/>
                    <w:rPr>
                      <w:rFonts w:hint="default" w:ascii="Times New Roman" w:hAnsi="Times New Roman" w:cs="Times New Roman"/>
                      <w:color w:val="auto"/>
                    </w:rPr>
                  </w:pPr>
                  <w:r>
                    <w:rPr>
                      <w:rFonts w:hint="default" w:ascii="Times New Roman" w:hAnsi="Times New Roman" w:cs="Times New Roman"/>
                      <w:color w:val="auto"/>
                    </w:rPr>
                    <w:t>5、入园项目，必须根据清污分流、污污分治、深度处理、分质回用的原则设计废水处理处置方案，选用经工业化应用或中试成熟、经济可行的技术。园区存在无纳污水体的环境限制，拟入区项目产生的废水，必须有可靠的处理去向，废水在企业内部处理达到九原水质净化厂和硅产业污水处理设施接管标准后排至污水处理厂，不得进入周边水体。在废水处理技术、废水处置方案等方面具有环保示范意义的项目，优先进入园区。</w:t>
                  </w:r>
                </w:p>
                <w:p w14:paraId="6C41679C">
                  <w:pPr>
                    <w:pStyle w:val="108"/>
                    <w:jc w:val="left"/>
                    <w:rPr>
                      <w:rFonts w:hint="default" w:ascii="Times New Roman" w:hAnsi="Times New Roman" w:cs="Times New Roman"/>
                      <w:color w:val="auto"/>
                    </w:rPr>
                  </w:pPr>
                  <w:r>
                    <w:rPr>
                      <w:rFonts w:hint="default" w:ascii="Times New Roman" w:hAnsi="Times New Roman" w:cs="Times New Roman"/>
                      <w:color w:val="auto"/>
                    </w:rPr>
                    <w:t>6、涉及第一类水污染物的废水需在车间或车间处理设施排放口处理达标后方可排入污水处理设施或零排放。</w:t>
                  </w:r>
                </w:p>
                <w:p w14:paraId="70DAF513">
                  <w:pPr>
                    <w:pStyle w:val="108"/>
                    <w:jc w:val="left"/>
                    <w:rPr>
                      <w:rFonts w:hint="default" w:ascii="Times New Roman" w:hAnsi="Times New Roman" w:cs="Times New Roman"/>
                      <w:color w:val="auto"/>
                    </w:rPr>
                  </w:pPr>
                  <w:r>
                    <w:rPr>
                      <w:rFonts w:hint="default" w:ascii="Times New Roman" w:hAnsi="Times New Roman" w:cs="Times New Roman"/>
                      <w:color w:val="auto"/>
                    </w:rPr>
                    <w:t>7、进入园区的项目，必须落实地下水污染防治工作。根据地下水水文地质情况，合理确定污染防治分区，厂区开展分区防渗，并制定有效的地下水监控和应急措施。暂存池等设施的选址及地下水防渗、监控措施还应参照《危险废物填埋污染控制标准》（GB 18598），防止污染地下水。</w:t>
                  </w:r>
                </w:p>
                <w:p w14:paraId="65D44D22">
                  <w:pPr>
                    <w:pStyle w:val="108"/>
                    <w:jc w:val="left"/>
                    <w:rPr>
                      <w:rFonts w:hint="default" w:ascii="Times New Roman" w:hAnsi="Times New Roman" w:cs="Times New Roman"/>
                      <w:color w:val="auto"/>
                    </w:rPr>
                  </w:pPr>
                  <w:r>
                    <w:rPr>
                      <w:rFonts w:hint="default" w:ascii="Times New Roman" w:hAnsi="Times New Roman" w:cs="Times New Roman"/>
                      <w:color w:val="auto"/>
                    </w:rPr>
                    <w:t>8、固体废物按照“减量化、资源化、无害化”原则对固体废物优先进行处理处置。危险废物立足于项目或园区就近安全处置。园区内各企业产生的工业固废临时贮存，应分类管理、隔离分区贮存，以便分别运往园区渣场隔离分区贮存或方便后续综合利用。废水处理产生的无法资源化利用的盐泥暂按危险废物进行管理；作为副产品外售的应满足适用的产品质量标准要求，并确保作为产品使用时不产生环境问题。</w:t>
                  </w:r>
                </w:p>
                <w:p w14:paraId="0E48FACB">
                  <w:pPr>
                    <w:pStyle w:val="108"/>
                    <w:jc w:val="left"/>
                    <w:rPr>
                      <w:rFonts w:hint="default" w:ascii="Times New Roman" w:hAnsi="Times New Roman" w:cs="Times New Roman"/>
                      <w:color w:val="auto"/>
                    </w:rPr>
                  </w:pPr>
                  <w:r>
                    <w:rPr>
                      <w:rFonts w:hint="default" w:ascii="Times New Roman" w:hAnsi="Times New Roman" w:cs="Times New Roman"/>
                      <w:color w:val="auto"/>
                    </w:rPr>
                    <w:t>9、设备动静密封点、有机液体储存和装卸、污水收集暂存和处理系统、备煤、储煤等环节应采取措施有效控制挥发性有机物（VOCs）、恶臭物质及有毒有害污染物的逸散与排放。非正常排放的废气应送专有设备或火炬等设施处理，严禁直接排放。按照国家及地方规定设置防护距离，防护距离范围内的土地不得规划居住、教育、医疗等功能。</w:t>
                  </w:r>
                </w:p>
                <w:p w14:paraId="182D9381">
                  <w:pPr>
                    <w:pStyle w:val="108"/>
                    <w:jc w:val="left"/>
                    <w:rPr>
                      <w:rFonts w:hint="default" w:ascii="Times New Roman" w:hAnsi="Times New Roman" w:cs="Times New Roman"/>
                      <w:color w:val="auto"/>
                    </w:rPr>
                  </w:pPr>
                  <w:r>
                    <w:rPr>
                      <w:rFonts w:hint="default" w:ascii="Times New Roman" w:hAnsi="Times New Roman" w:cs="Times New Roman"/>
                      <w:color w:val="auto"/>
                    </w:rPr>
                    <w:t>10、采用园区及区域环境自动监测站点对区域环境进行监控，入区企业应建立覆盖常规污染物、特征污染物的环境监测体系，并与当地环境保护部门联网。按照《企业事业单位环境信息公开办法》相关规定向社会公开环境信息。鼓励企业自行开展VOCs监测，并及时主动向当地环保行政主管部门报送监测结果。</w:t>
                  </w:r>
                </w:p>
              </w:tc>
              <w:tc>
                <w:tcPr>
                  <w:tcW w:w="1807" w:type="pct"/>
                  <w:vAlign w:val="center"/>
                </w:tcPr>
                <w:p w14:paraId="1A2EE55D">
                  <w:pPr>
                    <w:spacing w:line="300" w:lineRule="exact"/>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r>
                    <w:rPr>
                      <w:rFonts w:hint="default" w:ascii="Times New Roman" w:hAnsi="Times New Roman" w:cs="Times New Roman"/>
                      <w:sz w:val="21"/>
                      <w:szCs w:val="21"/>
                    </w:rPr>
                    <w:t>项目不属于</w:t>
                  </w:r>
                  <w:r>
                    <w:rPr>
                      <w:rFonts w:hint="default" w:ascii="Times New Roman" w:hAnsi="Times New Roman" w:cs="Times New Roman"/>
                      <w:sz w:val="21"/>
                      <w:szCs w:val="21"/>
                      <w:lang w:eastAsia="zh-CN"/>
                    </w:rPr>
                    <w:t>“</w:t>
                  </w:r>
                  <w:r>
                    <w:rPr>
                      <w:rFonts w:hint="default" w:ascii="Times New Roman" w:hAnsi="Times New Roman" w:cs="Times New Roman"/>
                      <w:sz w:val="21"/>
                      <w:szCs w:val="21"/>
                    </w:rPr>
                    <w:t>两高</w:t>
                  </w:r>
                  <w:r>
                    <w:rPr>
                      <w:rFonts w:hint="default" w:ascii="Times New Roman" w:hAnsi="Times New Roman" w:cs="Times New Roman"/>
                      <w:sz w:val="21"/>
                      <w:szCs w:val="21"/>
                      <w:lang w:eastAsia="zh-CN"/>
                    </w:rPr>
                    <w:t>”</w:t>
                  </w:r>
                  <w:r>
                    <w:rPr>
                      <w:rFonts w:hint="default" w:ascii="Times New Roman" w:hAnsi="Times New Roman" w:cs="Times New Roman"/>
                      <w:sz w:val="21"/>
                      <w:szCs w:val="21"/>
                    </w:rPr>
                    <w:t>项目</w:t>
                  </w:r>
                  <w:r>
                    <w:rPr>
                      <w:rFonts w:hint="default" w:ascii="Times New Roman" w:hAnsi="Times New Roman" w:cs="Times New Roman"/>
                      <w:sz w:val="21"/>
                      <w:szCs w:val="21"/>
                      <w:lang w:eastAsia="zh-CN"/>
                    </w:rPr>
                    <w:t>，</w:t>
                  </w:r>
                  <w:r>
                    <w:rPr>
                      <w:rFonts w:hint="default" w:ascii="Times New Roman" w:hAnsi="Times New Roman" w:cs="Times New Roman"/>
                      <w:sz w:val="21"/>
                      <w:szCs w:val="21"/>
                    </w:rPr>
                    <w:t>本项目严格落实污染物总量减排方案；</w:t>
                  </w:r>
                </w:p>
                <w:p w14:paraId="62CAB5EA">
                  <w:pPr>
                    <w:spacing w:line="300" w:lineRule="exac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w:t>
                  </w:r>
                  <w:r>
                    <w:rPr>
                      <w:rFonts w:hint="default" w:ascii="Times New Roman" w:hAnsi="Times New Roman" w:cs="Times New Roman"/>
                      <w:sz w:val="21"/>
                      <w:szCs w:val="21"/>
                    </w:rPr>
                    <w:t>项目</w:t>
                  </w:r>
                  <w:r>
                    <w:rPr>
                      <w:rFonts w:hint="default" w:ascii="Times New Roman" w:hAnsi="Times New Roman" w:cs="Times New Roman"/>
                      <w:sz w:val="21"/>
                      <w:szCs w:val="21"/>
                      <w:lang w:val="en-US" w:eastAsia="zh-CN"/>
                    </w:rPr>
                    <w:t>生产过程中</w:t>
                  </w:r>
                  <w:r>
                    <w:rPr>
                      <w:rFonts w:hint="default" w:ascii="Times New Roman" w:hAnsi="Times New Roman" w:cs="Times New Roman"/>
                      <w:color w:val="auto"/>
                    </w:rPr>
                    <w:t>排放二氧化硫、氮氧化物、烟粉尘和挥发性有机污染物的项目，落实相关污染物总量减排方案</w:t>
                  </w:r>
                  <w:r>
                    <w:rPr>
                      <w:rFonts w:hint="default" w:ascii="Times New Roman" w:hAnsi="Times New Roman" w:cs="Times New Roman"/>
                      <w:sz w:val="21"/>
                      <w:szCs w:val="21"/>
                      <w:lang w:val="en-US" w:eastAsia="zh-CN"/>
                    </w:rPr>
                    <w:t>；</w:t>
                  </w:r>
                </w:p>
                <w:p w14:paraId="66279069">
                  <w:pPr>
                    <w:spacing w:line="300" w:lineRule="exact"/>
                    <w:rPr>
                      <w:rFonts w:hint="default" w:ascii="Times New Roman" w:hAnsi="Times New Roman" w:cs="Times New Roman"/>
                      <w:sz w:val="21"/>
                      <w:szCs w:val="21"/>
                    </w:rPr>
                  </w:pPr>
                  <w:r>
                    <w:rPr>
                      <w:rFonts w:hint="default" w:ascii="Times New Roman" w:hAnsi="Times New Roman" w:cs="Times New Roman"/>
                      <w:sz w:val="21"/>
                      <w:szCs w:val="21"/>
                      <w:lang w:val="en-US" w:eastAsia="zh-CN"/>
                    </w:rPr>
                    <w:t>3.</w:t>
                  </w:r>
                  <w:r>
                    <w:rPr>
                      <w:rFonts w:hint="default" w:ascii="Times New Roman" w:hAnsi="Times New Roman" w:cs="Times New Roman"/>
                      <w:sz w:val="21"/>
                      <w:szCs w:val="21"/>
                    </w:rPr>
                    <w:t>项目</w:t>
                  </w:r>
                  <w:r>
                    <w:rPr>
                      <w:rFonts w:hint="default" w:ascii="Times New Roman" w:hAnsi="Times New Roman" w:cs="Times New Roman"/>
                      <w:sz w:val="21"/>
                      <w:szCs w:val="21"/>
                      <w:lang w:val="en-US" w:eastAsia="zh-CN"/>
                    </w:rPr>
                    <w:t>生产过程中产生的有机废气，以无组织方式逸散，</w:t>
                  </w:r>
                  <w:r>
                    <w:rPr>
                      <w:rFonts w:hint="eastAsia" w:cs="Times New Roman"/>
                      <w:sz w:val="21"/>
                      <w:szCs w:val="21"/>
                      <w:lang w:val="en-US" w:eastAsia="zh-CN"/>
                    </w:rPr>
                    <w:t>焚烧</w:t>
                  </w:r>
                  <w:r>
                    <w:rPr>
                      <w:rFonts w:hint="default" w:ascii="Times New Roman" w:hAnsi="Times New Roman" w:cs="Times New Roman"/>
                      <w:sz w:val="21"/>
                      <w:szCs w:val="21"/>
                      <w:lang w:val="en-US" w:eastAsia="zh-CN"/>
                    </w:rPr>
                    <w:t>燃烧废气采用低氮燃烧技术，抛丸废气配备布袋除尘器处理</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喷塑含尘废气经滤筒式粉尘回收处理；丝印、固化废气产生量较小，可达标排放，各废气产生点均配备有效的废气治理措施达标排放；</w:t>
                  </w:r>
                  <w:r>
                    <w:rPr>
                      <w:rFonts w:hint="default" w:ascii="Times New Roman" w:hAnsi="Times New Roman" w:cs="Times New Roman"/>
                      <w:sz w:val="21"/>
                      <w:szCs w:val="21"/>
                    </w:rPr>
                    <w:t>项目采用了有效的污染物治理措施，大气污染物达标排放；</w:t>
                  </w:r>
                </w:p>
                <w:p w14:paraId="2567D477">
                  <w:pPr>
                    <w:spacing w:line="300" w:lineRule="exact"/>
                    <w:rPr>
                      <w:rFonts w:hint="default" w:ascii="Times New Roman" w:hAnsi="Times New Roman" w:cs="Times New Roman"/>
                      <w:sz w:val="21"/>
                      <w:szCs w:val="21"/>
                    </w:rPr>
                  </w:pPr>
                  <w:r>
                    <w:rPr>
                      <w:rFonts w:hint="default" w:ascii="Times New Roman" w:hAnsi="Times New Roman" w:cs="Times New Roman"/>
                      <w:sz w:val="21"/>
                      <w:szCs w:val="21"/>
                      <w:lang w:val="en-US" w:eastAsia="zh-CN"/>
                    </w:rPr>
                    <w:t>4.外排</w:t>
                  </w:r>
                  <w:r>
                    <w:rPr>
                      <w:rFonts w:hint="default" w:ascii="Times New Roman" w:hAnsi="Times New Roman" w:cs="Times New Roman"/>
                      <w:sz w:val="21"/>
                      <w:szCs w:val="21"/>
                    </w:rPr>
                    <w:t>废水仅生活污水排放，排至园区污水管网，最终进入九原水质净化厂；</w:t>
                  </w:r>
                  <w:r>
                    <w:rPr>
                      <w:rFonts w:hint="default" w:ascii="Times New Roman" w:hAnsi="Times New Roman" w:cs="Times New Roman"/>
                      <w:color w:val="auto"/>
                      <w:sz w:val="21"/>
                      <w:szCs w:val="21"/>
                    </w:rPr>
                    <w:t>项目正常情况生产废水</w:t>
                  </w:r>
                  <w:r>
                    <w:rPr>
                      <w:rFonts w:hint="default" w:ascii="Times New Roman" w:hAnsi="Times New Roman" w:cs="Times New Roman"/>
                      <w:color w:val="auto"/>
                      <w:sz w:val="21"/>
                      <w:szCs w:val="21"/>
                      <w:lang w:val="en-US" w:eastAsia="zh-CN"/>
                    </w:rPr>
                    <w:t>排入污水管网</w:t>
                  </w:r>
                  <w:r>
                    <w:rPr>
                      <w:rFonts w:hint="default" w:ascii="Times New Roman" w:hAnsi="Times New Roman" w:cs="Times New Roman"/>
                      <w:color w:val="auto"/>
                      <w:sz w:val="21"/>
                      <w:szCs w:val="21"/>
                    </w:rPr>
                    <w:t>，受污染的初期雨水可全部收集至初期雨水池，事故废水可全部收集至事故水池，委托有资质单位处理；</w:t>
                  </w:r>
                  <w:r>
                    <w:rPr>
                      <w:rFonts w:hint="default" w:ascii="Times New Roman" w:hAnsi="Times New Roman" w:cs="Times New Roman"/>
                      <w:sz w:val="21"/>
                      <w:szCs w:val="21"/>
                    </w:rPr>
                    <w:t>本项目严格落实地下水污染防治工作，严格按照标准及规范要求进行分区防渗；</w:t>
                  </w:r>
                </w:p>
                <w:p w14:paraId="091A43AA">
                  <w:pPr>
                    <w:spacing w:line="300" w:lineRule="exact"/>
                    <w:rPr>
                      <w:rFonts w:hint="default" w:ascii="Times New Roman" w:hAnsi="Times New Roman" w:cs="Times New Roman"/>
                      <w:sz w:val="21"/>
                      <w:szCs w:val="21"/>
                    </w:rPr>
                  </w:pP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项目危险废物经暂存后，最终转运至包头及周边有相关危险废物处置资质的企业处置；</w:t>
                  </w:r>
                </w:p>
                <w:p w14:paraId="7A31B8AD">
                  <w:pPr>
                    <w:spacing w:line="300" w:lineRule="exact"/>
                    <w:rPr>
                      <w:rFonts w:hint="default" w:ascii="Times New Roman" w:hAnsi="Times New Roman" w:cs="Times New Roman"/>
                      <w:sz w:val="21"/>
                      <w:szCs w:val="21"/>
                    </w:rPr>
                  </w:pPr>
                  <w:r>
                    <w:rPr>
                      <w:rFonts w:hint="default" w:ascii="Times New Roman" w:hAnsi="Times New Roman" w:cs="Times New Roman"/>
                      <w:sz w:val="21"/>
                      <w:szCs w:val="21"/>
                      <w:lang w:val="en-US" w:eastAsia="zh-CN"/>
                    </w:rPr>
                    <w:t>6.</w:t>
                  </w:r>
                  <w:r>
                    <w:rPr>
                      <w:rFonts w:hint="default" w:ascii="Times New Roman" w:hAnsi="Times New Roman" w:cs="Times New Roman"/>
                      <w:sz w:val="21"/>
                      <w:szCs w:val="21"/>
                    </w:rPr>
                    <w:t>评价要求企业制定跟踪监测计划，在运行后按照监测计划开展例行监测并按规定向社会公开。</w:t>
                  </w:r>
                </w:p>
              </w:tc>
              <w:tc>
                <w:tcPr>
                  <w:tcW w:w="388" w:type="pct"/>
                  <w:vAlign w:val="center"/>
                </w:tcPr>
                <w:p w14:paraId="5471CF2C">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74EC63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59C0C020">
                  <w:pPr>
                    <w:spacing w:line="300" w:lineRule="exact"/>
                    <w:rPr>
                      <w:rFonts w:hint="default" w:ascii="Times New Roman" w:hAnsi="Times New Roman" w:cs="Times New Roman"/>
                      <w:sz w:val="21"/>
                      <w:szCs w:val="21"/>
                    </w:rPr>
                  </w:pPr>
                  <w:r>
                    <w:rPr>
                      <w:rFonts w:hint="default" w:ascii="Times New Roman" w:hAnsi="Times New Roman" w:cs="Times New Roman"/>
                      <w:sz w:val="21"/>
                      <w:szCs w:val="21"/>
                    </w:rPr>
                    <w:t>环境风险防控</w:t>
                  </w:r>
                </w:p>
              </w:tc>
              <w:tc>
                <w:tcPr>
                  <w:tcW w:w="2505" w:type="pct"/>
                  <w:vAlign w:val="center"/>
                </w:tcPr>
                <w:p w14:paraId="549D30AF">
                  <w:pPr>
                    <w:pStyle w:val="108"/>
                    <w:jc w:val="left"/>
                    <w:rPr>
                      <w:rFonts w:hint="default" w:ascii="Times New Roman" w:hAnsi="Times New Roman" w:cs="Times New Roman"/>
                      <w:color w:val="auto"/>
                    </w:rPr>
                  </w:pPr>
                  <w:r>
                    <w:rPr>
                      <w:rFonts w:hint="default" w:ascii="Times New Roman" w:hAnsi="Times New Roman" w:cs="Times New Roman"/>
                      <w:color w:val="auto"/>
                    </w:rPr>
                    <w:t>1、生产、存储有毒有害、易燃易爆气体的企业，应配套有效措施，防止因扩散污染大气环境。</w:t>
                  </w:r>
                </w:p>
                <w:p w14:paraId="533D5A86">
                  <w:pPr>
                    <w:pStyle w:val="108"/>
                    <w:jc w:val="left"/>
                    <w:rPr>
                      <w:rFonts w:hint="default" w:ascii="Times New Roman" w:hAnsi="Times New Roman" w:cs="Times New Roman"/>
                      <w:color w:val="auto"/>
                    </w:rPr>
                  </w:pPr>
                  <w:r>
                    <w:rPr>
                      <w:rFonts w:hint="default" w:ascii="Times New Roman" w:hAnsi="Times New Roman" w:cs="Times New Roman"/>
                      <w:color w:val="auto"/>
                    </w:rPr>
                    <w:t>2、入园重点项目必须同时分别设置初期雨水收集池和事故水池，不得“一池两用”；建设合理规模的风险事故应急池及其他应急设施，确保在任何情况下，企业产生的废水均不会进入周边水体。并对事故废水进行有效收集，妥善处理后全部回用，禁止外排。构建与园区管委会、区政府和相关部门以及周边企业、项目区相衔接的区域环境风险联防联控机制。</w:t>
                  </w:r>
                </w:p>
                <w:p w14:paraId="3FB84BF7">
                  <w:pPr>
                    <w:pStyle w:val="108"/>
                    <w:jc w:val="left"/>
                    <w:rPr>
                      <w:rFonts w:hint="default" w:ascii="Times New Roman" w:hAnsi="Times New Roman" w:cs="Times New Roman"/>
                      <w:color w:val="auto"/>
                    </w:rPr>
                  </w:pPr>
                  <w:r>
                    <w:rPr>
                      <w:rFonts w:hint="default" w:ascii="Times New Roman" w:hAnsi="Times New Roman" w:cs="Times New Roman"/>
                      <w:color w:val="auto"/>
                    </w:rPr>
                    <w:t>3、产生、利用或处置固体废物（含危险废物）的企业，在贮存、转移、利用、处置固体废物（含危险废物）过程中，应配套防扬散、防流失、防渗漏及其他防止污染环境的措施。</w:t>
                  </w:r>
                </w:p>
                <w:p w14:paraId="563B76D8">
                  <w:pPr>
                    <w:pStyle w:val="108"/>
                    <w:jc w:val="left"/>
                    <w:rPr>
                      <w:rFonts w:hint="default" w:ascii="Times New Roman" w:hAnsi="Times New Roman" w:cs="Times New Roman"/>
                      <w:color w:val="auto"/>
                    </w:rPr>
                  </w:pPr>
                  <w:r>
                    <w:rPr>
                      <w:rFonts w:hint="default" w:ascii="Times New Roman" w:hAnsi="Times New Roman" w:cs="Times New Roman"/>
                      <w:color w:val="auto"/>
                    </w:rPr>
                    <w:t>4、土壤污染重点监管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p>
                <w:p w14:paraId="0091F335">
                  <w:pPr>
                    <w:pStyle w:val="108"/>
                    <w:jc w:val="left"/>
                    <w:rPr>
                      <w:rFonts w:hint="default" w:ascii="Times New Roman" w:hAnsi="Times New Roman" w:cs="Times New Roman"/>
                      <w:color w:val="auto"/>
                    </w:rPr>
                  </w:pPr>
                  <w:r>
                    <w:rPr>
                      <w:rFonts w:hint="default" w:ascii="Times New Roman" w:hAnsi="Times New Roman" w:cs="Times New Roman"/>
                      <w:color w:val="auto"/>
                    </w:rPr>
                    <w:t>5、入区项目应编制突发环境事件应急预案。</w:t>
                  </w:r>
                </w:p>
              </w:tc>
              <w:tc>
                <w:tcPr>
                  <w:tcW w:w="1807" w:type="pct"/>
                  <w:vAlign w:val="center"/>
                </w:tcPr>
                <w:p w14:paraId="7D18A863">
                  <w:pPr>
                    <w:spacing w:line="300" w:lineRule="exact"/>
                    <w:rPr>
                      <w:rFonts w:hint="default" w:ascii="Times New Roman" w:hAnsi="Times New Roman" w:cs="Times New Roman"/>
                      <w:sz w:val="21"/>
                      <w:szCs w:val="21"/>
                    </w:rPr>
                  </w:pPr>
                  <w:r>
                    <w:rPr>
                      <w:rFonts w:hint="default" w:ascii="Times New Roman" w:hAnsi="Times New Roman" w:cs="Times New Roman"/>
                      <w:sz w:val="21"/>
                      <w:szCs w:val="21"/>
                    </w:rPr>
                    <w:t>本项目配备有效的风险防范措施</w:t>
                  </w:r>
                  <w:r>
                    <w:rPr>
                      <w:rFonts w:hint="default" w:ascii="Times New Roman" w:hAnsi="Times New Roman" w:cs="Times New Roman"/>
                      <w:color w:val="auto"/>
                      <w:sz w:val="21"/>
                      <w:szCs w:val="21"/>
                    </w:rPr>
                    <w:t>，配备消火栓、烟感、视频监控等，储存区域设置围堰及导流渠，并设置初期雨水池和事故池，建立企业、园区、区域三级环境风险防控体系</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防止泄漏物、消防废水等进入园区外环境；项目配套建设事故池，事故废水收集后委托有资质单位处理，确保在任何情况下，企业产生的废水均不会进入周边水体；项目收集、转移危险废物的运输过程委托专业的危险废物运输公司承担，配套防扬散、防流失、防渗漏及其他防止污染环境的措施。项目在投产运行前需编制突发环境事件应急预案并备案，建立企业、园区、区域三级环境风险防控体系。</w:t>
                  </w:r>
                </w:p>
              </w:tc>
              <w:tc>
                <w:tcPr>
                  <w:tcW w:w="388" w:type="pct"/>
                  <w:vAlign w:val="center"/>
                </w:tcPr>
                <w:p w14:paraId="691F628F">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1B750E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5B11E399">
                  <w:pPr>
                    <w:spacing w:line="300" w:lineRule="exact"/>
                    <w:rPr>
                      <w:rFonts w:hint="default" w:ascii="Times New Roman" w:hAnsi="Times New Roman" w:cs="Times New Roman"/>
                      <w:sz w:val="21"/>
                      <w:szCs w:val="21"/>
                    </w:rPr>
                  </w:pPr>
                  <w:r>
                    <w:rPr>
                      <w:rFonts w:hint="default" w:ascii="Times New Roman" w:hAnsi="Times New Roman" w:cs="Times New Roman"/>
                      <w:sz w:val="21"/>
                      <w:szCs w:val="21"/>
                    </w:rPr>
                    <w:t>资源开发利用管控</w:t>
                  </w:r>
                </w:p>
              </w:tc>
              <w:tc>
                <w:tcPr>
                  <w:tcW w:w="2505" w:type="pct"/>
                  <w:vAlign w:val="center"/>
                </w:tcPr>
                <w:p w14:paraId="40D0E719">
                  <w:pPr>
                    <w:pStyle w:val="108"/>
                    <w:jc w:val="left"/>
                    <w:rPr>
                      <w:rFonts w:hint="default" w:ascii="Times New Roman" w:hAnsi="Times New Roman" w:cs="Times New Roman"/>
                      <w:color w:val="auto"/>
                    </w:rPr>
                  </w:pPr>
                  <w:r>
                    <w:rPr>
                      <w:rFonts w:hint="default" w:ascii="Times New Roman" w:hAnsi="Times New Roman" w:cs="Times New Roman"/>
                      <w:color w:val="auto"/>
                    </w:rPr>
                    <w:t>1、科学实施能源消费总量和强度“双控”，新建高能耗项目单位产品（产值）能耗达到国际国内先进水平。</w:t>
                  </w:r>
                </w:p>
                <w:p w14:paraId="202ACC8E">
                  <w:pPr>
                    <w:pStyle w:val="108"/>
                    <w:jc w:val="left"/>
                    <w:rPr>
                      <w:rFonts w:hint="default" w:ascii="Times New Roman" w:hAnsi="Times New Roman" w:cs="Times New Roman"/>
                      <w:color w:val="auto"/>
                    </w:rPr>
                  </w:pPr>
                  <w:r>
                    <w:rPr>
                      <w:rFonts w:hint="default" w:ascii="Times New Roman" w:hAnsi="Times New Roman" w:cs="Times New Roman"/>
                      <w:color w:val="auto"/>
                    </w:rPr>
                    <w:t>2、坚持“以水定产业、以水定规模”，提高园区水资源利用效率，提升污水回用比例，园区引入项目应重点评估水耗指标，取用地表水不得挤占生态用水、生活用水和农业用水。禁止取用地下水作为生产用水，优先选用中水作为工业用水。</w:t>
                  </w:r>
                </w:p>
                <w:p w14:paraId="634552E8">
                  <w:pPr>
                    <w:pStyle w:val="108"/>
                    <w:jc w:val="left"/>
                    <w:rPr>
                      <w:rFonts w:hint="default" w:ascii="Times New Roman" w:hAnsi="Times New Roman" w:cs="Times New Roman"/>
                      <w:color w:val="auto"/>
                    </w:rPr>
                  </w:pPr>
                  <w:r>
                    <w:rPr>
                      <w:rFonts w:hint="default" w:ascii="Times New Roman" w:hAnsi="Times New Roman" w:cs="Times New Roman"/>
                      <w:color w:val="auto"/>
                    </w:rPr>
                    <w:t>3、落实单位土地面积投资强度、土地利用强度等建设用地控制性指标要求，提高土地利用效率。</w:t>
                  </w:r>
                </w:p>
                <w:p w14:paraId="6B4511CB">
                  <w:pPr>
                    <w:pStyle w:val="108"/>
                    <w:jc w:val="left"/>
                    <w:rPr>
                      <w:rFonts w:hint="default" w:ascii="Times New Roman" w:hAnsi="Times New Roman" w:cs="Times New Roman"/>
                      <w:color w:val="auto"/>
                    </w:rPr>
                  </w:pPr>
                  <w:r>
                    <w:rPr>
                      <w:rFonts w:hint="default" w:ascii="Times New Roman" w:hAnsi="Times New Roman" w:cs="Times New Roman"/>
                      <w:color w:val="auto"/>
                    </w:rPr>
                    <w:t>4、有行业清洁生产标准的新引进项目清洁生产水平须达到本行业国际先进水平。</w:t>
                  </w:r>
                </w:p>
                <w:p w14:paraId="077BC8B1">
                  <w:pPr>
                    <w:pStyle w:val="108"/>
                    <w:jc w:val="left"/>
                    <w:rPr>
                      <w:rFonts w:hint="default" w:ascii="Times New Roman" w:hAnsi="Times New Roman" w:cs="Times New Roman"/>
                      <w:color w:val="auto"/>
                    </w:rPr>
                  </w:pPr>
                  <w:r>
                    <w:rPr>
                      <w:rFonts w:hint="default" w:ascii="Times New Roman" w:hAnsi="Times New Roman" w:cs="Times New Roman"/>
                      <w:color w:val="auto"/>
                    </w:rPr>
                    <w:t>5、推进能源梯级利用，降低单位产品的能耗，实现能源梯级利用、余热废热回收，尽可能的提高能源效率，降低能源消耗量，鼓励使用清洁燃料或可再生能源。</w:t>
                  </w:r>
                </w:p>
              </w:tc>
              <w:tc>
                <w:tcPr>
                  <w:tcW w:w="1807" w:type="pct"/>
                  <w:vAlign w:val="center"/>
                </w:tcPr>
                <w:p w14:paraId="12A0D28C">
                  <w:pPr>
                    <w:spacing w:line="300" w:lineRule="exact"/>
                    <w:rPr>
                      <w:rFonts w:hint="default" w:ascii="Times New Roman" w:hAnsi="Times New Roman" w:cs="Times New Roman"/>
                      <w:kern w:val="0"/>
                      <w:sz w:val="21"/>
                      <w:szCs w:val="21"/>
                    </w:rPr>
                  </w:pPr>
                  <w:r>
                    <w:rPr>
                      <w:rFonts w:hint="default" w:ascii="Times New Roman" w:hAnsi="Times New Roman" w:cs="Times New Roman"/>
                      <w:kern w:val="0"/>
                      <w:sz w:val="21"/>
                      <w:szCs w:val="21"/>
                    </w:rPr>
                    <w:t>本项目不属于高耗能高排放项目；项目</w:t>
                  </w:r>
                  <w:r>
                    <w:rPr>
                      <w:rFonts w:hint="default" w:ascii="Times New Roman" w:hAnsi="Times New Roman" w:cs="Times New Roman"/>
                      <w:kern w:val="0"/>
                      <w:sz w:val="21"/>
                      <w:szCs w:val="21"/>
                      <w:lang w:val="en-US" w:eastAsia="zh-CN"/>
                    </w:rPr>
                    <w:t>生产生活供水由园区供水管网提供，不采用地下水</w:t>
                  </w:r>
                  <w:r>
                    <w:rPr>
                      <w:rFonts w:hint="default" w:ascii="Times New Roman" w:hAnsi="Times New Roman" w:cs="Times New Roman"/>
                      <w:kern w:val="0"/>
                      <w:sz w:val="21"/>
                      <w:szCs w:val="21"/>
                    </w:rPr>
                    <w:t>；项目满足建设用地控制指标要求；项目无清洁生产标准；项目能源用量较少。</w:t>
                  </w:r>
                </w:p>
              </w:tc>
              <w:tc>
                <w:tcPr>
                  <w:tcW w:w="388" w:type="pct"/>
                  <w:vAlign w:val="center"/>
                </w:tcPr>
                <w:p w14:paraId="46FD015D">
                  <w:pPr>
                    <w:spacing w:line="300" w:lineRule="exact"/>
                    <w:jc w:val="center"/>
                    <w:rPr>
                      <w:rFonts w:hint="default" w:ascii="Times New Roman" w:hAnsi="Times New Roman" w:cs="Times New Roman"/>
                      <w:kern w:val="0"/>
                      <w:sz w:val="21"/>
                      <w:szCs w:val="21"/>
                    </w:rPr>
                  </w:pPr>
                  <w:r>
                    <w:rPr>
                      <w:rFonts w:hint="default" w:ascii="Times New Roman" w:hAnsi="Times New Roman" w:cs="Times New Roman"/>
                      <w:sz w:val="21"/>
                      <w:szCs w:val="21"/>
                    </w:rPr>
                    <w:t>符合</w:t>
                  </w:r>
                </w:p>
              </w:tc>
            </w:tr>
          </w:tbl>
          <w:p w14:paraId="62BAD24B">
            <w:pPr>
              <w:spacing w:before="240" w:line="240" w:lineRule="atLeast"/>
              <w:jc w:val="center"/>
              <w:rPr>
                <w:rFonts w:hint="default" w:ascii="Times New Roman" w:hAnsi="Times New Roman" w:cs="Times New Roman"/>
                <w:b/>
                <w:bCs/>
                <w:sz w:val="21"/>
                <w:szCs w:val="21"/>
              </w:rPr>
            </w:pPr>
            <w:r>
              <w:rPr>
                <w:rFonts w:hint="default" w:ascii="Times New Roman" w:hAnsi="Times New Roman" w:cs="Times New Roman"/>
                <w:b/>
                <w:bCs/>
                <w:sz w:val="21"/>
                <w:szCs w:val="21"/>
              </w:rPr>
              <w:t>表1-</w:t>
            </w:r>
            <w:r>
              <w:rPr>
                <w:rFonts w:hint="default" w:ascii="Times New Roman" w:hAnsi="Times New Roman" w:cs="Times New Roman"/>
                <w:b/>
                <w:bCs/>
                <w:sz w:val="21"/>
                <w:szCs w:val="21"/>
                <w:lang w:val="en-US" w:eastAsia="zh-CN"/>
              </w:rPr>
              <w:t>15</w:t>
            </w:r>
            <w:r>
              <w:rPr>
                <w:rFonts w:hint="default" w:ascii="Times New Roman" w:hAnsi="Times New Roman" w:cs="Times New Roman"/>
                <w:b/>
                <w:bCs/>
                <w:sz w:val="21"/>
                <w:szCs w:val="21"/>
              </w:rPr>
              <w:t xml:space="preserve">  本项目与园区规划环评审查意见符合性分析表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44"/>
              <w:gridCol w:w="3732"/>
              <w:gridCol w:w="2689"/>
              <w:gridCol w:w="578"/>
            </w:tblGrid>
            <w:tr w14:paraId="096B56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4F57969C">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项目</w:t>
                  </w:r>
                </w:p>
              </w:tc>
              <w:tc>
                <w:tcPr>
                  <w:tcW w:w="2507" w:type="pct"/>
                  <w:vAlign w:val="center"/>
                </w:tcPr>
                <w:p w14:paraId="46AAE270">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审查意见要求</w:t>
                  </w:r>
                </w:p>
              </w:tc>
              <w:tc>
                <w:tcPr>
                  <w:tcW w:w="1806" w:type="pct"/>
                  <w:vAlign w:val="center"/>
                </w:tcPr>
                <w:p w14:paraId="4707E154">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本项目建设情况</w:t>
                  </w:r>
                </w:p>
              </w:tc>
              <w:tc>
                <w:tcPr>
                  <w:tcW w:w="388" w:type="pct"/>
                  <w:vAlign w:val="center"/>
                </w:tcPr>
                <w:p w14:paraId="13C913A8">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符合性</w:t>
                  </w:r>
                </w:p>
              </w:tc>
            </w:tr>
            <w:tr w14:paraId="00E2C8B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0228C874">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2507" w:type="pct"/>
                  <w:vAlign w:val="center"/>
                </w:tcPr>
                <w:p w14:paraId="0347B753">
                  <w:pPr>
                    <w:pStyle w:val="108"/>
                    <w:jc w:val="left"/>
                    <w:rPr>
                      <w:rFonts w:hint="default" w:ascii="Times New Roman" w:hAnsi="Times New Roman" w:cs="Times New Roman"/>
                      <w:color w:val="auto"/>
                    </w:rPr>
                  </w:pPr>
                  <w:r>
                    <w:rPr>
                      <w:rFonts w:hint="default" w:ascii="Times New Roman" w:hAnsi="Times New Roman" w:cs="Times New Roman"/>
                      <w:color w:val="auto"/>
                    </w:rPr>
                    <w:t>园区重点发展煤化工、高分子材料、氟化工、硅材料、前沿新材料、新能源材料等化工及新能源产业，稀土深加工、高性能新材料、先进金属材料、高端装备制造、节能环保等战略性新兴产业，以及相关下游延伸产业，配套发展物流、资源综合利用等产业。</w:t>
                  </w:r>
                </w:p>
              </w:tc>
              <w:tc>
                <w:tcPr>
                  <w:tcW w:w="1806" w:type="pct"/>
                  <w:vAlign w:val="center"/>
                </w:tcPr>
                <w:p w14:paraId="2C3DC2A8">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本项目选址位于</w:t>
                  </w:r>
                  <w:r>
                    <w:rPr>
                      <w:rFonts w:hint="default" w:ascii="Times New Roman" w:hAnsi="Times New Roman" w:cs="Times New Roman"/>
                      <w:sz w:val="21"/>
                      <w:szCs w:val="21"/>
                      <w:lang w:eastAsia="zh-CN"/>
                    </w:rPr>
                    <w:t>园区新型化工及高分子材料产业区</w:t>
                  </w:r>
                  <w:r>
                    <w:rPr>
                      <w:rFonts w:hint="default" w:ascii="Times New Roman" w:hAnsi="Times New Roman" w:cs="Times New Roman"/>
                      <w:sz w:val="21"/>
                      <w:szCs w:val="21"/>
                    </w:rPr>
                    <w:t>，</w:t>
                  </w:r>
                  <w:r>
                    <w:rPr>
                      <w:rFonts w:hint="default" w:ascii="Times New Roman" w:hAnsi="Times New Roman" w:cs="Times New Roman"/>
                      <w:color w:val="0000FF"/>
                      <w:sz w:val="21"/>
                      <w:szCs w:val="21"/>
                    </w:rPr>
                    <w:t>项目</w:t>
                  </w:r>
                  <w:r>
                    <w:rPr>
                      <w:rFonts w:hint="default" w:ascii="Times New Roman" w:hAnsi="Times New Roman" w:cs="Times New Roman"/>
                      <w:color w:val="0000FF"/>
                      <w:sz w:val="21"/>
                      <w:szCs w:val="21"/>
                      <w:lang w:val="en-US" w:eastAsia="zh-CN"/>
                    </w:rPr>
                    <w:t>行业类别</w:t>
                  </w:r>
                  <w:r>
                    <w:rPr>
                      <w:rFonts w:hint="default" w:ascii="Times New Roman" w:hAnsi="Times New Roman" w:cs="Times New Roman"/>
                      <w:color w:val="0000FF"/>
                      <w:kern w:val="0"/>
                      <w:sz w:val="21"/>
                      <w:szCs w:val="21"/>
                    </w:rPr>
                    <w:t>为</w:t>
                  </w:r>
                  <w:r>
                    <w:rPr>
                      <w:rStyle w:val="115"/>
                      <w:rFonts w:hint="default" w:ascii="Times New Roman" w:hAnsi="Times New Roman" w:cs="Times New Roman"/>
                      <w:color w:val="0000FF"/>
                      <w:lang w:val="en-US" w:eastAsia="zh-CN"/>
                    </w:rPr>
                    <w:t>其他基础</w:t>
                  </w:r>
                  <w:r>
                    <w:rPr>
                      <w:rStyle w:val="115"/>
                      <w:rFonts w:hint="default" w:ascii="Times New Roman" w:hAnsi="Times New Roman" w:cs="Times New Roman"/>
                      <w:lang w:val="en-US" w:eastAsia="zh-CN"/>
                    </w:rPr>
                    <w:t>化学原料制造（单纯物理混合、分装）、油气仓储项目</w:t>
                  </w:r>
                  <w:r>
                    <w:rPr>
                      <w:rFonts w:hint="default" w:ascii="Times New Roman" w:hAnsi="Times New Roman" w:cs="Times New Roman"/>
                      <w:kern w:val="0"/>
                      <w:sz w:val="21"/>
                      <w:szCs w:val="21"/>
                    </w:rPr>
                    <w:t>，</w:t>
                  </w:r>
                  <w:r>
                    <w:rPr>
                      <w:rFonts w:hint="default" w:ascii="Times New Roman" w:hAnsi="Times New Roman" w:cs="Times New Roman"/>
                      <w:kern w:val="0"/>
                      <w:sz w:val="21"/>
                      <w:szCs w:val="21"/>
                      <w:lang w:val="en-US" w:eastAsia="zh-CN"/>
                    </w:rPr>
                    <w:t>服务对象</w:t>
                  </w:r>
                  <w:r>
                    <w:rPr>
                      <w:rFonts w:hint="default" w:ascii="Times New Roman" w:hAnsi="Times New Roman" w:cs="Times New Roman"/>
                      <w:kern w:val="0"/>
                      <w:sz w:val="21"/>
                      <w:szCs w:val="21"/>
                    </w:rPr>
                    <w:t>为园区、包头市</w:t>
                  </w:r>
                  <w:r>
                    <w:rPr>
                      <w:rFonts w:hint="default" w:ascii="Times New Roman" w:hAnsi="Times New Roman" w:cs="Times New Roman"/>
                      <w:kern w:val="0"/>
                      <w:sz w:val="21"/>
                      <w:szCs w:val="21"/>
                      <w:lang w:val="en-US" w:eastAsia="zh-CN"/>
                    </w:rPr>
                    <w:t>内</w:t>
                  </w:r>
                  <w:r>
                    <w:rPr>
                      <w:rFonts w:hint="default" w:ascii="Times New Roman" w:hAnsi="Times New Roman" w:cs="Times New Roman"/>
                      <w:kern w:val="0"/>
                      <w:sz w:val="21"/>
                      <w:szCs w:val="21"/>
                    </w:rPr>
                    <w:t>企业，</w:t>
                  </w:r>
                  <w:r>
                    <w:rPr>
                      <w:rFonts w:hint="default" w:ascii="Times New Roman" w:hAnsi="Times New Roman" w:cs="Times New Roman"/>
                      <w:kern w:val="0"/>
                      <w:sz w:val="21"/>
                      <w:szCs w:val="21"/>
                      <w:lang w:val="en-US" w:eastAsia="zh-CN"/>
                    </w:rPr>
                    <w:t>运营后可</w:t>
                  </w:r>
                  <w:r>
                    <w:rPr>
                      <w:rFonts w:hint="default" w:ascii="Times New Roman" w:hAnsi="Times New Roman" w:cs="Times New Roman"/>
                      <w:kern w:val="0"/>
                      <w:sz w:val="21"/>
                      <w:szCs w:val="21"/>
                    </w:rPr>
                    <w:t>提供便利的工业气体供应服务</w:t>
                  </w:r>
                  <w:r>
                    <w:rPr>
                      <w:rFonts w:hint="default" w:ascii="Times New Roman" w:hAnsi="Times New Roman" w:cs="Times New Roman"/>
                      <w:kern w:val="0"/>
                      <w:sz w:val="21"/>
                      <w:szCs w:val="21"/>
                      <w:lang w:eastAsia="zh-CN"/>
                    </w:rPr>
                    <w:t>，</w:t>
                  </w:r>
                  <w:r>
                    <w:rPr>
                      <w:rFonts w:hint="default" w:ascii="Times New Roman" w:hAnsi="Times New Roman" w:cs="Times New Roman"/>
                      <w:kern w:val="0"/>
                      <w:sz w:val="21"/>
                      <w:szCs w:val="21"/>
                    </w:rPr>
                    <w:t>为园区配套服务设施</w:t>
                  </w:r>
                  <w:r>
                    <w:rPr>
                      <w:rFonts w:hint="default" w:ascii="Times New Roman" w:hAnsi="Times New Roman" w:cs="Times New Roman"/>
                      <w:sz w:val="21"/>
                      <w:szCs w:val="21"/>
                    </w:rPr>
                    <w:t>，属于园区主导产业配套的相关产业。</w:t>
                  </w:r>
                </w:p>
              </w:tc>
              <w:tc>
                <w:tcPr>
                  <w:tcW w:w="388" w:type="pct"/>
                  <w:vAlign w:val="center"/>
                </w:tcPr>
                <w:p w14:paraId="36C7FB73">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7753A8B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2268295F">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2507" w:type="pct"/>
                  <w:vAlign w:val="center"/>
                </w:tcPr>
                <w:p w14:paraId="146BE376">
                  <w:pPr>
                    <w:pStyle w:val="108"/>
                    <w:jc w:val="left"/>
                    <w:rPr>
                      <w:rFonts w:hint="default" w:ascii="Times New Roman" w:hAnsi="Times New Roman" w:cs="Times New Roman"/>
                      <w:color w:val="auto"/>
                    </w:rPr>
                  </w:pPr>
                  <w:r>
                    <w:rPr>
                      <w:rFonts w:hint="default" w:ascii="Times New Roman" w:hAnsi="Times New Roman" w:cs="Times New Roman"/>
                      <w:color w:val="auto"/>
                    </w:rPr>
                    <w:t>严格生态环境准入，推动高质量发展。园区应结合区域资源禀赋、生态敏感特征、生态功能保护、自治区及包头市“十四五”能耗双控、区域及行业碳达峰目标约束等要求，坚持循环经济和能源高效利用理念，严格按照《自治区开发区审核公告目录》、“三线一单”生态环境分区管控、园区规划、规划环评和产业政策等要求管理新入园项目，合理发展化工及新能源产业、战略性新兴产业等主导产业，钢铁、铁合金、煤化工等维持现状规模不变，多晶硅、单晶硅等需配套相应规模的下游转化项目，不得引进污染物排放量大的非主导产业项目。全面落实“四水四定”要求，审慎引进高耗水行业。</w:t>
                  </w:r>
                </w:p>
              </w:tc>
              <w:tc>
                <w:tcPr>
                  <w:tcW w:w="1806" w:type="pct"/>
                  <w:vAlign w:val="center"/>
                </w:tcPr>
                <w:p w14:paraId="367B53AE">
                  <w:pPr>
                    <w:spacing w:line="300" w:lineRule="exact"/>
                    <w:jc w:val="center"/>
                    <w:rPr>
                      <w:rFonts w:hint="default" w:ascii="Times New Roman" w:hAnsi="Times New Roman" w:cs="Times New Roman"/>
                      <w:sz w:val="21"/>
                      <w:szCs w:val="21"/>
                    </w:rPr>
                  </w:pPr>
                  <w:r>
                    <w:rPr>
                      <w:rFonts w:hint="default" w:ascii="Times New Roman" w:hAnsi="Times New Roman" w:cs="Times New Roman"/>
                      <w:color w:val="0000FF"/>
                      <w:sz w:val="21"/>
                      <w:szCs w:val="21"/>
                    </w:rPr>
                    <w:t>本项目</w:t>
                  </w:r>
                  <w:r>
                    <w:rPr>
                      <w:rFonts w:hint="default" w:ascii="Times New Roman" w:hAnsi="Times New Roman" w:cs="Times New Roman"/>
                      <w:color w:val="0000FF"/>
                      <w:sz w:val="21"/>
                      <w:szCs w:val="21"/>
                      <w:lang w:val="en-US" w:eastAsia="zh-CN"/>
                    </w:rPr>
                    <w:t>性质为新建项目，行业类别</w:t>
                  </w:r>
                  <w:r>
                    <w:rPr>
                      <w:rFonts w:hint="default" w:ascii="Times New Roman" w:hAnsi="Times New Roman" w:cs="Times New Roman"/>
                      <w:color w:val="0000FF"/>
                      <w:sz w:val="21"/>
                      <w:szCs w:val="21"/>
                    </w:rPr>
                    <w:t>为</w:t>
                  </w:r>
                  <w:r>
                    <w:rPr>
                      <w:rStyle w:val="115"/>
                      <w:rFonts w:hint="default" w:ascii="Times New Roman" w:hAnsi="Times New Roman" w:cs="Times New Roman"/>
                      <w:lang w:val="en-US" w:eastAsia="zh-CN"/>
                    </w:rPr>
                    <w:t>其他基础化学原料制造（单纯物理混合、分装）、油气仓储项目</w:t>
                  </w:r>
                  <w:r>
                    <w:rPr>
                      <w:rFonts w:hint="default" w:ascii="Times New Roman" w:hAnsi="Times New Roman" w:cs="Times New Roman"/>
                      <w:kern w:val="0"/>
                      <w:sz w:val="21"/>
                      <w:szCs w:val="21"/>
                    </w:rPr>
                    <w:t>，</w:t>
                  </w:r>
                  <w:r>
                    <w:rPr>
                      <w:rFonts w:hint="default" w:ascii="Times New Roman" w:hAnsi="Times New Roman" w:cs="Times New Roman"/>
                      <w:kern w:val="0"/>
                      <w:sz w:val="21"/>
                      <w:szCs w:val="21"/>
                      <w:lang w:val="en-US" w:eastAsia="zh-CN"/>
                    </w:rPr>
                    <w:t>服务</w:t>
                  </w:r>
                  <w:r>
                    <w:rPr>
                      <w:rFonts w:hint="default" w:ascii="Times New Roman" w:hAnsi="Times New Roman" w:cs="Times New Roman"/>
                      <w:kern w:val="0"/>
                      <w:sz w:val="21"/>
                      <w:szCs w:val="21"/>
                    </w:rPr>
                    <w:t>对象为园区、包头市</w:t>
                  </w:r>
                  <w:r>
                    <w:rPr>
                      <w:rFonts w:hint="default" w:ascii="Times New Roman" w:hAnsi="Times New Roman" w:cs="Times New Roman"/>
                      <w:kern w:val="0"/>
                      <w:sz w:val="21"/>
                      <w:szCs w:val="21"/>
                      <w:lang w:val="en-US" w:eastAsia="zh-CN"/>
                    </w:rPr>
                    <w:t>内</w:t>
                  </w:r>
                  <w:r>
                    <w:rPr>
                      <w:rFonts w:hint="default" w:ascii="Times New Roman" w:hAnsi="Times New Roman" w:cs="Times New Roman"/>
                      <w:kern w:val="0"/>
                      <w:sz w:val="21"/>
                      <w:szCs w:val="21"/>
                    </w:rPr>
                    <w:t>企业，</w:t>
                  </w:r>
                  <w:r>
                    <w:rPr>
                      <w:rFonts w:hint="default" w:ascii="Times New Roman" w:hAnsi="Times New Roman" w:cs="Times New Roman"/>
                      <w:kern w:val="0"/>
                      <w:sz w:val="21"/>
                      <w:szCs w:val="21"/>
                      <w:lang w:val="en-US" w:eastAsia="zh-CN"/>
                    </w:rPr>
                    <w:t>运营后可</w:t>
                  </w:r>
                  <w:r>
                    <w:rPr>
                      <w:rFonts w:hint="default" w:ascii="Times New Roman" w:hAnsi="Times New Roman" w:cs="Times New Roman"/>
                      <w:kern w:val="0"/>
                      <w:sz w:val="21"/>
                      <w:szCs w:val="21"/>
                    </w:rPr>
                    <w:t>提供便利的工业气体供应服务</w:t>
                  </w:r>
                  <w:r>
                    <w:rPr>
                      <w:rFonts w:hint="default" w:ascii="Times New Roman" w:hAnsi="Times New Roman" w:cs="Times New Roman"/>
                      <w:kern w:val="0"/>
                      <w:sz w:val="21"/>
                      <w:szCs w:val="21"/>
                      <w:lang w:eastAsia="zh-CN"/>
                    </w:rPr>
                    <w:t>，</w:t>
                  </w:r>
                  <w:r>
                    <w:rPr>
                      <w:rFonts w:hint="default" w:ascii="Times New Roman" w:hAnsi="Times New Roman" w:cs="Times New Roman"/>
                      <w:kern w:val="0"/>
                      <w:sz w:val="21"/>
                      <w:szCs w:val="21"/>
                    </w:rPr>
                    <w:t>为园区配套服务设施</w:t>
                  </w:r>
                  <w:r>
                    <w:rPr>
                      <w:rFonts w:hint="default" w:ascii="Times New Roman" w:hAnsi="Times New Roman" w:cs="Times New Roman"/>
                      <w:sz w:val="21"/>
                      <w:szCs w:val="21"/>
                    </w:rPr>
                    <w:t>，属于园区主导产业配套的相关产业，符合园区产业定位；项目建设符合</w:t>
                  </w:r>
                  <w:r>
                    <w:rPr>
                      <w:rFonts w:hint="default" w:ascii="Times New Roman" w:hAnsi="Times New Roman" w:cs="Times New Roman"/>
                      <w:sz w:val="21"/>
                      <w:szCs w:val="21"/>
                      <w:lang w:eastAsia="zh-CN"/>
                    </w:rPr>
                    <w:t>“</w:t>
                  </w:r>
                  <w:r>
                    <w:rPr>
                      <w:rFonts w:hint="default" w:ascii="Times New Roman" w:hAnsi="Times New Roman" w:cs="Times New Roman"/>
                      <w:sz w:val="21"/>
                      <w:szCs w:val="21"/>
                    </w:rPr>
                    <w:t>生态环境分区管控</w:t>
                  </w:r>
                  <w:r>
                    <w:rPr>
                      <w:rFonts w:hint="default" w:ascii="Times New Roman" w:hAnsi="Times New Roman" w:cs="Times New Roman"/>
                      <w:sz w:val="21"/>
                      <w:szCs w:val="21"/>
                      <w:lang w:eastAsia="zh-CN"/>
                    </w:rPr>
                    <w:t>”</w:t>
                  </w:r>
                  <w:r>
                    <w:rPr>
                      <w:rFonts w:hint="default" w:ascii="Times New Roman" w:hAnsi="Times New Roman" w:cs="Times New Roman"/>
                      <w:sz w:val="21"/>
                      <w:szCs w:val="21"/>
                    </w:rPr>
                    <w:t>要求；本项目不属于污染物排放量大的非主导产业项目。不属于高耗水行业。</w:t>
                  </w:r>
                </w:p>
              </w:tc>
              <w:tc>
                <w:tcPr>
                  <w:tcW w:w="388" w:type="pct"/>
                  <w:vAlign w:val="center"/>
                </w:tcPr>
                <w:p w14:paraId="5EEC6F50">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5E572F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1F0BCB75">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2507" w:type="pct"/>
                  <w:vAlign w:val="center"/>
                </w:tcPr>
                <w:p w14:paraId="0870B50D">
                  <w:pPr>
                    <w:pStyle w:val="108"/>
                    <w:jc w:val="left"/>
                    <w:rPr>
                      <w:rFonts w:hint="default" w:ascii="Times New Roman" w:hAnsi="Times New Roman" w:cs="Times New Roman"/>
                      <w:color w:val="auto"/>
                    </w:rPr>
                  </w:pPr>
                  <w:r>
                    <w:rPr>
                      <w:rFonts w:hint="default" w:ascii="Times New Roman" w:hAnsi="Times New Roman" w:cs="Times New Roman"/>
                      <w:color w:val="auto"/>
                    </w:rPr>
                    <w:t>严格空间管控，优化产业布局。按照相关要求做好规划控制和防护带建设，园区与居民区、地表水等环境敏感区之间应设置足够的绿化隔离带，确保园区产业发展与生态环境、人居环境相协调。环境风险较高区块应向外设置一定的规划控制区，作为空间防护。配合九原区人民地方政府及其有关部门做好园区及周边区域的规划控制和优化调整，发现不符合管控要求的相关行为，应及时向九原区人民政府报告。清退园区内不符合产业政策及长期停产且无复产可能的项目，提高土地利用价值。</w:t>
                  </w:r>
                </w:p>
              </w:tc>
              <w:tc>
                <w:tcPr>
                  <w:tcW w:w="1806" w:type="pct"/>
                  <w:vAlign w:val="center"/>
                </w:tcPr>
                <w:p w14:paraId="45ECD856">
                  <w:pPr>
                    <w:spacing w:line="300" w:lineRule="exact"/>
                    <w:jc w:val="both"/>
                    <w:rPr>
                      <w:rFonts w:hint="default" w:ascii="Times New Roman" w:hAnsi="Times New Roman" w:cs="Times New Roman"/>
                      <w:sz w:val="21"/>
                      <w:szCs w:val="21"/>
                    </w:rPr>
                  </w:pPr>
                  <w:r>
                    <w:rPr>
                      <w:rFonts w:hint="default" w:ascii="Times New Roman" w:hAnsi="Times New Roman" w:cs="Times New Roman"/>
                      <w:sz w:val="21"/>
                      <w:szCs w:val="21"/>
                    </w:rPr>
                    <w:t>本项目符合国家产业政策，选址位于</w:t>
                  </w:r>
                  <w:r>
                    <w:rPr>
                      <w:rFonts w:hint="default" w:ascii="Times New Roman" w:hAnsi="Times New Roman" w:cs="Times New Roman"/>
                      <w:sz w:val="21"/>
                      <w:szCs w:val="21"/>
                      <w:lang w:eastAsia="zh-CN"/>
                    </w:rPr>
                    <w:t>园区新型化工及高分子材料产业区</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项目场站建设符合《液化石油气供应工程设计规范》（GB51142-2015）、《石油化工企业设计防火标准》（GB50160-2008）（2018 年版）、《氧气站设计规范》 （GB50030-2013）和《建筑设计防火规范》（GB50016-2014）(2018年版)等相关设计规范的安全、防火设计要求，</w:t>
                  </w:r>
                  <w:r>
                    <w:rPr>
                      <w:rFonts w:hint="default" w:ascii="Times New Roman" w:hAnsi="Times New Roman" w:cs="Times New Roman"/>
                      <w:sz w:val="21"/>
                      <w:szCs w:val="21"/>
                    </w:rPr>
                    <w:t>满足防护要求。</w:t>
                  </w:r>
                </w:p>
              </w:tc>
              <w:tc>
                <w:tcPr>
                  <w:tcW w:w="388" w:type="pct"/>
                  <w:vAlign w:val="center"/>
                </w:tcPr>
                <w:p w14:paraId="735027C0">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60EC3B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rPr>
              <w:tc>
                <w:tcPr>
                  <w:tcW w:w="298" w:type="pct"/>
                  <w:vAlign w:val="center"/>
                </w:tcPr>
                <w:p w14:paraId="56CCEB18">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4</w:t>
                  </w:r>
                </w:p>
              </w:tc>
              <w:tc>
                <w:tcPr>
                  <w:tcW w:w="2507" w:type="pct"/>
                  <w:vAlign w:val="center"/>
                </w:tcPr>
                <w:p w14:paraId="6153B1C8">
                  <w:pPr>
                    <w:pStyle w:val="108"/>
                    <w:jc w:val="left"/>
                    <w:rPr>
                      <w:rFonts w:hint="default" w:ascii="Times New Roman" w:hAnsi="Times New Roman" w:cs="Times New Roman"/>
                      <w:color w:val="auto"/>
                    </w:rPr>
                  </w:pPr>
                  <w:r>
                    <w:rPr>
                      <w:rFonts w:hint="default" w:ascii="Times New Roman" w:hAnsi="Times New Roman" w:cs="Times New Roman"/>
                      <w:color w:val="auto"/>
                    </w:rPr>
                    <w:t>严守环境质量底线，强化污染物排放总量管控。根据国家、自治区和包头市关于大气、水、土壤、挥发性有机物污染防治相关要求，落实与区域环境空气质量改善目标相匹配的区域削减措施，积极推进重点行业按照大气污染物超低排放或者特别排放限值进行升级改造，持续减少主要污染物、特征污染物、挥发性有机物、氟化物等排放量，保障区域环境质量改善。</w:t>
                  </w:r>
                </w:p>
              </w:tc>
              <w:tc>
                <w:tcPr>
                  <w:tcW w:w="1806" w:type="pct"/>
                  <w:vAlign w:val="center"/>
                </w:tcPr>
                <w:p w14:paraId="27D50B23">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本项目严格落实区域削减措施，项目</w:t>
                  </w:r>
                  <w:r>
                    <w:rPr>
                      <w:rFonts w:hint="default" w:ascii="Times New Roman" w:hAnsi="Times New Roman" w:cs="Times New Roman"/>
                      <w:sz w:val="21"/>
                      <w:szCs w:val="21"/>
                      <w:lang w:val="en-US" w:eastAsia="zh-CN"/>
                    </w:rPr>
                    <w:t>应按照要求申请</w:t>
                  </w:r>
                  <w:r>
                    <w:rPr>
                      <w:rFonts w:hint="default" w:ascii="Times New Roman" w:hAnsi="Times New Roman" w:cs="Times New Roman"/>
                      <w:sz w:val="21"/>
                      <w:szCs w:val="21"/>
                    </w:rPr>
                    <w:t>挥发性有机物区域削减量</w:t>
                  </w:r>
                  <w:r>
                    <w:rPr>
                      <w:rFonts w:hint="default" w:ascii="Times New Roman" w:hAnsi="Times New Roman" w:cs="Times New Roman"/>
                      <w:sz w:val="21"/>
                      <w:szCs w:val="21"/>
                      <w:lang w:val="en-US" w:eastAsia="zh-CN"/>
                    </w:rPr>
                    <w:t>及排放指标</w:t>
                  </w:r>
                  <w:r>
                    <w:rPr>
                      <w:rFonts w:hint="default" w:ascii="Times New Roman" w:hAnsi="Times New Roman" w:cs="Times New Roman"/>
                      <w:sz w:val="21"/>
                      <w:szCs w:val="21"/>
                    </w:rPr>
                    <w:t>，保障区域环境质量改善。</w:t>
                  </w:r>
                </w:p>
              </w:tc>
              <w:tc>
                <w:tcPr>
                  <w:tcW w:w="388" w:type="pct"/>
                  <w:vAlign w:val="center"/>
                </w:tcPr>
                <w:p w14:paraId="074FFE24">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5905B3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3E769EFD">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5</w:t>
                  </w:r>
                </w:p>
              </w:tc>
              <w:tc>
                <w:tcPr>
                  <w:tcW w:w="2507" w:type="pct"/>
                  <w:vAlign w:val="center"/>
                </w:tcPr>
                <w:p w14:paraId="6378E891">
                  <w:pPr>
                    <w:pStyle w:val="108"/>
                    <w:jc w:val="left"/>
                    <w:rPr>
                      <w:rFonts w:hint="default" w:ascii="Times New Roman" w:hAnsi="Times New Roman" w:cs="Times New Roman"/>
                      <w:color w:val="auto"/>
                      <w:sz w:val="18"/>
                      <w:szCs w:val="18"/>
                    </w:rPr>
                  </w:pPr>
                  <w:r>
                    <w:rPr>
                      <w:rFonts w:hint="default" w:ascii="Times New Roman" w:hAnsi="Times New Roman" w:cs="Times New Roman"/>
                      <w:color w:val="auto"/>
                    </w:rPr>
                    <w:t>加强环境基础设施建设，推进污染集中治理。强化企业生产废水预处理，合理规划园区污水集中处理设施及配套管网，采用成熟可靠的废水处理工艺，实现园区内生产废水全部纳管收集、妥善处理和达标回用。优化园区供水结构，充分利用当地中水资源，最大程度减少生产用新鲜水取水量。因地制宜利用集中供热或清洁能源实现供热、供汽。持续推进“无废”城市建设，进一步提高大宗工业固废综合利用水平，暂时无法综合利用的须规范贮存、处置。强化企业的危险废物鉴别主体责任，对园区各类危废实施严格监管和严密监控，实现全过程安全妥善处置。园区内及周边中短途汽车运输优先采用新能源汽车。</w:t>
                  </w:r>
                </w:p>
              </w:tc>
              <w:tc>
                <w:tcPr>
                  <w:tcW w:w="1806" w:type="pct"/>
                  <w:vAlign w:val="center"/>
                </w:tcPr>
                <w:p w14:paraId="161284E0">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项目排放废水为生活污水，排至园区污水管网，最终进入九原水质净化厂；项目配套建设初期雨水池、事故水池，收集后委托有资质单位处理。</w:t>
                  </w:r>
                </w:p>
              </w:tc>
              <w:tc>
                <w:tcPr>
                  <w:tcW w:w="388" w:type="pct"/>
                  <w:vAlign w:val="center"/>
                </w:tcPr>
                <w:p w14:paraId="45ECDC46">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005501B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rPr>
              <w:tc>
                <w:tcPr>
                  <w:tcW w:w="298" w:type="pct"/>
                  <w:vAlign w:val="center"/>
                </w:tcPr>
                <w:p w14:paraId="586F006D">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6</w:t>
                  </w:r>
                </w:p>
              </w:tc>
              <w:tc>
                <w:tcPr>
                  <w:tcW w:w="2507" w:type="pct"/>
                  <w:vAlign w:val="center"/>
                </w:tcPr>
                <w:p w14:paraId="6CB80402">
                  <w:pPr>
                    <w:pStyle w:val="108"/>
                    <w:jc w:val="left"/>
                    <w:rPr>
                      <w:rFonts w:hint="default" w:ascii="Times New Roman" w:hAnsi="Times New Roman" w:cs="Times New Roman"/>
                      <w:color w:val="auto"/>
                    </w:rPr>
                  </w:pPr>
                  <w:r>
                    <w:rPr>
                      <w:rFonts w:hint="default" w:ascii="Times New Roman" w:hAnsi="Times New Roman" w:cs="Times New Roman"/>
                      <w:color w:val="auto"/>
                    </w:rPr>
                    <w:t>强化源头防控，有效防范环境污染和事故风险。加强突发环境事件应急处置能力建设，建立完善的环境风险防控和应急监测体系，强化应急演练和应急物资储备，不断提升应急响应能力，保障区域环境安全。入园企业按要求设置事故水池，并与园区事故水池联通形成综合调控系统，确保任何情况下园区事故废水不进入外环境。</w:t>
                  </w:r>
                </w:p>
              </w:tc>
              <w:tc>
                <w:tcPr>
                  <w:tcW w:w="1806" w:type="pct"/>
                  <w:vAlign w:val="center"/>
                </w:tcPr>
                <w:p w14:paraId="7ADA9E85">
                  <w:pPr>
                    <w:spacing w:line="300" w:lineRule="exact"/>
                    <w:jc w:val="center"/>
                    <w:rPr>
                      <w:rFonts w:hint="default" w:ascii="Times New Roman" w:hAnsi="Times New Roman" w:cs="Times New Roman"/>
                      <w:sz w:val="21"/>
                      <w:szCs w:val="21"/>
                    </w:rPr>
                  </w:pPr>
                  <w:r>
                    <w:rPr>
                      <w:rFonts w:hint="default" w:ascii="Times New Roman" w:hAnsi="Times New Roman" w:cs="Times New Roman"/>
                      <w:color w:val="auto"/>
                      <w:sz w:val="21"/>
                      <w:szCs w:val="21"/>
                    </w:rPr>
                    <w:t>项目配套建设初期雨水池、事故水池，收集后委托有资质单位处理，确保任何情况下事故废水不进入外环境</w:t>
                  </w:r>
                  <w:r>
                    <w:rPr>
                      <w:rFonts w:hint="eastAsia" w:cs="Times New Roman"/>
                      <w:color w:val="auto"/>
                      <w:sz w:val="21"/>
                      <w:szCs w:val="21"/>
                      <w:lang w:eastAsia="zh-CN"/>
                    </w:rPr>
                    <w:t>；</w:t>
                  </w:r>
                  <w:r>
                    <w:rPr>
                      <w:rFonts w:hint="default" w:ascii="Times New Roman" w:hAnsi="Times New Roman" w:cs="Times New Roman"/>
                      <w:color w:val="auto"/>
                      <w:sz w:val="21"/>
                      <w:szCs w:val="21"/>
                    </w:rPr>
                    <w:t>项目运行前需编制突发环境事件应急预案，储备灭火器、微型消防站等应急物资，并进行定期演练，确保项目环境风险可控。</w:t>
                  </w:r>
                </w:p>
              </w:tc>
              <w:tc>
                <w:tcPr>
                  <w:tcW w:w="388" w:type="pct"/>
                  <w:vAlign w:val="center"/>
                </w:tcPr>
                <w:p w14:paraId="373F704A">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3931F0D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98" w:type="pct"/>
                  <w:vAlign w:val="center"/>
                </w:tcPr>
                <w:p w14:paraId="1075DEAB">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7</w:t>
                  </w:r>
                </w:p>
              </w:tc>
              <w:tc>
                <w:tcPr>
                  <w:tcW w:w="2507" w:type="pct"/>
                  <w:vAlign w:val="center"/>
                </w:tcPr>
                <w:p w14:paraId="6C2285B1">
                  <w:pPr>
                    <w:pStyle w:val="108"/>
                    <w:jc w:val="left"/>
                    <w:rPr>
                      <w:rFonts w:hint="default" w:ascii="Times New Roman" w:hAnsi="Times New Roman" w:cs="Times New Roman"/>
                      <w:color w:val="auto"/>
                    </w:rPr>
                  </w:pPr>
                  <w:r>
                    <w:rPr>
                      <w:rFonts w:hint="default" w:ascii="Times New Roman" w:hAnsi="Times New Roman" w:cs="Times New Roman"/>
                      <w:color w:val="auto"/>
                    </w:rPr>
                    <w:t>加强环境监管及日常环境质量监测。建立包括常规污染物和特征污染物在内的环境空气、地表水、地下水、土壤等环境质量监测体系，做好长期跟踪监测和管理。重点企业排污口要设置在线监测系统并与生态环境部门联网。加强土壤污染重点企业监管，强化腾退企业遗留场地的土壤环境调查和风险评估，合理确定土地利用方式。</w:t>
                  </w:r>
                </w:p>
              </w:tc>
              <w:tc>
                <w:tcPr>
                  <w:tcW w:w="1806" w:type="pct"/>
                  <w:vAlign w:val="center"/>
                </w:tcPr>
                <w:p w14:paraId="348852A1">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评价要求企业制定污染源监测计划、环境质量监测计划，按规定的频次进行监测。</w:t>
                  </w:r>
                </w:p>
              </w:tc>
              <w:tc>
                <w:tcPr>
                  <w:tcW w:w="388" w:type="pct"/>
                  <w:vAlign w:val="center"/>
                </w:tcPr>
                <w:p w14:paraId="3567FD71">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r w14:paraId="696E57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rPr>
              <w:tc>
                <w:tcPr>
                  <w:tcW w:w="298" w:type="pct"/>
                  <w:vAlign w:val="center"/>
                </w:tcPr>
                <w:p w14:paraId="5D6D078D">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8</w:t>
                  </w:r>
                </w:p>
              </w:tc>
              <w:tc>
                <w:tcPr>
                  <w:tcW w:w="2507" w:type="pct"/>
                  <w:vAlign w:val="center"/>
                </w:tcPr>
                <w:p w14:paraId="337CD591">
                  <w:pPr>
                    <w:pStyle w:val="108"/>
                    <w:jc w:val="left"/>
                    <w:rPr>
                      <w:rFonts w:hint="default" w:ascii="Times New Roman" w:hAnsi="Times New Roman" w:cs="Times New Roman"/>
                      <w:color w:val="auto"/>
                    </w:rPr>
                  </w:pPr>
                  <w:r>
                    <w:rPr>
                      <w:rFonts w:hint="default" w:ascii="Times New Roman" w:hAnsi="Times New Roman" w:cs="Times New Roman"/>
                      <w:color w:val="auto"/>
                    </w:rPr>
                    <w:t>总体规划实施对环境产生重大影响时，应当及时组织环境影响的跟踪评价。对规划所包含的建设项目，在开展环境影响评价时，应重点分析污染防治措施和环境风险防控措施的可行性、可靠性，规划协调性分析、环境现状等工作内容可适当简化。</w:t>
                  </w:r>
                </w:p>
              </w:tc>
              <w:tc>
                <w:tcPr>
                  <w:tcW w:w="1806" w:type="pct"/>
                  <w:vAlign w:val="center"/>
                </w:tcPr>
                <w:p w14:paraId="70D3AFB8">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本项目对污染防治措施和风险防控措施进行了重点分析。</w:t>
                  </w:r>
                </w:p>
              </w:tc>
              <w:tc>
                <w:tcPr>
                  <w:tcW w:w="388" w:type="pct"/>
                  <w:vAlign w:val="center"/>
                </w:tcPr>
                <w:p w14:paraId="5CFCEF04">
                  <w:pPr>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符合</w:t>
                  </w:r>
                </w:p>
              </w:tc>
            </w:tr>
          </w:tbl>
          <w:p w14:paraId="6B96E35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4"/>
                <w:shd w:val="clear" w:color="auto" w:fill="auto"/>
                <w:lang w:val="en-US" w:eastAsia="zh-CN"/>
              </w:rPr>
            </w:pPr>
            <w:r>
              <w:rPr>
                <w:rFonts w:hint="default" w:ascii="Times New Roman" w:hAnsi="Times New Roman" w:eastAsia="宋体" w:cs="Times New Roman"/>
                <w:color w:val="auto"/>
                <w:kern w:val="0"/>
                <w:sz w:val="24"/>
                <w:szCs w:val="24"/>
                <w:shd w:val="clear" w:color="auto" w:fill="auto"/>
                <w:lang w:val="en-US" w:eastAsia="zh-CN"/>
              </w:rPr>
              <w:t>综上，本项目符合园区产业定位及产业布局，符合园区产业规模要求，符合园区产业准入要求，满足《内蒙古包头九原工业园区—新材料产业园总体规划（2021-2030）环境影响报告书》及审查意见要求。</w:t>
            </w:r>
          </w:p>
        </w:tc>
      </w:tr>
      <w:tr w14:paraId="4F9183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18" w:hRule="atLeast"/>
          <w:jc w:val="center"/>
        </w:trPr>
        <w:tc>
          <w:tcPr>
            <w:tcW w:w="1011" w:type="dxa"/>
            <w:noWrap w:val="0"/>
            <w:vAlign w:val="center"/>
          </w:tcPr>
          <w:p w14:paraId="1C53027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D158C5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E3D225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595182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1DD5E3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9A2799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5F9BD9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D20A7C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974483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56562D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F3F1AE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956EB9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65689F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1E5827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1D0B09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D883AE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C8AF48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FEC825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3E99A6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r>
              <w:rPr>
                <w:rFonts w:hint="default" w:ascii="Times New Roman" w:hAnsi="Times New Roman" w:eastAsia="宋体" w:cs="Times New Roman"/>
                <w:color w:val="auto"/>
                <w:kern w:val="0"/>
                <w:sz w:val="24"/>
                <w:szCs w:val="24"/>
                <w:shd w:val="clear" w:color="auto" w:fill="auto"/>
              </w:rPr>
              <w:t>其他符合性分析</w:t>
            </w:r>
          </w:p>
          <w:p w14:paraId="22135FF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297835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5C0381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18E13B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A7A4A5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ECBFE4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912B9B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1D5632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578560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664938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F30B82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98F925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AC6A01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860ADE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3EC5DA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F0D3C2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5AF6F9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B0A2F6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1476E6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9BDB31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570E16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941B36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43D957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F6CD02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26926A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487247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64511A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554781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523F47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B2DD82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00A0CB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E62E8E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E5FCC9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5C54E9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F3B08C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53A060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1BCB47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DE1163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853620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4C9809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764864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6AA5B3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45F261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BD2C88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C5AEFA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01A13C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299A12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ABEB22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813CD2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67B789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008F0F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C84DF8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FDDAC5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ADA174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1FDEAF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156005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857B32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8C41B5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F43A8E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0B609E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96578C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082566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1D52E2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6BCE87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6985EA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CC15C2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E25681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F45BC3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174A60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4E7E9A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93D5B1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00ACF9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AEABEB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C79475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6D2E94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B5E83F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31A925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47382C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3C93F8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60B0DD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495B1F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AC8E22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7AA4BD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18789F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A0112B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996DC0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879BE5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5AA805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640265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E4CC9B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016647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09DCD9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2DFE41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054448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B019AB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041525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B90438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C22B67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FA7502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2096D8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5CEAF5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EAB7A6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583410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961891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7AEDFD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647623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B0304F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84B8E3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5D92F7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E89604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6D6EE2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78CAFC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FBA525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35D9BC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B11554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BE01F3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F90CE7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B9D7B9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D4AAB2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FF9375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B1A3CA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AA64A1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4DDD9E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CDE3CE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36F665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45393F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E715AA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94CFF9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C57075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90BD12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2CF65E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AD8B04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FDCFF1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6AF9A7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FA5755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888DE9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913DEC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840774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D2688F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C15EFE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FDBB9A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7BEAA7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43BD19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ACC19E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95A7FD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78AE33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17007B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930830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31E0CA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39D76A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0C790D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E1397F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574868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03721D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4E582A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F24D6F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04A0CD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AFBEB1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3D97DD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120614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CA0949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A98D2B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25F7BE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D58963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804601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CCEB28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3D0231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49E3FE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48D926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5E00E5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875C97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600797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1857DA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D96C72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37F39D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63B59D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46875A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49AC17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A3772D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BF4868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911B78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9C56DA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412537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8E9832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BA1919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3713D3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01A547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7C2C9A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5216BD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EBA768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175A42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57898A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4BE436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035839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761C6B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AB4814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8F024C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4218C3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67B69F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35A758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86383E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E862859">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B8AF5F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ECD709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B3D53F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49B887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1CF0FC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E0DBF08">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2BC9646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16CC72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EDED5D5">
            <w:pPr>
              <w:keepNext w:val="0"/>
              <w:keepLines w:val="0"/>
              <w:pageBreakBefore w:val="0"/>
              <w:kinsoku/>
              <w:wordWrap/>
              <w:overflowPunct/>
              <w:topLinePunct w:val="0"/>
              <w:autoSpaceDE w:val="0"/>
              <w:autoSpaceDN w:val="0"/>
              <w:bidi w:val="0"/>
              <w:adjustRightInd/>
              <w:snapToGrid/>
              <w:jc w:val="both"/>
              <w:rPr>
                <w:rFonts w:hint="default" w:ascii="Times New Roman" w:hAnsi="Times New Roman" w:eastAsia="宋体" w:cs="Times New Roman"/>
                <w:color w:val="auto"/>
                <w:kern w:val="0"/>
                <w:sz w:val="24"/>
                <w:szCs w:val="24"/>
                <w:shd w:val="clear" w:color="auto" w:fill="auto"/>
              </w:rPr>
            </w:pPr>
          </w:p>
          <w:p w14:paraId="7BD4E4BF">
            <w:pPr>
              <w:keepNext w:val="0"/>
              <w:keepLines w:val="0"/>
              <w:pageBreakBefore w:val="0"/>
              <w:kinsoku/>
              <w:wordWrap/>
              <w:overflowPunct/>
              <w:topLinePunct w:val="0"/>
              <w:autoSpaceDE w:val="0"/>
              <w:autoSpaceDN w:val="0"/>
              <w:bidi w:val="0"/>
              <w:adjustRightInd/>
              <w:snapToGrid/>
              <w:jc w:val="both"/>
              <w:rPr>
                <w:rFonts w:hint="default" w:ascii="Times New Roman" w:hAnsi="Times New Roman" w:eastAsia="宋体" w:cs="Times New Roman"/>
                <w:color w:val="auto"/>
                <w:kern w:val="0"/>
                <w:sz w:val="24"/>
                <w:szCs w:val="24"/>
                <w:shd w:val="clear" w:color="auto" w:fill="auto"/>
              </w:rPr>
            </w:pPr>
          </w:p>
          <w:p w14:paraId="2115D6F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6E9D9F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E06B061">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BB75B2B">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9EA4C2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8CC7F8A">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B5B454E">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50A79E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00A22A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146FA420">
            <w:pPr>
              <w:keepNext w:val="0"/>
              <w:keepLines w:val="0"/>
              <w:pageBreakBefore w:val="0"/>
              <w:kinsoku/>
              <w:wordWrap/>
              <w:overflowPunct/>
              <w:topLinePunct w:val="0"/>
              <w:autoSpaceDE w:val="0"/>
              <w:autoSpaceDN w:val="0"/>
              <w:bidi w:val="0"/>
              <w:adjustRightInd/>
              <w:snapToGrid/>
              <w:jc w:val="both"/>
              <w:rPr>
                <w:rFonts w:hint="default" w:ascii="Times New Roman" w:hAnsi="Times New Roman" w:eastAsia="宋体" w:cs="Times New Roman"/>
                <w:color w:val="auto"/>
                <w:kern w:val="0"/>
                <w:sz w:val="24"/>
                <w:szCs w:val="24"/>
                <w:shd w:val="clear" w:color="auto" w:fill="auto"/>
              </w:rPr>
            </w:pPr>
          </w:p>
          <w:p w14:paraId="026D9EFF">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0AF3ADC">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7FA51D0">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FF6074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737EF1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9E4B446">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3FA47FDD">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03D08AE7">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31BEB12">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626D2B44">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43829E23">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721B80F5">
            <w:pPr>
              <w:keepNext w:val="0"/>
              <w:keepLines w:val="0"/>
              <w:pageBreakBefore w:val="0"/>
              <w:kinsoku/>
              <w:wordWrap/>
              <w:overflowPunct/>
              <w:topLinePunct w:val="0"/>
              <w:autoSpaceDE w:val="0"/>
              <w:autoSpaceDN w:val="0"/>
              <w:bidi w:val="0"/>
              <w:adjustRightInd/>
              <w:snapToGrid/>
              <w:jc w:val="center"/>
              <w:rPr>
                <w:rFonts w:hint="default" w:ascii="Times New Roman" w:hAnsi="Times New Roman" w:eastAsia="宋体" w:cs="Times New Roman"/>
                <w:color w:val="auto"/>
                <w:kern w:val="0"/>
                <w:sz w:val="24"/>
                <w:szCs w:val="24"/>
                <w:shd w:val="clear" w:color="auto" w:fill="auto"/>
              </w:rPr>
            </w:pPr>
          </w:p>
          <w:p w14:paraId="57953A48">
            <w:pPr>
              <w:keepNext w:val="0"/>
              <w:keepLines w:val="0"/>
              <w:pageBreakBefore w:val="0"/>
              <w:kinsoku/>
              <w:wordWrap/>
              <w:overflowPunct/>
              <w:topLinePunct w:val="0"/>
              <w:autoSpaceDE w:val="0"/>
              <w:autoSpaceDN w:val="0"/>
              <w:bidi w:val="0"/>
              <w:adjustRightInd/>
              <w:snapToGrid/>
              <w:jc w:val="both"/>
              <w:rPr>
                <w:rFonts w:hint="default" w:ascii="Times New Roman" w:hAnsi="Times New Roman" w:eastAsia="宋体" w:cs="Times New Roman"/>
                <w:color w:val="auto"/>
                <w:kern w:val="0"/>
                <w:sz w:val="24"/>
                <w:szCs w:val="24"/>
                <w:shd w:val="clear" w:color="auto" w:fill="auto"/>
              </w:rPr>
            </w:pPr>
          </w:p>
          <w:p w14:paraId="7A9A0D31">
            <w:pPr>
              <w:keepNext w:val="0"/>
              <w:keepLines w:val="0"/>
              <w:pageBreakBefore w:val="0"/>
              <w:kinsoku/>
              <w:wordWrap/>
              <w:overflowPunct/>
              <w:topLinePunct w:val="0"/>
              <w:autoSpaceDE w:val="0"/>
              <w:autoSpaceDN w:val="0"/>
              <w:bidi w:val="0"/>
              <w:adjustRightInd/>
              <w:snapToGrid/>
              <w:jc w:val="both"/>
              <w:rPr>
                <w:rFonts w:hint="default" w:ascii="Times New Roman" w:hAnsi="Times New Roman" w:eastAsia="宋体" w:cs="Times New Roman"/>
                <w:color w:val="auto"/>
                <w:kern w:val="0"/>
                <w:sz w:val="21"/>
                <w:szCs w:val="21"/>
                <w:shd w:val="clear" w:color="auto" w:fill="auto"/>
                <w:lang w:val="en-US" w:eastAsia="zh-CN" w:bidi="ar-SA"/>
              </w:rPr>
            </w:pPr>
          </w:p>
        </w:tc>
        <w:tc>
          <w:tcPr>
            <w:tcW w:w="7689" w:type="dxa"/>
            <w:gridSpan w:val="3"/>
            <w:noWrap w:val="0"/>
            <w:vAlign w:val="center"/>
          </w:tcPr>
          <w:p w14:paraId="164B782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en-US" w:eastAsia="zh-CN"/>
              </w:rPr>
              <w:t>1</w:t>
            </w:r>
            <w:r>
              <w:rPr>
                <w:rFonts w:hint="default" w:ascii="Times New Roman" w:hAnsi="Times New Roman" w:cs="Times New Roman"/>
                <w:b/>
                <w:bCs/>
                <w:color w:val="auto"/>
                <w:sz w:val="24"/>
                <w:szCs w:val="24"/>
              </w:rPr>
              <w:t>、产业政策符合性</w:t>
            </w:r>
            <w:r>
              <w:rPr>
                <w:rFonts w:hint="default" w:ascii="Times New Roman" w:hAnsi="Times New Roman" w:cs="Times New Roman"/>
                <w:b/>
                <w:bCs/>
                <w:color w:val="auto"/>
                <w:sz w:val="24"/>
                <w:szCs w:val="24"/>
                <w:lang w:val="en-US" w:eastAsia="zh-CN"/>
              </w:rPr>
              <w:t>分析</w:t>
            </w:r>
          </w:p>
          <w:p w14:paraId="3A3C2531">
            <w:pPr>
              <w:keepNext w:val="0"/>
              <w:keepLines w:val="0"/>
              <w:pageBreakBefore w:val="0"/>
              <w:kinsoku/>
              <w:wordWrap/>
              <w:overflowPunct/>
              <w:topLinePunct w:val="0"/>
              <w:bidi w:val="0"/>
              <w:adjustRightInd/>
              <w:snapToGrid/>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本项目属于“C2619其他基础化学原料制造（单纯物理混合、分装）”、“G5941油气仓储”项目。项目于2025年9月4日取得</w:t>
            </w:r>
            <w:r>
              <w:rPr>
                <w:rFonts w:hint="default" w:ascii="Times New Roman" w:hAnsi="Times New Roman" w:eastAsia="宋体" w:cs="Times New Roman"/>
                <w:color w:val="auto"/>
                <w:sz w:val="24"/>
                <w:szCs w:val="24"/>
                <w:shd w:val="clear" w:color="auto" w:fill="auto"/>
                <w:lang w:val="en-US" w:eastAsia="zh-CN"/>
              </w:rPr>
              <w:t>包头市九原区发展和改革委员会项目备案告知书，项目代码：2509-150207-04-01-346671</w:t>
            </w:r>
            <w:r>
              <w:rPr>
                <w:rFonts w:hint="default" w:ascii="Times New Roman" w:hAnsi="Times New Roman" w:cs="Times New Roman"/>
                <w:color w:val="auto"/>
                <w:sz w:val="24"/>
                <w:szCs w:val="24"/>
                <w:lang w:val="en-US" w:eastAsia="zh-CN"/>
              </w:rPr>
              <w:t>（详见附件二），根据《产业结构调整指导目录》（2024），项目不属于</w:t>
            </w:r>
            <w:r>
              <w:rPr>
                <w:rFonts w:hint="default" w:ascii="Times New Roman" w:hAnsi="Times New Roman" w:cs="Times New Roman"/>
                <w:color w:val="0000FF"/>
                <w:sz w:val="24"/>
                <w:szCs w:val="24"/>
                <w:lang w:val="en-US" w:eastAsia="zh-CN"/>
              </w:rPr>
              <w:t>鼓励类、限制类和淘汰类，</w:t>
            </w:r>
            <w:r>
              <w:rPr>
                <w:rFonts w:hint="default" w:ascii="Times New Roman" w:hAnsi="Times New Roman" w:cs="Times New Roman"/>
                <w:color w:val="auto"/>
                <w:sz w:val="24"/>
                <w:szCs w:val="24"/>
                <w:lang w:val="en-US" w:eastAsia="zh-CN"/>
              </w:rPr>
              <w:t>属于允许类项目。</w:t>
            </w:r>
          </w:p>
          <w:p w14:paraId="58BACCEA">
            <w:pPr>
              <w:keepNext w:val="0"/>
              <w:keepLines w:val="0"/>
              <w:pageBreakBefore w:val="0"/>
              <w:kinsoku/>
              <w:wordWrap/>
              <w:overflowPunct/>
              <w:topLinePunct w:val="0"/>
              <w:bidi w:val="0"/>
              <w:adjustRightInd/>
              <w:snapToGrid/>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因此，本工程的建设符合我国现行产业政策的相关要求。</w:t>
            </w:r>
          </w:p>
          <w:p w14:paraId="3BAA94E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en-US" w:eastAsia="zh-CN"/>
              </w:rPr>
              <w:t>2、“生态环境分区管控”</w:t>
            </w:r>
            <w:r>
              <w:rPr>
                <w:rFonts w:hint="default" w:ascii="Times New Roman" w:hAnsi="Times New Roman" w:cs="Times New Roman"/>
                <w:b/>
                <w:bCs/>
                <w:color w:val="auto"/>
                <w:sz w:val="24"/>
                <w:szCs w:val="24"/>
              </w:rPr>
              <w:t>相符性分析</w:t>
            </w:r>
          </w:p>
          <w:p w14:paraId="3775EE74">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评价根据《内蒙古自治区人民政府关于实施“三线一单”生态环境分区管控的意见》（内政发〔2020〕24号），《包头市人民政府关于实施“三线一单”生态环境分区管控的意见》（包府发（2021）47号），《包头市环境管控单元准入清单》（包头市生态环境局，包头市“三线一单”编制组，2022年），《包头市2023年生态环境分区管控成果动态更新情况》，《包头市环境管控单元准入清单（2023）》对本项目“</w:t>
            </w:r>
            <w:r>
              <w:rPr>
                <w:rFonts w:hint="default" w:ascii="Times New Roman" w:hAnsi="Times New Roman" w:cs="Times New Roman"/>
                <w:color w:val="auto"/>
                <w:sz w:val="24"/>
                <w:szCs w:val="24"/>
                <w:lang w:val="en-US" w:eastAsia="zh-CN"/>
              </w:rPr>
              <w:t>生态环境分区管控</w:t>
            </w:r>
            <w:r>
              <w:rPr>
                <w:rFonts w:hint="default" w:ascii="Times New Roman" w:hAnsi="Times New Roman" w:cs="Times New Roman"/>
                <w:sz w:val="24"/>
                <w:szCs w:val="32"/>
              </w:rPr>
              <w:t>”符合性进行分析。</w:t>
            </w:r>
          </w:p>
          <w:p w14:paraId="7478D331">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（1）生态环境红线</w:t>
            </w:r>
          </w:p>
          <w:p w14:paraId="06DF5B21">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包头市生态保护红线7430.55平方千米，占市域国土面积的26.76%。一般生态空间面积 14894.45 平方千米，占全市总面积的54.03%。</w:t>
            </w:r>
          </w:p>
          <w:p w14:paraId="33B211DC">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本项目不在包头市生态保护红线范围内，不涉及自然保护区、集中式饮用水水源保护区等生态功能重要区和生态环境敏感区以及基本农田保护区等。</w:t>
            </w:r>
          </w:p>
          <w:p w14:paraId="0BC5EE65">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（2）环境质量底线</w:t>
            </w:r>
          </w:p>
          <w:p w14:paraId="602132A9">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①水环境质量底线及分区管控要求</w:t>
            </w:r>
          </w:p>
          <w:p w14:paraId="00AC4B3B">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水环境质量目标与内蒙古自治区“三线一单”结果充分衔接，2025年水环境质量目标严格按照《包头市“十四五”水环境规划要点》中确定的污染防治要求进行控制。结合近年水质监测结果和“水十条”断面目标要求等，确定了9个控制断面2025年、2035年的水环境质量底线目标。</w:t>
            </w:r>
          </w:p>
          <w:p w14:paraId="7D739047">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本项目仅生活污水排放，生活</w:t>
            </w:r>
            <w:r>
              <w:rPr>
                <w:rFonts w:hint="default" w:ascii="Times New Roman" w:hAnsi="Times New Roman" w:cs="Times New Roman"/>
                <w:sz w:val="24"/>
                <w:szCs w:val="32"/>
                <w:lang w:eastAsia="zh-CN"/>
              </w:rPr>
              <w:t>污</w:t>
            </w:r>
            <w:r>
              <w:rPr>
                <w:rFonts w:hint="default" w:ascii="Times New Roman" w:hAnsi="Times New Roman" w:cs="Times New Roman"/>
                <w:sz w:val="24"/>
                <w:szCs w:val="32"/>
              </w:rPr>
              <w:t>水</w:t>
            </w:r>
            <w:r>
              <w:rPr>
                <w:rFonts w:hint="default" w:ascii="Times New Roman" w:hAnsi="Times New Roman" w:cs="Times New Roman"/>
                <w:sz w:val="24"/>
                <w:szCs w:val="32"/>
                <w:lang w:val="en-US" w:eastAsia="zh-CN"/>
              </w:rPr>
              <w:t>排至园区污水管网，最终进入九原水质净化厂</w:t>
            </w:r>
            <w:r>
              <w:rPr>
                <w:rFonts w:hint="default" w:ascii="Times New Roman" w:hAnsi="Times New Roman" w:cs="Times New Roman"/>
                <w:sz w:val="24"/>
                <w:szCs w:val="32"/>
              </w:rPr>
              <w:t>。对周边地表水体影响较小。</w:t>
            </w:r>
          </w:p>
          <w:p w14:paraId="7C9FF046">
            <w:pPr>
              <w:spacing w:line="360" w:lineRule="auto"/>
              <w:ind w:firstLine="48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②大气环境质量底线及分区管控要求</w:t>
            </w:r>
          </w:p>
          <w:p w14:paraId="5297E759">
            <w:pPr>
              <w:spacing w:line="360" w:lineRule="auto"/>
              <w:ind w:firstLine="480"/>
              <w:rPr>
                <w:rFonts w:hint="default" w:ascii="Times New Roman" w:hAnsi="Times New Roman" w:eastAsia="宋体" w:cs="Times New Roman"/>
                <w:color w:val="auto"/>
                <w:sz w:val="24"/>
                <w:szCs w:val="32"/>
                <w:lang w:val="en-US" w:eastAsia="zh-CN"/>
              </w:rPr>
            </w:pPr>
            <w:r>
              <w:rPr>
                <w:rFonts w:hint="eastAsia" w:cs="Times New Roman"/>
                <w:color w:val="auto"/>
                <w:sz w:val="24"/>
                <w:szCs w:val="32"/>
                <w:lang w:val="en-US" w:eastAsia="zh-CN"/>
              </w:rPr>
              <w:t>本项目不属于“两高”项目，生产过程中不使用高污染燃料，不建设锅炉，采用园区集中供暖。排放废气污染物主要为颗粒物、二氧化硫、氮氧化物、非甲烷总烃，采取有效的污染物治理措施后，各项污染物均能达标排放，对项目周边影响较小。</w:t>
            </w:r>
          </w:p>
          <w:p w14:paraId="02B9F550">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③土壤环境质量底线</w:t>
            </w:r>
          </w:p>
          <w:p w14:paraId="1B123F32">
            <w:pPr>
              <w:spacing w:line="360" w:lineRule="auto"/>
              <w:ind w:firstLine="482"/>
              <w:rPr>
                <w:rFonts w:hint="default" w:ascii="Times New Roman" w:hAnsi="Times New Roman" w:cs="Times New Roman"/>
                <w:kern w:val="0"/>
                <w:sz w:val="24"/>
                <w:szCs w:val="32"/>
              </w:rPr>
            </w:pPr>
            <w:r>
              <w:rPr>
                <w:rFonts w:hint="default" w:ascii="Times New Roman" w:hAnsi="Times New Roman" w:cs="Times New Roman"/>
                <w:sz w:val="24"/>
                <w:szCs w:val="32"/>
              </w:rPr>
              <w:t>包头市“三线一单”要求：按照以改善土壤环境质量为核心，以保障农畜产品质量和人居环境安全为出发点的基本要求，确定包头市土壤环境风险管控目标：到2025年，全区受污染耕地安全利用率达到98%以上，污染地块安全利用率达到92%以上；到2035年，受污染耕地安全利用率达到98%以上，污染地块安全利用率达到92%以上。</w:t>
            </w:r>
          </w:p>
          <w:p w14:paraId="3BBEC75C">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本项目位于土壤污染风险一般管控区，防控要求为完善环境保护基础设施建设，严格执行相关行业企业布局选址要求，优先发展绿色生态产业。</w:t>
            </w:r>
          </w:p>
          <w:p w14:paraId="1B502DD4">
            <w:pPr>
              <w:spacing w:line="360" w:lineRule="auto"/>
              <w:ind w:firstLine="482"/>
              <w:rPr>
                <w:rFonts w:hint="default" w:ascii="Times New Roman" w:hAnsi="Times New Roman" w:cs="Times New Roman"/>
                <w:sz w:val="24"/>
                <w:szCs w:val="32"/>
              </w:rPr>
            </w:pPr>
            <w:r>
              <w:rPr>
                <w:rFonts w:hint="default" w:ascii="Times New Roman" w:hAnsi="Times New Roman" w:cs="Times New Roman"/>
                <w:sz w:val="24"/>
                <w:szCs w:val="32"/>
              </w:rPr>
              <w:t>本项目厂址位于园区新型化工及高分子材料产业区</w:t>
            </w:r>
            <w:r>
              <w:rPr>
                <w:rFonts w:hint="default" w:ascii="Times New Roman" w:hAnsi="Times New Roman" w:cs="Times New Roman"/>
                <w:sz w:val="24"/>
                <w:szCs w:val="32"/>
                <w:lang w:eastAsia="zh-CN"/>
              </w:rPr>
              <w:t>，</w:t>
            </w:r>
            <w:r>
              <w:rPr>
                <w:rFonts w:hint="default" w:ascii="Times New Roman" w:hAnsi="Times New Roman" w:cs="Times New Roman"/>
                <w:sz w:val="24"/>
                <w:szCs w:val="32"/>
                <w:lang w:val="en-US" w:eastAsia="zh-CN"/>
              </w:rPr>
              <w:t>为工业用地，目前为止空地，</w:t>
            </w:r>
            <w:r>
              <w:rPr>
                <w:rFonts w:hint="default" w:ascii="Times New Roman" w:hAnsi="Times New Roman" w:cs="Times New Roman"/>
                <w:sz w:val="24"/>
                <w:szCs w:val="32"/>
              </w:rPr>
              <w:t>未发生排污行为，因此不涉及土壤污染问题。项目建成后在做好厂区防渗措施的前提下，不会对项目所在区域地下水、土壤造成污染。</w:t>
            </w:r>
          </w:p>
          <w:p w14:paraId="0A4151F4">
            <w:pPr>
              <w:spacing w:line="360" w:lineRule="auto"/>
              <w:ind w:firstLine="48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综上，本项目为</w:t>
            </w:r>
            <w:r>
              <w:rPr>
                <w:rFonts w:hint="default" w:ascii="Times New Roman" w:hAnsi="Times New Roman" w:cs="Times New Roman"/>
                <w:color w:val="auto"/>
                <w:sz w:val="24"/>
                <w:szCs w:val="32"/>
                <w:lang w:val="en-US" w:eastAsia="zh-CN"/>
              </w:rPr>
              <w:t>为</w:t>
            </w:r>
            <w:r>
              <w:rPr>
                <w:rFonts w:hint="default" w:ascii="Times New Roman" w:hAnsi="Times New Roman" w:cs="Times New Roman"/>
                <w:color w:val="auto"/>
                <w:sz w:val="24"/>
                <w:szCs w:val="24"/>
                <w:shd w:val="clear" w:color="auto" w:fill="auto"/>
                <w:lang w:val="en-US" w:eastAsia="zh-CN"/>
              </w:rPr>
              <w:t>其他基础化学原料制造（单纯物理混合、分装）、</w:t>
            </w:r>
            <w:r>
              <w:rPr>
                <w:rFonts w:hint="default" w:ascii="Times New Roman" w:hAnsi="Times New Roman" w:eastAsia="宋体" w:cs="Times New Roman"/>
                <w:color w:val="auto"/>
                <w:sz w:val="24"/>
                <w:szCs w:val="24"/>
                <w:shd w:val="clear" w:color="auto" w:fill="auto"/>
                <w:lang w:val="en-US" w:eastAsia="zh-CN"/>
              </w:rPr>
              <w:t>油气仓储项目</w:t>
            </w:r>
            <w:r>
              <w:rPr>
                <w:rFonts w:hint="default" w:ascii="Times New Roman" w:hAnsi="Times New Roman" w:cs="Times New Roman"/>
                <w:color w:val="auto"/>
                <w:sz w:val="24"/>
                <w:szCs w:val="32"/>
              </w:rPr>
              <w:t>，运营后会产生</w:t>
            </w:r>
            <w:r>
              <w:rPr>
                <w:rFonts w:hint="default" w:ascii="Times New Roman" w:hAnsi="Times New Roman" w:cs="Times New Roman"/>
                <w:color w:val="auto"/>
                <w:sz w:val="24"/>
                <w:szCs w:val="32"/>
                <w:lang w:val="en-US" w:eastAsia="zh-CN"/>
              </w:rPr>
              <w:t>少量</w:t>
            </w:r>
            <w:r>
              <w:rPr>
                <w:rFonts w:hint="default" w:ascii="Times New Roman" w:hAnsi="Times New Roman" w:cs="Times New Roman"/>
                <w:color w:val="auto"/>
                <w:sz w:val="24"/>
                <w:szCs w:val="32"/>
              </w:rPr>
              <w:t>废气、生活污水、噪声，项目通过采取完善的污染防治措施，确保废气能实现稳定达标排放，</w:t>
            </w:r>
            <w:r>
              <w:rPr>
                <w:rFonts w:hint="default" w:ascii="Times New Roman" w:hAnsi="Times New Roman" w:cs="Times New Roman"/>
                <w:color w:val="auto"/>
                <w:sz w:val="24"/>
                <w:szCs w:val="32"/>
                <w:lang w:val="en-US" w:eastAsia="zh-CN"/>
              </w:rPr>
              <w:t>废</w:t>
            </w:r>
            <w:r>
              <w:rPr>
                <w:rFonts w:hint="default" w:ascii="Times New Roman" w:hAnsi="Times New Roman" w:cs="Times New Roman"/>
                <w:color w:val="auto"/>
                <w:sz w:val="24"/>
                <w:szCs w:val="32"/>
              </w:rPr>
              <w:t>水</w:t>
            </w:r>
            <w:r>
              <w:rPr>
                <w:rFonts w:hint="default" w:ascii="Times New Roman" w:hAnsi="Times New Roman" w:cs="Times New Roman"/>
                <w:color w:val="auto"/>
                <w:sz w:val="24"/>
                <w:szCs w:val="32"/>
                <w:lang w:val="en-US" w:eastAsia="zh-CN"/>
              </w:rPr>
              <w:t>排至园区污水管网，最终进入九原水质净化厂</w:t>
            </w:r>
            <w:r>
              <w:rPr>
                <w:rFonts w:hint="default" w:ascii="Times New Roman" w:hAnsi="Times New Roman" w:cs="Times New Roman"/>
                <w:color w:val="auto"/>
                <w:sz w:val="24"/>
                <w:szCs w:val="32"/>
              </w:rPr>
              <w:t>。厂界外50m范围内无噪声敏感点。因此，项目的建设不会对当地环境质量底线造成冲击。</w:t>
            </w:r>
          </w:p>
          <w:p w14:paraId="2A57AA7F">
            <w:pPr>
              <w:spacing w:line="360" w:lineRule="auto"/>
              <w:ind w:firstLine="480"/>
              <w:rPr>
                <w:rFonts w:hint="default" w:ascii="Times New Roman" w:hAnsi="Times New Roman" w:cs="Times New Roman"/>
                <w:sz w:val="24"/>
                <w:szCs w:val="32"/>
              </w:rPr>
            </w:pPr>
            <w:r>
              <w:rPr>
                <w:rFonts w:hint="default" w:ascii="Times New Roman" w:hAnsi="Times New Roman" w:cs="Times New Roman"/>
                <w:sz w:val="24"/>
                <w:szCs w:val="32"/>
              </w:rPr>
              <w:t>（3）资源利用上线</w:t>
            </w:r>
          </w:p>
          <w:p w14:paraId="2BC5C762">
            <w:pPr>
              <w:spacing w:line="360" w:lineRule="auto"/>
              <w:ind w:firstLine="480"/>
              <w:rPr>
                <w:rFonts w:hint="default" w:ascii="Times New Roman" w:hAnsi="Times New Roman" w:cs="Times New Roman"/>
                <w:sz w:val="24"/>
                <w:szCs w:val="32"/>
              </w:rPr>
            </w:pPr>
            <w:r>
              <w:rPr>
                <w:rFonts w:hint="default" w:ascii="Times New Roman" w:hAnsi="Times New Roman" w:cs="Times New Roman"/>
                <w:sz w:val="24"/>
                <w:szCs w:val="32"/>
              </w:rPr>
              <w:t>①水资源</w:t>
            </w:r>
          </w:p>
          <w:p w14:paraId="6AEF8FBD">
            <w:pPr>
              <w:spacing w:line="360" w:lineRule="auto"/>
              <w:ind w:firstLine="480"/>
              <w:rPr>
                <w:rFonts w:hint="default" w:ascii="Times New Roman" w:hAnsi="Times New Roman" w:cs="Times New Roman"/>
                <w:sz w:val="24"/>
                <w:szCs w:val="32"/>
              </w:rPr>
            </w:pPr>
            <w:r>
              <w:rPr>
                <w:rFonts w:hint="default" w:ascii="Times New Roman" w:hAnsi="Times New Roman" w:cs="Times New Roman"/>
                <w:sz w:val="24"/>
                <w:szCs w:val="32"/>
              </w:rPr>
              <w:t>本项目用水主要为</w:t>
            </w:r>
            <w:r>
              <w:rPr>
                <w:rFonts w:hint="default" w:ascii="Times New Roman" w:hAnsi="Times New Roman" w:cs="Times New Roman"/>
                <w:sz w:val="24"/>
                <w:szCs w:val="32"/>
                <w:lang w:val="en-US" w:eastAsia="zh-CN"/>
              </w:rPr>
              <w:t>水压测试用水、废气喷淋塔用水、</w:t>
            </w:r>
            <w:r>
              <w:rPr>
                <w:rFonts w:hint="default" w:ascii="Times New Roman" w:hAnsi="Times New Roman" w:cs="Times New Roman"/>
                <w:sz w:val="24"/>
                <w:szCs w:val="32"/>
              </w:rPr>
              <w:t>生活用水，在园区规划供应范围内，且消耗量相对区域资源总量较少。</w:t>
            </w:r>
          </w:p>
          <w:p w14:paraId="17AE2075">
            <w:pPr>
              <w:spacing w:line="360" w:lineRule="auto"/>
              <w:ind w:firstLine="480"/>
              <w:rPr>
                <w:rFonts w:hint="default" w:ascii="Times New Roman" w:hAnsi="Times New Roman" w:cs="Times New Roman"/>
                <w:sz w:val="24"/>
                <w:szCs w:val="32"/>
              </w:rPr>
            </w:pPr>
            <w:r>
              <w:rPr>
                <w:rFonts w:hint="default" w:ascii="Times New Roman" w:hAnsi="Times New Roman" w:cs="Times New Roman"/>
                <w:sz w:val="24"/>
                <w:szCs w:val="32"/>
              </w:rPr>
              <w:t>②土地资源</w:t>
            </w:r>
          </w:p>
          <w:p w14:paraId="7E91BB03">
            <w:pPr>
              <w:spacing w:line="360" w:lineRule="auto"/>
              <w:ind w:firstLine="480"/>
              <w:rPr>
                <w:rFonts w:hint="default" w:ascii="Times New Roman" w:hAnsi="Times New Roman" w:cs="Times New Roman"/>
                <w:sz w:val="24"/>
                <w:szCs w:val="32"/>
              </w:rPr>
            </w:pPr>
            <w:r>
              <w:rPr>
                <w:rFonts w:hint="default" w:ascii="Times New Roman" w:hAnsi="Times New Roman" w:cs="Times New Roman"/>
                <w:sz w:val="24"/>
                <w:szCs w:val="32"/>
              </w:rPr>
              <w:t>依据自治区“三线一单”成果，衔接自然资源、规划、建设等部门对土地资源开发利用总量及强度的管控要求，包括耕地保有量、永久基本农田保护面积、建设用地总规模、城乡建设用地规模等指标，作为土地资源利用上线要求。基于保障人群及生态安全的要求，将生态保护红线、重度污染农用地或污染地块等不适宜开发区域，作为土地资源重点管控区。</w:t>
            </w:r>
          </w:p>
          <w:p w14:paraId="3795FBCD">
            <w:pPr>
              <w:pStyle w:val="108"/>
              <w:spacing w:line="360" w:lineRule="auto"/>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表1-</w:t>
            </w:r>
            <w:r>
              <w:rPr>
                <w:rFonts w:hint="default" w:ascii="Times New Roman" w:hAnsi="Times New Roman" w:cs="Times New Roman"/>
                <w:b/>
                <w:bCs/>
                <w:color w:val="auto"/>
                <w:sz w:val="21"/>
                <w:szCs w:val="21"/>
                <w:lang w:val="en-US" w:eastAsia="zh-CN"/>
              </w:rPr>
              <w:t>1</w:t>
            </w:r>
            <w:r>
              <w:rPr>
                <w:rFonts w:hint="eastAsia" w:cs="Times New Roman"/>
                <w:b/>
                <w:bCs/>
                <w:color w:val="auto"/>
                <w:sz w:val="21"/>
                <w:szCs w:val="21"/>
                <w:lang w:val="en-US" w:eastAsia="zh-CN"/>
              </w:rPr>
              <w:t>6</w:t>
            </w:r>
            <w:r>
              <w:rPr>
                <w:rFonts w:hint="default" w:ascii="Times New Roman" w:hAnsi="Times New Roman" w:cs="Times New Roman"/>
                <w:b/>
                <w:bCs/>
                <w:color w:val="auto"/>
                <w:sz w:val="21"/>
                <w:szCs w:val="21"/>
              </w:rPr>
              <w:t xml:space="preserve">  包头市各区土地利用主要控制指标（单位：万公顷）</w:t>
            </w:r>
          </w:p>
          <w:tbl>
            <w:tblPr>
              <w:tblStyle w:val="32"/>
              <w:tblW w:w="4903"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738"/>
              <w:gridCol w:w="2395"/>
              <w:gridCol w:w="2066"/>
            </w:tblGrid>
            <w:tr w14:paraId="14AF6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Align w:val="center"/>
                </w:tcPr>
                <w:p w14:paraId="5B516166">
                  <w:pPr>
                    <w:pStyle w:val="40"/>
                    <w:bidi w:val="0"/>
                    <w:rPr>
                      <w:rFonts w:hint="default" w:ascii="Times New Roman" w:hAnsi="Times New Roman" w:cs="Times New Roman"/>
                    </w:rPr>
                  </w:pPr>
                  <w:r>
                    <w:rPr>
                      <w:rFonts w:hint="default" w:ascii="Times New Roman" w:hAnsi="Times New Roman" w:cs="Times New Roman"/>
                    </w:rPr>
                    <w:t>行政区</w:t>
                  </w:r>
                </w:p>
              </w:tc>
              <w:tc>
                <w:tcPr>
                  <w:tcW w:w="1187" w:type="pct"/>
                  <w:vAlign w:val="center"/>
                </w:tcPr>
                <w:p w14:paraId="56BF086E">
                  <w:pPr>
                    <w:pStyle w:val="40"/>
                    <w:bidi w:val="0"/>
                    <w:rPr>
                      <w:rFonts w:hint="default" w:ascii="Times New Roman" w:hAnsi="Times New Roman" w:cs="Times New Roman"/>
                    </w:rPr>
                  </w:pPr>
                  <w:r>
                    <w:rPr>
                      <w:rFonts w:hint="default" w:ascii="Times New Roman" w:hAnsi="Times New Roman" w:cs="Times New Roman"/>
                    </w:rPr>
                    <w:t>耕地保有量</w:t>
                  </w:r>
                </w:p>
              </w:tc>
              <w:tc>
                <w:tcPr>
                  <w:tcW w:w="1636" w:type="pct"/>
                  <w:vAlign w:val="center"/>
                </w:tcPr>
                <w:p w14:paraId="1E760512">
                  <w:pPr>
                    <w:pStyle w:val="40"/>
                    <w:bidi w:val="0"/>
                    <w:rPr>
                      <w:rFonts w:hint="default" w:ascii="Times New Roman" w:hAnsi="Times New Roman" w:cs="Times New Roman"/>
                    </w:rPr>
                  </w:pPr>
                  <w:r>
                    <w:rPr>
                      <w:rFonts w:hint="default" w:ascii="Times New Roman" w:hAnsi="Times New Roman" w:cs="Times New Roman"/>
                    </w:rPr>
                    <w:t>永久基本农田保护面积</w:t>
                  </w:r>
                </w:p>
              </w:tc>
              <w:tc>
                <w:tcPr>
                  <w:tcW w:w="1411" w:type="pct"/>
                  <w:vAlign w:val="center"/>
                </w:tcPr>
                <w:p w14:paraId="11DA50A5">
                  <w:pPr>
                    <w:pStyle w:val="40"/>
                    <w:bidi w:val="0"/>
                    <w:rPr>
                      <w:rFonts w:hint="default" w:ascii="Times New Roman" w:hAnsi="Times New Roman" w:cs="Times New Roman"/>
                    </w:rPr>
                  </w:pPr>
                  <w:r>
                    <w:rPr>
                      <w:rFonts w:hint="default" w:ascii="Times New Roman" w:hAnsi="Times New Roman" w:cs="Times New Roman"/>
                    </w:rPr>
                    <w:t>城乡建设用地规模</w:t>
                  </w:r>
                </w:p>
              </w:tc>
            </w:tr>
            <w:tr w14:paraId="2E9ED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64" w:type="pct"/>
                  <w:vAlign w:val="center"/>
                </w:tcPr>
                <w:p w14:paraId="31D1355E">
                  <w:pPr>
                    <w:pStyle w:val="40"/>
                    <w:bidi w:val="0"/>
                    <w:rPr>
                      <w:rFonts w:hint="default" w:ascii="Times New Roman" w:hAnsi="Times New Roman" w:cs="Times New Roman"/>
                    </w:rPr>
                  </w:pPr>
                  <w:r>
                    <w:rPr>
                      <w:rFonts w:hint="default" w:ascii="Times New Roman" w:hAnsi="Times New Roman" w:cs="Times New Roman"/>
                    </w:rPr>
                    <w:t>全市</w:t>
                  </w:r>
                </w:p>
              </w:tc>
              <w:tc>
                <w:tcPr>
                  <w:tcW w:w="1187" w:type="pct"/>
                  <w:vAlign w:val="center"/>
                </w:tcPr>
                <w:p w14:paraId="2F1ED382">
                  <w:pPr>
                    <w:pStyle w:val="40"/>
                    <w:bidi w:val="0"/>
                    <w:rPr>
                      <w:rFonts w:hint="default" w:ascii="Times New Roman" w:hAnsi="Times New Roman" w:cs="Times New Roman"/>
                    </w:rPr>
                  </w:pPr>
                  <w:r>
                    <w:rPr>
                      <w:rFonts w:hint="default" w:ascii="Times New Roman" w:hAnsi="Times New Roman" w:cs="Times New Roman"/>
                    </w:rPr>
                    <w:t>44.05</w:t>
                  </w:r>
                </w:p>
              </w:tc>
              <w:tc>
                <w:tcPr>
                  <w:tcW w:w="1636" w:type="pct"/>
                  <w:vAlign w:val="center"/>
                </w:tcPr>
                <w:p w14:paraId="67316775">
                  <w:pPr>
                    <w:pStyle w:val="40"/>
                    <w:bidi w:val="0"/>
                    <w:rPr>
                      <w:rFonts w:hint="default" w:ascii="Times New Roman" w:hAnsi="Times New Roman" w:cs="Times New Roman"/>
                    </w:rPr>
                  </w:pPr>
                  <w:r>
                    <w:rPr>
                      <w:rFonts w:hint="default" w:ascii="Times New Roman" w:hAnsi="Times New Roman" w:cs="Times New Roman"/>
                    </w:rPr>
                    <w:t>25.55</w:t>
                  </w:r>
                </w:p>
              </w:tc>
              <w:tc>
                <w:tcPr>
                  <w:tcW w:w="1411" w:type="pct"/>
                  <w:vAlign w:val="center"/>
                </w:tcPr>
                <w:p w14:paraId="4CF7185B">
                  <w:pPr>
                    <w:pStyle w:val="40"/>
                    <w:bidi w:val="0"/>
                    <w:rPr>
                      <w:rFonts w:hint="default" w:ascii="Times New Roman" w:hAnsi="Times New Roman" w:cs="Times New Roman"/>
                    </w:rPr>
                  </w:pPr>
                  <w:r>
                    <w:rPr>
                      <w:rFonts w:hint="default" w:ascii="Times New Roman" w:hAnsi="Times New Roman" w:cs="Times New Roman"/>
                    </w:rPr>
                    <w:t>5.77</w:t>
                  </w:r>
                </w:p>
              </w:tc>
            </w:tr>
          </w:tbl>
          <w:p w14:paraId="2B8301E9">
            <w:pPr>
              <w:autoSpaceDE w:val="0"/>
              <w:autoSpaceDN w:val="0"/>
              <w:adjustRightInd w:val="0"/>
              <w:snapToGrid w:val="0"/>
              <w:spacing w:before="240" w:line="360" w:lineRule="auto"/>
              <w:ind w:firstLine="480"/>
              <w:rPr>
                <w:rFonts w:hint="default" w:ascii="Times New Roman" w:hAnsi="Times New Roman" w:cs="Times New Roman"/>
                <w:kern w:val="0"/>
                <w:sz w:val="24"/>
                <w:szCs w:val="32"/>
              </w:rPr>
            </w:pPr>
            <w:r>
              <w:rPr>
                <w:rFonts w:hint="default" w:ascii="Times New Roman" w:hAnsi="Times New Roman" w:cs="Times New Roman"/>
                <w:kern w:val="0"/>
                <w:sz w:val="24"/>
                <w:szCs w:val="32"/>
              </w:rPr>
              <w:t>本项目占地属于</w:t>
            </w:r>
            <w:r>
              <w:rPr>
                <w:rFonts w:hint="eastAsia" w:cs="Times New Roman"/>
                <w:kern w:val="0"/>
                <w:sz w:val="24"/>
                <w:szCs w:val="32"/>
                <w:lang w:val="en-US" w:eastAsia="zh-CN"/>
              </w:rPr>
              <w:t>工业用地</w:t>
            </w:r>
            <w:r>
              <w:rPr>
                <w:rFonts w:hint="default" w:ascii="Times New Roman" w:hAnsi="Times New Roman" w:cs="Times New Roman"/>
                <w:kern w:val="0"/>
                <w:sz w:val="24"/>
                <w:szCs w:val="32"/>
              </w:rPr>
              <w:t>，不属于永久基本农田、生态保护红线、污染地块管控区域。</w:t>
            </w:r>
          </w:p>
          <w:p w14:paraId="5F39E08A">
            <w:pPr>
              <w:autoSpaceDE w:val="0"/>
              <w:autoSpaceDN w:val="0"/>
              <w:adjustRightInd w:val="0"/>
              <w:snapToGrid w:val="0"/>
              <w:spacing w:line="360" w:lineRule="auto"/>
              <w:ind w:firstLine="480"/>
              <w:rPr>
                <w:rFonts w:hint="default" w:ascii="Times New Roman" w:hAnsi="Times New Roman" w:cs="Times New Roman"/>
                <w:kern w:val="0"/>
                <w:sz w:val="24"/>
                <w:szCs w:val="32"/>
              </w:rPr>
            </w:pPr>
            <w:r>
              <w:rPr>
                <w:rFonts w:hint="default" w:ascii="Times New Roman" w:hAnsi="Times New Roman" w:cs="Times New Roman"/>
                <w:kern w:val="0"/>
                <w:sz w:val="24"/>
                <w:szCs w:val="32"/>
              </w:rPr>
              <w:t>③能源</w:t>
            </w:r>
          </w:p>
          <w:p w14:paraId="04C23CA1">
            <w:pPr>
              <w:autoSpaceDE w:val="0"/>
              <w:autoSpaceDN w:val="0"/>
              <w:adjustRightInd w:val="0"/>
              <w:snapToGrid w:val="0"/>
              <w:spacing w:line="360" w:lineRule="auto"/>
              <w:ind w:firstLine="480"/>
              <w:rPr>
                <w:rFonts w:hint="default" w:ascii="Times New Roman" w:hAnsi="Times New Roman" w:cs="Times New Roman"/>
                <w:kern w:val="0"/>
                <w:sz w:val="24"/>
                <w:szCs w:val="32"/>
              </w:rPr>
            </w:pPr>
            <w:r>
              <w:rPr>
                <w:rFonts w:hint="default" w:ascii="Times New Roman" w:hAnsi="Times New Roman" w:cs="Times New Roman"/>
                <w:kern w:val="0"/>
                <w:sz w:val="24"/>
                <w:szCs w:val="32"/>
              </w:rPr>
              <w:t>根据《包头市“十四五”现代能源产业基地发展规划》提出的“十四五”发展目标，2020年包头市煤炭消费量4015.36万吨标煤，2025年煤炭消费总量3556万吨标煤。根据“十四五”期间煤炭消费量下降比例，预测2035年包头煤炭消费量约为3149.2万吨标煤。</w:t>
            </w:r>
          </w:p>
          <w:p w14:paraId="398C5ED3">
            <w:pPr>
              <w:pStyle w:val="108"/>
              <w:spacing w:line="360" w:lineRule="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表1-</w:t>
            </w:r>
            <w:r>
              <w:rPr>
                <w:rFonts w:hint="default" w:ascii="Times New Roman" w:hAnsi="Times New Roman" w:cs="Times New Roman"/>
                <w:b/>
                <w:bCs/>
                <w:color w:val="auto"/>
                <w:sz w:val="21"/>
                <w:szCs w:val="21"/>
                <w:lang w:val="en-US" w:eastAsia="zh-CN"/>
              </w:rPr>
              <w:t>1</w:t>
            </w:r>
            <w:r>
              <w:rPr>
                <w:rFonts w:hint="eastAsia" w:cs="Times New Roman"/>
                <w:b/>
                <w:bCs/>
                <w:color w:val="auto"/>
                <w:sz w:val="21"/>
                <w:szCs w:val="21"/>
                <w:lang w:val="en-US" w:eastAsia="zh-CN"/>
              </w:rPr>
              <w:t>7</w:t>
            </w:r>
            <w:r>
              <w:rPr>
                <w:rFonts w:hint="default" w:ascii="Times New Roman" w:hAnsi="Times New Roman" w:cs="Times New Roman"/>
                <w:b/>
                <w:bCs/>
                <w:color w:val="auto"/>
                <w:sz w:val="21"/>
                <w:szCs w:val="21"/>
              </w:rPr>
              <w:t xml:space="preserve">  包头市能源、煤炭消费总量控制目标</w:t>
            </w:r>
          </w:p>
          <w:tbl>
            <w:tblPr>
              <w:tblStyle w:val="32"/>
              <w:tblW w:w="5000"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8"/>
              <w:gridCol w:w="3082"/>
              <w:gridCol w:w="2823"/>
            </w:tblGrid>
            <w:tr w14:paraId="3BE04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44" w:type="pct"/>
                  <w:vAlign w:val="center"/>
                </w:tcPr>
                <w:p w14:paraId="78D5DD2F">
                  <w:pPr>
                    <w:pStyle w:val="108"/>
                    <w:rPr>
                      <w:rFonts w:hint="default" w:ascii="Times New Roman" w:hAnsi="Times New Roman" w:cs="Times New Roman"/>
                      <w:color w:val="auto"/>
                    </w:rPr>
                  </w:pPr>
                  <w:r>
                    <w:rPr>
                      <w:rFonts w:hint="default" w:ascii="Times New Roman" w:hAnsi="Times New Roman" w:cs="Times New Roman"/>
                      <w:color w:val="auto"/>
                    </w:rPr>
                    <w:t>全市</w:t>
                  </w:r>
                </w:p>
              </w:tc>
              <w:tc>
                <w:tcPr>
                  <w:tcW w:w="2065" w:type="pct"/>
                  <w:vAlign w:val="center"/>
                </w:tcPr>
                <w:p w14:paraId="7F93ED21">
                  <w:pPr>
                    <w:pStyle w:val="108"/>
                    <w:rPr>
                      <w:rFonts w:hint="default" w:ascii="Times New Roman" w:hAnsi="Times New Roman" w:cs="Times New Roman"/>
                      <w:color w:val="auto"/>
                    </w:rPr>
                  </w:pPr>
                  <w:r>
                    <w:rPr>
                      <w:rFonts w:hint="default" w:ascii="Times New Roman" w:hAnsi="Times New Roman" w:cs="Times New Roman"/>
                      <w:color w:val="auto"/>
                    </w:rPr>
                    <w:t>能源消费总量（万吨标煤）</w:t>
                  </w:r>
                </w:p>
              </w:tc>
              <w:tc>
                <w:tcPr>
                  <w:tcW w:w="1891" w:type="pct"/>
                  <w:vAlign w:val="center"/>
                </w:tcPr>
                <w:p w14:paraId="06EDEBD3">
                  <w:pPr>
                    <w:pStyle w:val="108"/>
                    <w:rPr>
                      <w:rFonts w:hint="default" w:ascii="Times New Roman" w:hAnsi="Times New Roman" w:cs="Times New Roman"/>
                      <w:color w:val="auto"/>
                    </w:rPr>
                  </w:pPr>
                  <w:r>
                    <w:rPr>
                      <w:rFonts w:hint="default" w:ascii="Times New Roman" w:hAnsi="Times New Roman" w:cs="Times New Roman"/>
                      <w:color w:val="auto"/>
                    </w:rPr>
                    <w:t>煤炭消费总量（万吨标煤）</w:t>
                  </w:r>
                </w:p>
              </w:tc>
            </w:tr>
            <w:tr w14:paraId="2427F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44" w:type="pct"/>
                  <w:vAlign w:val="center"/>
                </w:tcPr>
                <w:p w14:paraId="55C70CF8">
                  <w:pPr>
                    <w:pStyle w:val="108"/>
                    <w:rPr>
                      <w:rFonts w:hint="default" w:ascii="Times New Roman" w:hAnsi="Times New Roman" w:cs="Times New Roman"/>
                      <w:color w:val="auto"/>
                    </w:rPr>
                  </w:pPr>
                  <w:r>
                    <w:rPr>
                      <w:rFonts w:hint="default" w:ascii="Times New Roman" w:hAnsi="Times New Roman" w:cs="Times New Roman"/>
                      <w:color w:val="auto"/>
                    </w:rPr>
                    <w:t>2025年</w:t>
                  </w:r>
                </w:p>
              </w:tc>
              <w:tc>
                <w:tcPr>
                  <w:tcW w:w="2065" w:type="pct"/>
                  <w:vAlign w:val="center"/>
                </w:tcPr>
                <w:p w14:paraId="58EF9F6D">
                  <w:pPr>
                    <w:pStyle w:val="108"/>
                    <w:rPr>
                      <w:rFonts w:hint="default" w:ascii="Times New Roman" w:hAnsi="Times New Roman" w:cs="Times New Roman"/>
                      <w:color w:val="auto"/>
                    </w:rPr>
                  </w:pPr>
                  <w:r>
                    <w:rPr>
                      <w:rFonts w:hint="default" w:ascii="Times New Roman" w:hAnsi="Times New Roman" w:cs="Times New Roman"/>
                      <w:color w:val="auto"/>
                    </w:rPr>
                    <w:t>5629.1</w:t>
                  </w:r>
                </w:p>
              </w:tc>
              <w:tc>
                <w:tcPr>
                  <w:tcW w:w="1891" w:type="pct"/>
                  <w:vAlign w:val="center"/>
                </w:tcPr>
                <w:p w14:paraId="7A4E5928">
                  <w:pPr>
                    <w:pStyle w:val="108"/>
                    <w:rPr>
                      <w:rFonts w:hint="default" w:ascii="Times New Roman" w:hAnsi="Times New Roman" w:cs="Times New Roman"/>
                      <w:color w:val="auto"/>
                    </w:rPr>
                  </w:pPr>
                  <w:r>
                    <w:rPr>
                      <w:rFonts w:hint="default" w:ascii="Times New Roman" w:hAnsi="Times New Roman" w:cs="Times New Roman"/>
                      <w:color w:val="auto"/>
                    </w:rPr>
                    <w:t>3556</w:t>
                  </w:r>
                </w:p>
              </w:tc>
            </w:tr>
            <w:tr w14:paraId="19586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044" w:type="pct"/>
                  <w:vAlign w:val="center"/>
                </w:tcPr>
                <w:p w14:paraId="3B00C8CB">
                  <w:pPr>
                    <w:pStyle w:val="108"/>
                    <w:rPr>
                      <w:rFonts w:hint="default" w:ascii="Times New Roman" w:hAnsi="Times New Roman" w:cs="Times New Roman"/>
                      <w:color w:val="auto"/>
                    </w:rPr>
                  </w:pPr>
                  <w:r>
                    <w:rPr>
                      <w:rFonts w:hint="default" w:ascii="Times New Roman" w:hAnsi="Times New Roman" w:cs="Times New Roman"/>
                      <w:color w:val="auto"/>
                    </w:rPr>
                    <w:t>2035年</w:t>
                  </w:r>
                </w:p>
              </w:tc>
              <w:tc>
                <w:tcPr>
                  <w:tcW w:w="2065" w:type="pct"/>
                  <w:vAlign w:val="center"/>
                </w:tcPr>
                <w:p w14:paraId="441AF347">
                  <w:pPr>
                    <w:pStyle w:val="108"/>
                    <w:rPr>
                      <w:rFonts w:hint="default" w:ascii="Times New Roman" w:hAnsi="Times New Roman" w:cs="Times New Roman"/>
                      <w:color w:val="auto"/>
                    </w:rPr>
                  </w:pPr>
                  <w:r>
                    <w:rPr>
                      <w:rFonts w:hint="default" w:ascii="Times New Roman" w:hAnsi="Times New Roman" w:cs="Times New Roman"/>
                      <w:color w:val="auto"/>
                    </w:rPr>
                    <w:t>7000</w:t>
                  </w:r>
                </w:p>
              </w:tc>
              <w:tc>
                <w:tcPr>
                  <w:tcW w:w="1891" w:type="pct"/>
                  <w:vAlign w:val="center"/>
                </w:tcPr>
                <w:p w14:paraId="788813D1">
                  <w:pPr>
                    <w:pStyle w:val="108"/>
                    <w:rPr>
                      <w:rFonts w:hint="default" w:ascii="Times New Roman" w:hAnsi="Times New Roman" w:cs="Times New Roman"/>
                      <w:color w:val="auto"/>
                    </w:rPr>
                  </w:pPr>
                  <w:r>
                    <w:rPr>
                      <w:rFonts w:hint="default" w:ascii="Times New Roman" w:hAnsi="Times New Roman" w:cs="Times New Roman"/>
                      <w:color w:val="auto"/>
                    </w:rPr>
                    <w:t>3149</w:t>
                  </w:r>
                </w:p>
              </w:tc>
            </w:tr>
          </w:tbl>
          <w:p w14:paraId="74180304">
            <w:pPr>
              <w:autoSpaceDE w:val="0"/>
              <w:autoSpaceDN w:val="0"/>
              <w:adjustRightInd w:val="0"/>
              <w:snapToGrid w:val="0"/>
              <w:spacing w:before="240" w:line="360" w:lineRule="auto"/>
              <w:ind w:firstLine="482"/>
              <w:rPr>
                <w:rFonts w:hint="default" w:ascii="Times New Roman" w:hAnsi="Times New Roman" w:cs="Times New Roman"/>
                <w:kern w:val="0"/>
                <w:sz w:val="24"/>
                <w:szCs w:val="32"/>
              </w:rPr>
            </w:pPr>
            <w:r>
              <w:rPr>
                <w:rFonts w:hint="default" w:ascii="Times New Roman" w:hAnsi="Times New Roman" w:cs="Times New Roman"/>
                <w:kern w:val="0"/>
                <w:sz w:val="24"/>
                <w:szCs w:val="32"/>
              </w:rPr>
              <w:t>综上，本项目利用园区内工业用地建设，项目运营后消耗一定量水、电</w:t>
            </w:r>
            <w:r>
              <w:rPr>
                <w:rFonts w:hint="default" w:ascii="Times New Roman" w:hAnsi="Times New Roman" w:cs="Times New Roman"/>
                <w:kern w:val="0"/>
                <w:sz w:val="24"/>
                <w:szCs w:val="32"/>
                <w:lang w:eastAsia="zh-CN"/>
              </w:rPr>
              <w:t>、</w:t>
            </w:r>
            <w:r>
              <w:rPr>
                <w:rFonts w:hint="default" w:ascii="Times New Roman" w:hAnsi="Times New Roman" w:cs="Times New Roman"/>
                <w:kern w:val="0"/>
                <w:sz w:val="24"/>
                <w:szCs w:val="32"/>
                <w:lang w:val="en-US" w:eastAsia="zh-CN"/>
              </w:rPr>
              <w:t>液化石油气</w:t>
            </w:r>
            <w:r>
              <w:rPr>
                <w:rFonts w:hint="default" w:ascii="Times New Roman" w:hAnsi="Times New Roman" w:cs="Times New Roman"/>
                <w:kern w:val="0"/>
                <w:sz w:val="24"/>
                <w:szCs w:val="32"/>
              </w:rPr>
              <w:t>等，均在园区规划供应范围内且消耗量相对区域资源总量较少。因此，本项目不会突破资源能源利用上线。</w:t>
            </w:r>
          </w:p>
          <w:p w14:paraId="4C5ADB34">
            <w:pPr>
              <w:spacing w:line="360" w:lineRule="auto"/>
              <w:ind w:firstLine="48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（4）生态环境准入清单</w:t>
            </w:r>
          </w:p>
          <w:p w14:paraId="0F54EFB4">
            <w:pPr>
              <w:pStyle w:val="109"/>
              <w:snapToGrid/>
              <w:ind w:firstLine="480"/>
              <w:rPr>
                <w:rFonts w:hint="default" w:ascii="Times New Roman" w:hAnsi="Times New Roman" w:cs="Times New Roman"/>
                <w:color w:val="auto"/>
                <w:shd w:val="clear" w:color="auto" w:fill="FFFFFF"/>
              </w:rPr>
            </w:pPr>
            <w:r>
              <w:rPr>
                <w:rFonts w:hint="default" w:ascii="Times New Roman" w:hAnsi="Times New Roman" w:cs="Times New Roman"/>
                <w:color w:val="auto"/>
                <w:shd w:val="clear" w:color="auto" w:fill="FFFFFF"/>
              </w:rPr>
              <w:t>根据《包头市生态环境分区管控成果动态更新情况》、《包头市生态环境分区管控成果动态更新情况说明（备案稿）》（2023年10月）、</w:t>
            </w:r>
            <w:r>
              <w:rPr>
                <w:rFonts w:hint="default" w:ascii="Times New Roman" w:hAnsi="Times New Roman" w:cs="Times New Roman"/>
                <w:color w:val="auto"/>
                <w:shd w:val="clear" w:color="auto" w:fill="FFFFFF"/>
                <w:lang w:eastAsia="zh-CN"/>
              </w:rPr>
              <w:t>《</w:t>
            </w:r>
            <w:r>
              <w:rPr>
                <w:rFonts w:hint="default" w:ascii="Times New Roman" w:hAnsi="Times New Roman" w:cs="Times New Roman"/>
                <w:color w:val="auto"/>
                <w:shd w:val="clear" w:color="auto" w:fill="FFFFFF"/>
              </w:rPr>
              <w:t>包头市环境管控单元准入清单（2023）</w:t>
            </w:r>
            <w:r>
              <w:rPr>
                <w:rFonts w:hint="default" w:ascii="Times New Roman" w:hAnsi="Times New Roman" w:cs="Times New Roman"/>
                <w:color w:val="auto"/>
                <w:shd w:val="clear" w:color="auto" w:fill="FFFFFF"/>
                <w:lang w:eastAsia="zh-CN"/>
              </w:rPr>
              <w:t>》</w:t>
            </w:r>
            <w:r>
              <w:rPr>
                <w:rFonts w:hint="default" w:ascii="Times New Roman" w:hAnsi="Times New Roman" w:cs="Times New Roman"/>
                <w:color w:val="auto"/>
                <w:shd w:val="clear" w:color="auto" w:fill="FFFFFF"/>
              </w:rPr>
              <w:t>，全市共划分环境管控单元84个，包括优先保护单元、重点管控单元、一般管控单元三类，实施分类管控。</w:t>
            </w:r>
          </w:p>
          <w:p w14:paraId="248B24F4">
            <w:pPr>
              <w:pStyle w:val="109"/>
              <w:snapToGrid/>
              <w:ind w:firstLine="480"/>
              <w:rPr>
                <w:rFonts w:hint="default" w:ascii="Times New Roman" w:hAnsi="Times New Roman" w:cs="Times New Roman"/>
                <w:color w:val="auto"/>
              </w:rPr>
            </w:pPr>
            <w:r>
              <w:rPr>
                <w:rFonts w:hint="default" w:ascii="Times New Roman" w:hAnsi="Times New Roman" w:cs="Times New Roman"/>
                <w:color w:val="auto"/>
                <w:shd w:val="clear" w:color="auto" w:fill="FFFFFF"/>
              </w:rPr>
              <w:t>优先保护单元。共计49个，面积为22391.6</w:t>
            </w:r>
            <w:r>
              <w:rPr>
                <w:rFonts w:hint="default" w:ascii="Times New Roman" w:hAnsi="Times New Roman" w:cs="Times New Roman"/>
                <w:color w:val="auto"/>
              </w:rPr>
              <w:t>4平方千米，占全市总面积的81.19%。主要包括生态保护红线、自然保护地、饮用水水源地、基本草原、湿地以及生态功能重要和生态环境敏感脆弱的区域等。主要分布在大青山、梅力更、南海子、巴音杭盖等法定自然保护区，以及其他北部防风固沙生态功能区、南部生物多样性功能区和南部水土保持功能区等区域。</w:t>
            </w:r>
          </w:p>
          <w:p w14:paraId="64878E47">
            <w:pPr>
              <w:widowControl w:val="0"/>
              <w:snapToGrid w:val="0"/>
              <w:spacing w:before="60" w:after="60" w:line="360" w:lineRule="auto"/>
              <w:ind w:left="0" w:firstLine="480" w:firstLineChars="200"/>
              <w:jc w:val="both"/>
              <w:rPr>
                <w:rFonts w:hint="default" w:ascii="Times New Roman" w:hAnsi="Times New Roman" w:eastAsia="宋体" w:cs="Times New Roman"/>
                <w:color w:val="auto"/>
                <w:sz w:val="24"/>
                <w:lang w:val="en-US" w:eastAsia="zh-CN" w:bidi="ar-SA"/>
              </w:rPr>
            </w:pPr>
            <w:r>
              <w:rPr>
                <w:rFonts w:hint="default" w:ascii="Times New Roman" w:hAnsi="Times New Roman" w:eastAsia="宋体" w:cs="Times New Roman"/>
                <w:color w:val="auto"/>
                <w:sz w:val="24"/>
                <w:lang w:val="en-US" w:eastAsia="zh-CN" w:bidi="ar-SA"/>
              </w:rPr>
              <w:t>重点管控单元。共计28个，面积为1137.66平方千米，占全市总面积的4.15%。主要涉及人口密集、资源开发强度大或污染物排放强度高的区域以及矿区，包括城市建成区、自治区核定的工业园区、水环境超标区域、大气环境弱扩散区、集中连片采矿用地等。</w:t>
            </w:r>
          </w:p>
          <w:p w14:paraId="25E40615">
            <w:pPr>
              <w:widowControl w:val="0"/>
              <w:snapToGrid w:val="0"/>
              <w:spacing w:before="60" w:after="60" w:line="360" w:lineRule="auto"/>
              <w:ind w:left="0" w:firstLine="480" w:firstLineChars="200"/>
              <w:jc w:val="both"/>
              <w:rPr>
                <w:rFonts w:hint="default" w:ascii="Times New Roman" w:hAnsi="Times New Roman" w:eastAsia="宋体" w:cs="Times New Roman"/>
                <w:color w:val="auto"/>
                <w:sz w:val="24"/>
                <w:lang w:val="en-US" w:eastAsia="zh-CN" w:bidi="ar-SA"/>
              </w:rPr>
            </w:pPr>
            <w:r>
              <w:rPr>
                <w:rFonts w:hint="default" w:ascii="Times New Roman" w:hAnsi="Times New Roman" w:eastAsia="宋体" w:cs="Times New Roman"/>
                <w:color w:val="auto"/>
                <w:sz w:val="24"/>
                <w:lang w:val="en-US" w:eastAsia="zh-CN" w:bidi="ar-SA"/>
              </w:rPr>
              <w:t>一般管控单元。共计7个，面积为4040.25平方千米，占陆域总面积的14.66%。包括除优先保护单元和重点管控单元外的区域。</w:t>
            </w:r>
          </w:p>
          <w:p w14:paraId="21E18DCE">
            <w:pPr>
              <w:pStyle w:val="58"/>
              <w:keepNext w:val="0"/>
              <w:keepLines w:val="0"/>
              <w:pageBreakBefore w:val="0"/>
              <w:kinsoku/>
              <w:wordWrap/>
              <w:overflowPunct/>
              <w:topLinePunct w:val="0"/>
              <w:bidi w:val="0"/>
              <w:adjustRightInd/>
              <w:snapToGrid/>
              <w:rPr>
                <w:rFonts w:hint="default" w:ascii="Times New Roman" w:hAnsi="Times New Roman" w:cs="Times New Roman"/>
                <w:color w:val="auto"/>
                <w:sz w:val="24"/>
                <w:lang w:val="en-US" w:eastAsia="zh-CN" w:bidi="ar-SA"/>
              </w:rPr>
            </w:pPr>
            <w:r>
              <w:rPr>
                <w:rFonts w:hint="default" w:ascii="Times New Roman" w:hAnsi="Times New Roman" w:cs="Times New Roman"/>
                <w:color w:val="auto"/>
                <w:sz w:val="24"/>
                <w:lang w:val="en-US" w:eastAsia="zh-CN" w:bidi="ar-SA"/>
              </w:rPr>
              <w:t>根据“内蒙古自治区“三线一单”公众端应用平台”查询结果，本项目涉及环境管控单元为：九原区城镇开发边界（</w:t>
            </w:r>
            <w:r>
              <w:rPr>
                <w:rFonts w:hint="default" w:ascii="Times New Roman" w:hAnsi="Times New Roman" w:cs="Times New Roman"/>
                <w:color w:val="auto"/>
              </w:rPr>
              <w:t>ZH15020720001</w:t>
            </w:r>
            <w:r>
              <w:rPr>
                <w:rFonts w:hint="default" w:ascii="Times New Roman" w:hAnsi="Times New Roman" w:cs="Times New Roman"/>
                <w:color w:val="auto"/>
                <w:sz w:val="24"/>
                <w:lang w:val="en-US" w:eastAsia="zh-CN" w:bidi="ar-SA"/>
              </w:rPr>
              <w:t>），查询结果见附图1。</w:t>
            </w:r>
          </w:p>
          <w:p w14:paraId="04DC7AC4">
            <w:pPr>
              <w:spacing w:line="360" w:lineRule="auto"/>
              <w:ind w:firstLine="480"/>
              <w:rPr>
                <w:rFonts w:hint="default" w:ascii="Times New Roman" w:hAnsi="Times New Roman" w:cs="Times New Roman"/>
                <w:color w:val="auto"/>
                <w:kern w:val="0"/>
                <w:sz w:val="24"/>
                <w:szCs w:val="32"/>
              </w:rPr>
            </w:pPr>
            <w:r>
              <w:rPr>
                <w:rFonts w:hint="default" w:ascii="Times New Roman" w:hAnsi="Times New Roman" w:cs="Times New Roman"/>
                <w:color w:val="auto"/>
                <w:sz w:val="24"/>
                <w:szCs w:val="32"/>
              </w:rPr>
              <w:t>本项目与《包头市环境管控单元准入清单（2023）》符合性分析见</w:t>
            </w:r>
            <w:r>
              <w:rPr>
                <w:rFonts w:hint="default" w:ascii="Times New Roman" w:hAnsi="Times New Roman" w:cs="Times New Roman"/>
                <w:color w:val="auto"/>
                <w:sz w:val="24"/>
                <w:szCs w:val="32"/>
                <w:lang w:val="en-US" w:eastAsia="zh-CN"/>
              </w:rPr>
              <w:t>下</w:t>
            </w:r>
            <w:r>
              <w:rPr>
                <w:rFonts w:hint="default" w:ascii="Times New Roman" w:hAnsi="Times New Roman" w:cs="Times New Roman"/>
                <w:color w:val="auto"/>
                <w:sz w:val="24"/>
                <w:szCs w:val="32"/>
              </w:rPr>
              <w:t>表。</w:t>
            </w:r>
          </w:p>
          <w:p w14:paraId="77B2DC4F">
            <w:pPr>
              <w:pStyle w:val="108"/>
              <w:spacing w:line="360" w:lineRule="auto"/>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表1-</w:t>
            </w:r>
            <w:r>
              <w:rPr>
                <w:rFonts w:hint="eastAsia" w:cs="Times New Roman"/>
                <w:b/>
                <w:bCs/>
                <w:color w:val="auto"/>
                <w:sz w:val="21"/>
                <w:szCs w:val="21"/>
                <w:lang w:val="en-US" w:eastAsia="zh-CN"/>
              </w:rPr>
              <w:t>18</w:t>
            </w:r>
            <w:r>
              <w:rPr>
                <w:rFonts w:hint="default" w:ascii="Times New Roman" w:hAnsi="Times New Roman" w:cs="Times New Roman"/>
                <w:b/>
                <w:bCs/>
                <w:color w:val="auto"/>
                <w:sz w:val="21"/>
                <w:szCs w:val="21"/>
              </w:rPr>
              <w:t xml:space="preserve">  本项目与《包头市生态环境分区管控成果动态更新情况（2023年）》符合性分析</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2953"/>
              <w:gridCol w:w="2429"/>
              <w:gridCol w:w="427"/>
            </w:tblGrid>
            <w:tr w14:paraId="5AD16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16" w:type="pct"/>
                  <w:vAlign w:val="center"/>
                </w:tcPr>
                <w:p w14:paraId="1F8E12ED">
                  <w:pPr>
                    <w:pStyle w:val="108"/>
                    <w:rPr>
                      <w:rFonts w:hint="default" w:ascii="Times New Roman" w:hAnsi="Times New Roman" w:cs="Times New Roman"/>
                      <w:color w:val="auto"/>
                    </w:rPr>
                  </w:pPr>
                  <w:r>
                    <w:rPr>
                      <w:rFonts w:hint="default" w:ascii="Times New Roman" w:hAnsi="Times New Roman" w:cs="Times New Roman"/>
                      <w:color w:val="auto"/>
                    </w:rPr>
                    <w:t>环境管控单元编码</w:t>
                  </w:r>
                </w:p>
              </w:tc>
              <w:tc>
                <w:tcPr>
                  <w:tcW w:w="2036" w:type="pct"/>
                  <w:vAlign w:val="center"/>
                </w:tcPr>
                <w:p w14:paraId="6558F90A">
                  <w:pPr>
                    <w:pStyle w:val="108"/>
                    <w:rPr>
                      <w:rFonts w:hint="default" w:ascii="Times New Roman" w:hAnsi="Times New Roman" w:cs="Times New Roman"/>
                      <w:color w:val="auto"/>
                    </w:rPr>
                  </w:pPr>
                  <w:r>
                    <w:rPr>
                      <w:rFonts w:hint="default" w:ascii="Times New Roman" w:hAnsi="Times New Roman" w:cs="Times New Roman"/>
                      <w:color w:val="auto"/>
                    </w:rPr>
                    <w:t>环境管控单元名称</w:t>
                  </w:r>
                </w:p>
              </w:tc>
              <w:tc>
                <w:tcPr>
                  <w:tcW w:w="1947" w:type="pct"/>
                  <w:gridSpan w:val="2"/>
                  <w:vAlign w:val="center"/>
                </w:tcPr>
                <w:p w14:paraId="77C634C4">
                  <w:pPr>
                    <w:pStyle w:val="108"/>
                    <w:rPr>
                      <w:rFonts w:hint="default" w:ascii="Times New Roman" w:hAnsi="Times New Roman" w:cs="Times New Roman"/>
                      <w:color w:val="auto"/>
                    </w:rPr>
                  </w:pPr>
                  <w:r>
                    <w:rPr>
                      <w:rFonts w:hint="default" w:ascii="Times New Roman" w:hAnsi="Times New Roman" w:cs="Times New Roman"/>
                      <w:color w:val="auto"/>
                    </w:rPr>
                    <w:t>管控单元分类</w:t>
                  </w:r>
                </w:p>
              </w:tc>
            </w:tr>
            <w:tr w14:paraId="49BB9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16" w:type="pct"/>
                  <w:vAlign w:val="center"/>
                </w:tcPr>
                <w:p w14:paraId="3882D73B">
                  <w:pPr>
                    <w:pStyle w:val="108"/>
                    <w:rPr>
                      <w:rFonts w:hint="default" w:ascii="Times New Roman" w:hAnsi="Times New Roman" w:cs="Times New Roman"/>
                      <w:color w:val="auto"/>
                    </w:rPr>
                  </w:pPr>
                  <w:r>
                    <w:rPr>
                      <w:rFonts w:hint="default" w:ascii="Times New Roman" w:hAnsi="Times New Roman" w:cs="Times New Roman"/>
                      <w:color w:val="auto"/>
                    </w:rPr>
                    <w:t>ZH15020720001</w:t>
                  </w:r>
                </w:p>
              </w:tc>
              <w:tc>
                <w:tcPr>
                  <w:tcW w:w="2036" w:type="pct"/>
                  <w:vAlign w:val="center"/>
                </w:tcPr>
                <w:p w14:paraId="09F45D21">
                  <w:pPr>
                    <w:pStyle w:val="108"/>
                    <w:rPr>
                      <w:rFonts w:hint="default" w:ascii="Times New Roman" w:hAnsi="Times New Roman" w:cs="Times New Roman"/>
                      <w:color w:val="auto"/>
                    </w:rPr>
                  </w:pPr>
                  <w:r>
                    <w:rPr>
                      <w:rFonts w:hint="default" w:ascii="Times New Roman" w:hAnsi="Times New Roman" w:cs="Times New Roman"/>
                      <w:color w:val="auto"/>
                    </w:rPr>
                    <w:t>九原区城镇开发边界</w:t>
                  </w:r>
                </w:p>
              </w:tc>
              <w:tc>
                <w:tcPr>
                  <w:tcW w:w="1947" w:type="pct"/>
                  <w:gridSpan w:val="2"/>
                  <w:vAlign w:val="center"/>
                </w:tcPr>
                <w:p w14:paraId="44A9028B">
                  <w:pPr>
                    <w:pStyle w:val="108"/>
                    <w:rPr>
                      <w:rFonts w:hint="default" w:ascii="Times New Roman" w:hAnsi="Times New Roman" w:cs="Times New Roman"/>
                      <w:color w:val="auto"/>
                    </w:rPr>
                  </w:pPr>
                  <w:r>
                    <w:rPr>
                      <w:rFonts w:hint="default" w:ascii="Times New Roman" w:hAnsi="Times New Roman" w:cs="Times New Roman"/>
                      <w:color w:val="auto"/>
                    </w:rPr>
                    <w:t>重点管控单元</w:t>
                  </w:r>
                </w:p>
              </w:tc>
            </w:tr>
            <w:tr w14:paraId="63913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16" w:type="pct"/>
                  <w:vAlign w:val="center"/>
                </w:tcPr>
                <w:p w14:paraId="27BFA56E">
                  <w:pPr>
                    <w:pStyle w:val="108"/>
                    <w:rPr>
                      <w:rFonts w:hint="default" w:ascii="Times New Roman" w:hAnsi="Times New Roman" w:cs="Times New Roman"/>
                      <w:color w:val="auto"/>
                    </w:rPr>
                  </w:pPr>
                  <w:r>
                    <w:rPr>
                      <w:rFonts w:hint="default" w:ascii="Times New Roman" w:hAnsi="Times New Roman" w:cs="Times New Roman"/>
                      <w:color w:val="auto"/>
                    </w:rPr>
                    <w:t>管控维度</w:t>
                  </w:r>
                </w:p>
              </w:tc>
              <w:tc>
                <w:tcPr>
                  <w:tcW w:w="2036" w:type="pct"/>
                  <w:vAlign w:val="center"/>
                </w:tcPr>
                <w:p w14:paraId="63F7C356">
                  <w:pPr>
                    <w:pStyle w:val="108"/>
                    <w:rPr>
                      <w:rFonts w:hint="default" w:ascii="Times New Roman" w:hAnsi="Times New Roman" w:cs="Times New Roman"/>
                      <w:color w:val="auto"/>
                    </w:rPr>
                  </w:pPr>
                  <w:r>
                    <w:rPr>
                      <w:rFonts w:hint="default" w:ascii="Times New Roman" w:hAnsi="Times New Roman" w:cs="Times New Roman"/>
                      <w:color w:val="auto"/>
                    </w:rPr>
                    <w:t>管控要求</w:t>
                  </w:r>
                </w:p>
              </w:tc>
              <w:tc>
                <w:tcPr>
                  <w:tcW w:w="1684" w:type="pct"/>
                  <w:vAlign w:val="center"/>
                </w:tcPr>
                <w:p w14:paraId="37F88198">
                  <w:pPr>
                    <w:pStyle w:val="108"/>
                    <w:rPr>
                      <w:rFonts w:hint="default" w:ascii="Times New Roman" w:hAnsi="Times New Roman" w:cs="Times New Roman"/>
                      <w:color w:val="auto"/>
                    </w:rPr>
                  </w:pPr>
                  <w:r>
                    <w:rPr>
                      <w:rFonts w:hint="default" w:ascii="Times New Roman" w:hAnsi="Times New Roman" w:cs="Times New Roman"/>
                      <w:color w:val="auto"/>
                    </w:rPr>
                    <w:t>本项目情况</w:t>
                  </w:r>
                </w:p>
              </w:tc>
              <w:tc>
                <w:tcPr>
                  <w:tcW w:w="262" w:type="pct"/>
                  <w:vAlign w:val="center"/>
                </w:tcPr>
                <w:p w14:paraId="242B873D">
                  <w:pPr>
                    <w:pStyle w:val="108"/>
                    <w:rPr>
                      <w:rFonts w:hint="default" w:ascii="Times New Roman" w:hAnsi="Times New Roman" w:cs="Times New Roman"/>
                      <w:color w:val="auto"/>
                    </w:rPr>
                  </w:pPr>
                  <w:r>
                    <w:rPr>
                      <w:rFonts w:hint="default" w:ascii="Times New Roman" w:hAnsi="Times New Roman" w:cs="Times New Roman"/>
                      <w:color w:val="auto"/>
                    </w:rPr>
                    <w:t>符合性</w:t>
                  </w:r>
                </w:p>
              </w:tc>
            </w:tr>
            <w:tr w14:paraId="6AF57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16" w:type="pct"/>
                  <w:vMerge w:val="restart"/>
                  <w:vAlign w:val="center"/>
                </w:tcPr>
                <w:p w14:paraId="57C7AE8F">
                  <w:pPr>
                    <w:pStyle w:val="108"/>
                    <w:rPr>
                      <w:rFonts w:hint="default" w:ascii="Times New Roman" w:hAnsi="Times New Roman" w:cs="Times New Roman"/>
                      <w:color w:val="auto"/>
                    </w:rPr>
                  </w:pPr>
                  <w:r>
                    <w:rPr>
                      <w:rFonts w:hint="default" w:ascii="Times New Roman" w:hAnsi="Times New Roman" w:cs="Times New Roman"/>
                      <w:color w:val="auto"/>
                    </w:rPr>
                    <w:t>空间布局约束</w:t>
                  </w:r>
                </w:p>
              </w:tc>
              <w:tc>
                <w:tcPr>
                  <w:tcW w:w="2036" w:type="pct"/>
                  <w:vAlign w:val="center"/>
                </w:tcPr>
                <w:p w14:paraId="1135C22B">
                  <w:pPr>
                    <w:pStyle w:val="108"/>
                    <w:jc w:val="left"/>
                    <w:rPr>
                      <w:rFonts w:hint="default" w:ascii="Times New Roman" w:hAnsi="Times New Roman" w:cs="Times New Roman"/>
                      <w:color w:val="auto"/>
                    </w:rPr>
                  </w:pPr>
                  <w:r>
                    <w:rPr>
                      <w:rFonts w:hint="default" w:ascii="Times New Roman" w:hAnsi="Times New Roman" w:cs="Times New Roman"/>
                      <w:color w:val="auto"/>
                    </w:rPr>
                    <w:t>1-1.【产业/限制类】加强重点监管类新建、改建、扩建项目和重点整治类新建、扩建项目的环境准入审查。</w:t>
                  </w:r>
                </w:p>
              </w:tc>
              <w:tc>
                <w:tcPr>
                  <w:tcW w:w="1684" w:type="pct"/>
                  <w:vAlign w:val="center"/>
                </w:tcPr>
                <w:p w14:paraId="590D5854">
                  <w:pPr>
                    <w:pStyle w:val="108"/>
                    <w:jc w:val="left"/>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kern w:val="0"/>
                    </w:rPr>
                    <w:t>不属于</w:t>
                  </w:r>
                  <w:r>
                    <w:rPr>
                      <w:rFonts w:hint="default" w:ascii="Times New Roman" w:hAnsi="Times New Roman" w:cs="Times New Roman"/>
                      <w:color w:val="auto"/>
                    </w:rPr>
                    <w:t>重点监管类和重点整治类项目。</w:t>
                  </w:r>
                </w:p>
              </w:tc>
              <w:tc>
                <w:tcPr>
                  <w:tcW w:w="262" w:type="pct"/>
                  <w:vAlign w:val="center"/>
                </w:tcPr>
                <w:p w14:paraId="7A42D562">
                  <w:pPr>
                    <w:pStyle w:val="108"/>
                    <w:rPr>
                      <w:rFonts w:hint="default" w:ascii="Times New Roman" w:hAnsi="Times New Roman" w:cs="Times New Roman"/>
                      <w:color w:val="auto"/>
                    </w:rPr>
                  </w:pPr>
                  <w:r>
                    <w:rPr>
                      <w:rFonts w:hint="default" w:ascii="Times New Roman" w:hAnsi="Times New Roman" w:cs="Times New Roman"/>
                      <w:color w:val="auto"/>
                    </w:rPr>
                    <w:t>符合</w:t>
                  </w:r>
                </w:p>
              </w:tc>
            </w:tr>
            <w:tr w14:paraId="46BD1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16" w:type="pct"/>
                  <w:vMerge w:val="continue"/>
                  <w:vAlign w:val="center"/>
                </w:tcPr>
                <w:p w14:paraId="010DFC74">
                  <w:pPr>
                    <w:pStyle w:val="108"/>
                    <w:rPr>
                      <w:rFonts w:hint="default" w:ascii="Times New Roman" w:hAnsi="Times New Roman" w:cs="Times New Roman"/>
                      <w:color w:val="auto"/>
                    </w:rPr>
                  </w:pPr>
                </w:p>
              </w:tc>
              <w:tc>
                <w:tcPr>
                  <w:tcW w:w="2036" w:type="pct"/>
                  <w:vAlign w:val="center"/>
                </w:tcPr>
                <w:p w14:paraId="5F9E65ED">
                  <w:pPr>
                    <w:pStyle w:val="108"/>
                    <w:jc w:val="left"/>
                    <w:rPr>
                      <w:rFonts w:hint="default" w:ascii="Times New Roman" w:hAnsi="Times New Roman" w:cs="Times New Roman"/>
                      <w:color w:val="auto"/>
                    </w:rPr>
                  </w:pPr>
                  <w:r>
                    <w:rPr>
                      <w:rFonts w:hint="default" w:ascii="Times New Roman" w:hAnsi="Times New Roman" w:cs="Times New Roman"/>
                      <w:color w:val="auto"/>
                    </w:rPr>
                    <w:t>1-2.【大气/限制类】大气环境受体敏感重点管控区内，严格控制涉及增加排放有机废气污染物、异味污染物及其他列入《有毒有害大气污染物名录》中污染物的项目，产生上述污染物的研发项目应采取有效的废气收集与高效处理设施，杜绝无组织排放。</w:t>
                  </w:r>
                </w:p>
              </w:tc>
              <w:tc>
                <w:tcPr>
                  <w:tcW w:w="1684" w:type="pct"/>
                  <w:vAlign w:val="center"/>
                </w:tcPr>
                <w:p w14:paraId="7D2C2306">
                  <w:pPr>
                    <w:pStyle w:val="40"/>
                    <w:bidi w:val="0"/>
                    <w:rPr>
                      <w:rFonts w:hint="default" w:ascii="Times New Roman" w:hAnsi="Times New Roman" w:eastAsia="宋体" w:cs="Times New Roman"/>
                      <w:color w:val="auto"/>
                      <w:lang w:val="en-US" w:eastAsia="zh-CN"/>
                    </w:rPr>
                  </w:pPr>
                  <w:r>
                    <w:rPr>
                      <w:rFonts w:hint="default" w:ascii="Times New Roman" w:hAnsi="Times New Roman" w:cs="Times New Roman"/>
                      <w:color w:val="0000FF"/>
                      <w:lang w:val="en-US" w:eastAsia="zh-CN"/>
                    </w:rPr>
                    <w:t>本项目选址不在</w:t>
                  </w:r>
                  <w:r>
                    <w:rPr>
                      <w:rFonts w:hint="default" w:ascii="Times New Roman" w:hAnsi="Times New Roman" w:cs="Times New Roman"/>
                      <w:color w:val="0000FF"/>
                    </w:rPr>
                    <w:t>大气环境受体敏感重点管控区内</w:t>
                  </w:r>
                  <w:r>
                    <w:rPr>
                      <w:rFonts w:hint="default" w:ascii="Times New Roman" w:hAnsi="Times New Roman" w:cs="Times New Roman"/>
                      <w:color w:val="0000FF"/>
                      <w:lang w:eastAsia="zh-CN"/>
                    </w:rPr>
                    <w:t>，</w:t>
                  </w:r>
                  <w:r>
                    <w:rPr>
                      <w:rFonts w:hint="default" w:ascii="Times New Roman" w:hAnsi="Times New Roman" w:cs="Times New Roman"/>
                      <w:color w:val="0000FF"/>
                    </w:rPr>
                    <w:t>项</w:t>
                  </w:r>
                  <w:r>
                    <w:rPr>
                      <w:rFonts w:hint="default" w:ascii="Times New Roman" w:hAnsi="Times New Roman" w:cs="Times New Roman"/>
                      <w:color w:val="0000FF"/>
                      <w:sz w:val="21"/>
                      <w:szCs w:val="21"/>
                    </w:rPr>
                    <w:t>目</w:t>
                  </w:r>
                  <w:r>
                    <w:rPr>
                      <w:rFonts w:hint="default" w:ascii="Times New Roman" w:hAnsi="Times New Roman" w:cs="Times New Roman"/>
                      <w:color w:val="0000FF"/>
                      <w:kern w:val="0"/>
                      <w:sz w:val="21"/>
                      <w:szCs w:val="21"/>
                      <w:lang w:val="en-US" w:eastAsia="zh-CN"/>
                    </w:rPr>
                    <w:t>生产运行中不排放</w:t>
                  </w:r>
                  <w:r>
                    <w:rPr>
                      <w:rFonts w:hint="default" w:ascii="Times New Roman" w:hAnsi="Times New Roman" w:cs="Times New Roman"/>
                      <w:color w:val="0000FF"/>
                    </w:rPr>
                    <w:t>有毒有害大气污染物</w:t>
                  </w:r>
                  <w:r>
                    <w:rPr>
                      <w:rFonts w:hint="default" w:ascii="Times New Roman" w:hAnsi="Times New Roman" w:cs="Times New Roman"/>
                      <w:color w:val="0000FF"/>
                      <w:lang w:eastAsia="zh-CN"/>
                    </w:rPr>
                    <w:t>。槽车卸料至储罐的过程中储罐泄压、储罐呼吸废气及钢瓶充装</w:t>
                  </w:r>
                  <w:r>
                    <w:rPr>
                      <w:rFonts w:hint="default" w:ascii="Times New Roman" w:hAnsi="Times New Roman" w:cs="Times New Roman"/>
                      <w:color w:val="0000FF"/>
                      <w:lang w:val="en-US" w:eastAsia="zh-CN"/>
                    </w:rPr>
                    <w:t>过程中排放少量</w:t>
                  </w:r>
                  <w:r>
                    <w:rPr>
                      <w:rFonts w:hint="default" w:ascii="Times New Roman" w:hAnsi="Times New Roman" w:cs="Times New Roman"/>
                      <w:color w:val="0000FF"/>
                      <w:lang w:eastAsia="zh-CN"/>
                    </w:rPr>
                    <w:t>废气。</w:t>
                  </w:r>
                  <w:r>
                    <w:rPr>
                      <w:rFonts w:hint="default" w:ascii="Times New Roman" w:hAnsi="Times New Roman" w:cs="Times New Roman"/>
                      <w:color w:val="0000FF"/>
                      <w:lang w:val="en-US" w:eastAsia="zh-CN"/>
                    </w:rPr>
                    <w:t>废气主要污染物为有机废气（以非甲烷总烃计）。</w:t>
                  </w:r>
                  <w:r>
                    <w:rPr>
                      <w:rFonts w:hint="eastAsia" w:cs="Times New Roman"/>
                      <w:color w:val="0000FF"/>
                      <w:lang w:val="en-US" w:eastAsia="zh-CN"/>
                    </w:rPr>
                    <w:t>项目钢瓶检验生产线抛丸、焚烧、喷塑、固化、印字等工序产生的废气污染物为颗粒物、二氧化硫、氮氧化物、非甲烷总烃、臭气浓度等，经处理后达标排放。</w:t>
                  </w:r>
                </w:p>
              </w:tc>
              <w:tc>
                <w:tcPr>
                  <w:tcW w:w="262" w:type="pct"/>
                  <w:vAlign w:val="center"/>
                </w:tcPr>
                <w:p w14:paraId="58ECC11A">
                  <w:pPr>
                    <w:pStyle w:val="108"/>
                    <w:rPr>
                      <w:rFonts w:hint="default" w:ascii="Times New Roman" w:hAnsi="Times New Roman" w:cs="Times New Roman"/>
                      <w:color w:val="auto"/>
                    </w:rPr>
                  </w:pPr>
                  <w:r>
                    <w:rPr>
                      <w:rFonts w:hint="default" w:ascii="Times New Roman" w:hAnsi="Times New Roman" w:cs="Times New Roman"/>
                      <w:color w:val="auto"/>
                    </w:rPr>
                    <w:t>符合</w:t>
                  </w:r>
                </w:p>
              </w:tc>
            </w:tr>
            <w:tr w14:paraId="2EE47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16" w:type="pct"/>
                  <w:vAlign w:val="center"/>
                </w:tcPr>
                <w:p w14:paraId="0E41942C">
                  <w:pPr>
                    <w:pStyle w:val="108"/>
                    <w:rPr>
                      <w:rFonts w:hint="default" w:ascii="Times New Roman" w:hAnsi="Times New Roman" w:cs="Times New Roman"/>
                      <w:color w:val="auto"/>
                    </w:rPr>
                  </w:pPr>
                  <w:r>
                    <w:rPr>
                      <w:rFonts w:hint="default" w:ascii="Times New Roman" w:hAnsi="Times New Roman" w:cs="Times New Roman"/>
                      <w:color w:val="auto"/>
                    </w:rPr>
                    <w:t>污染物排放管控</w:t>
                  </w:r>
                </w:p>
              </w:tc>
              <w:tc>
                <w:tcPr>
                  <w:tcW w:w="2036" w:type="pct"/>
                  <w:vAlign w:val="center"/>
                </w:tcPr>
                <w:p w14:paraId="1E94B7B0">
                  <w:pPr>
                    <w:pStyle w:val="108"/>
                    <w:jc w:val="left"/>
                    <w:rPr>
                      <w:rFonts w:hint="default" w:ascii="Times New Roman" w:hAnsi="Times New Roman" w:cs="Times New Roman"/>
                      <w:color w:val="auto"/>
                    </w:rPr>
                  </w:pPr>
                  <w:r>
                    <w:rPr>
                      <w:rFonts w:hint="default" w:ascii="Times New Roman" w:hAnsi="Times New Roman" w:cs="Times New Roman"/>
                      <w:color w:val="auto"/>
                    </w:rPr>
                    <w:t>3-1．【其他/综合类】项目应满足区城、流域控制单元环境质量改善目标管理要求</w:t>
                  </w:r>
                  <w:r>
                    <w:rPr>
                      <w:rFonts w:hint="default" w:ascii="Times New Roman" w:hAnsi="Times New Roman" w:cs="Times New Roman"/>
                      <w:color w:val="auto"/>
                      <w:lang w:eastAsia="zh-CN"/>
                    </w:rPr>
                    <w:t>，</w:t>
                  </w:r>
                  <w:r>
                    <w:rPr>
                      <w:rFonts w:hint="default" w:ascii="Times New Roman" w:hAnsi="Times New Roman" w:cs="Times New Roman"/>
                      <w:color w:val="auto"/>
                    </w:rPr>
                    <w:t>各项污染物排放总量不得突破规划环评核定的污染物排放总量管控要求。</w:t>
                  </w:r>
                </w:p>
              </w:tc>
              <w:tc>
                <w:tcPr>
                  <w:tcW w:w="1684" w:type="pct"/>
                  <w:vAlign w:val="center"/>
                </w:tcPr>
                <w:p w14:paraId="5F38DE0A">
                  <w:pPr>
                    <w:pStyle w:val="108"/>
                    <w:jc w:val="left"/>
                    <w:rPr>
                      <w:rFonts w:hint="default" w:ascii="Times New Roman" w:hAnsi="Times New Roman" w:cs="Times New Roman"/>
                      <w:color w:val="auto"/>
                    </w:rPr>
                  </w:pPr>
                  <w:r>
                    <w:rPr>
                      <w:rFonts w:hint="default" w:ascii="Times New Roman" w:hAnsi="Times New Roman" w:cs="Times New Roman"/>
                      <w:kern w:val="0"/>
                      <w:sz w:val="21"/>
                      <w:szCs w:val="21"/>
                      <w:lang w:val="en-US" w:eastAsia="zh-CN"/>
                    </w:rPr>
                    <w:t>项目生产过程中排放的二氧化硫、氮氧化物、VOCs等主要污染物，应申请排放总量，</w:t>
                  </w:r>
                  <w:r>
                    <w:rPr>
                      <w:rFonts w:hint="default" w:ascii="Times New Roman" w:hAnsi="Times New Roman" w:cs="Times New Roman"/>
                      <w:color w:val="auto"/>
                    </w:rPr>
                    <w:t>不得突破规划环评核定的污染物排放总量管控要求。</w:t>
                  </w:r>
                </w:p>
              </w:tc>
              <w:tc>
                <w:tcPr>
                  <w:tcW w:w="262" w:type="pct"/>
                  <w:vAlign w:val="center"/>
                </w:tcPr>
                <w:p w14:paraId="0AE77C4C">
                  <w:pPr>
                    <w:pStyle w:val="108"/>
                    <w:rPr>
                      <w:rFonts w:hint="default" w:ascii="Times New Roman" w:hAnsi="Times New Roman" w:cs="Times New Roman"/>
                      <w:color w:val="auto"/>
                    </w:rPr>
                  </w:pPr>
                  <w:r>
                    <w:rPr>
                      <w:rFonts w:hint="default" w:ascii="Times New Roman" w:hAnsi="Times New Roman" w:cs="Times New Roman"/>
                      <w:color w:val="auto"/>
                    </w:rPr>
                    <w:t>符合</w:t>
                  </w:r>
                </w:p>
              </w:tc>
            </w:tr>
            <w:tr w14:paraId="15B21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16" w:type="pct"/>
                  <w:vAlign w:val="center"/>
                </w:tcPr>
                <w:p w14:paraId="4BE713A0">
                  <w:pPr>
                    <w:pStyle w:val="108"/>
                    <w:rPr>
                      <w:rFonts w:hint="default" w:ascii="Times New Roman" w:hAnsi="Times New Roman" w:cs="Times New Roman"/>
                      <w:color w:val="auto"/>
                    </w:rPr>
                  </w:pPr>
                  <w:r>
                    <w:rPr>
                      <w:rFonts w:hint="default" w:ascii="Times New Roman" w:hAnsi="Times New Roman" w:cs="Times New Roman"/>
                      <w:color w:val="auto"/>
                    </w:rPr>
                    <w:t>资源开发效率要求</w:t>
                  </w:r>
                </w:p>
              </w:tc>
              <w:tc>
                <w:tcPr>
                  <w:tcW w:w="2036" w:type="pct"/>
                  <w:vAlign w:val="center"/>
                </w:tcPr>
                <w:p w14:paraId="0D4BF019">
                  <w:pPr>
                    <w:pStyle w:val="108"/>
                    <w:jc w:val="left"/>
                    <w:rPr>
                      <w:rFonts w:hint="default" w:ascii="Times New Roman" w:hAnsi="Times New Roman" w:cs="Times New Roman"/>
                      <w:color w:val="auto"/>
                    </w:rPr>
                  </w:pPr>
                  <w:r>
                    <w:rPr>
                      <w:rFonts w:hint="default" w:ascii="Times New Roman" w:hAnsi="Times New Roman" w:cs="Times New Roman"/>
                      <w:color w:val="auto"/>
                    </w:rPr>
                    <w:t>2-1.【能源/综合类】高污染燃料禁燃区范围内禁止新建、改建、扩建燃用高污染燃料设施，禁止销售、燃用高污染燃料。</w:t>
                  </w:r>
                </w:p>
              </w:tc>
              <w:tc>
                <w:tcPr>
                  <w:tcW w:w="1684" w:type="pct"/>
                  <w:vAlign w:val="center"/>
                </w:tcPr>
                <w:p w14:paraId="382C1404">
                  <w:pPr>
                    <w:pStyle w:val="108"/>
                    <w:jc w:val="left"/>
                    <w:rPr>
                      <w:rFonts w:hint="default" w:ascii="Times New Roman" w:hAnsi="Times New Roman" w:cs="Times New Roman"/>
                      <w:color w:val="auto"/>
                    </w:rPr>
                  </w:pPr>
                  <w:r>
                    <w:rPr>
                      <w:rFonts w:hint="default" w:ascii="Times New Roman" w:hAnsi="Times New Roman" w:cs="Times New Roman"/>
                      <w:color w:val="auto"/>
                    </w:rPr>
                    <w:t>项目</w:t>
                  </w:r>
                  <w:r>
                    <w:rPr>
                      <w:rFonts w:hint="default" w:ascii="Times New Roman" w:hAnsi="Times New Roman" w:cs="Times New Roman"/>
                      <w:color w:val="auto"/>
                      <w:lang w:val="en-US" w:eastAsia="zh-CN"/>
                    </w:rPr>
                    <w:t>气瓶检验生产线</w:t>
                  </w:r>
                  <w:r>
                    <w:rPr>
                      <w:rFonts w:hint="eastAsia" w:cs="Times New Roman"/>
                      <w:color w:val="auto"/>
                      <w:lang w:val="en-US" w:eastAsia="zh-CN"/>
                    </w:rPr>
                    <w:t>焚烧</w:t>
                  </w:r>
                  <w:r>
                    <w:rPr>
                      <w:rFonts w:hint="default" w:ascii="Times New Roman" w:hAnsi="Times New Roman" w:cs="Times New Roman"/>
                      <w:color w:val="auto"/>
                      <w:lang w:val="en-US" w:eastAsia="zh-CN"/>
                    </w:rPr>
                    <w:t>窑采用液化石油气作为燃料，</w:t>
                  </w:r>
                  <w:r>
                    <w:rPr>
                      <w:rFonts w:hint="default" w:ascii="Times New Roman" w:hAnsi="Times New Roman" w:cs="Times New Roman"/>
                      <w:color w:val="auto"/>
                    </w:rPr>
                    <w:t>不使用</w:t>
                  </w:r>
                  <w:r>
                    <w:rPr>
                      <w:rFonts w:hint="default" w:ascii="Times New Roman" w:hAnsi="Times New Roman" w:cs="Times New Roman"/>
                      <w:color w:val="auto"/>
                      <w:lang w:val="en-US" w:eastAsia="zh-CN"/>
                    </w:rPr>
                    <w:t>高污染</w:t>
                  </w:r>
                  <w:r>
                    <w:rPr>
                      <w:rFonts w:hint="default" w:ascii="Times New Roman" w:hAnsi="Times New Roman" w:cs="Times New Roman"/>
                      <w:color w:val="auto"/>
                    </w:rPr>
                    <w:t>燃料。</w:t>
                  </w:r>
                </w:p>
              </w:tc>
              <w:tc>
                <w:tcPr>
                  <w:tcW w:w="262" w:type="pct"/>
                  <w:vAlign w:val="center"/>
                </w:tcPr>
                <w:p w14:paraId="276C92C1">
                  <w:pPr>
                    <w:pStyle w:val="108"/>
                    <w:rPr>
                      <w:rFonts w:hint="default" w:ascii="Times New Roman" w:hAnsi="Times New Roman" w:cs="Times New Roman"/>
                      <w:color w:val="auto"/>
                    </w:rPr>
                  </w:pPr>
                  <w:r>
                    <w:rPr>
                      <w:rFonts w:hint="default" w:ascii="Times New Roman" w:hAnsi="Times New Roman" w:cs="Times New Roman"/>
                      <w:color w:val="auto"/>
                    </w:rPr>
                    <w:t>符合</w:t>
                  </w:r>
                </w:p>
              </w:tc>
            </w:tr>
          </w:tbl>
          <w:p w14:paraId="1DB6D963">
            <w:pPr>
              <w:keepNext w:val="0"/>
              <w:keepLines w:val="0"/>
              <w:pageBreakBefore w:val="0"/>
              <w:kinsoku/>
              <w:wordWrap/>
              <w:overflowPunct/>
              <w:topLinePunct w:val="0"/>
              <w:bidi w:val="0"/>
              <w:adjustRightInd/>
              <w:snapToGrid/>
              <w:spacing w:line="360" w:lineRule="auto"/>
              <w:ind w:firstLine="480" w:firstLineChars="200"/>
              <w:rPr>
                <w:rFonts w:hint="default" w:ascii="Times New Roman" w:hAnsi="Times New Roman" w:cs="Times New Roman"/>
                <w:color w:val="auto"/>
                <w:sz w:val="24"/>
                <w:szCs w:val="24"/>
              </w:rPr>
            </w:pPr>
          </w:p>
          <w:p w14:paraId="166C16DC">
            <w:pPr>
              <w:keepNext w:val="0"/>
              <w:keepLines w:val="0"/>
              <w:pageBreakBefore w:val="0"/>
              <w:kinsoku/>
              <w:wordWrap/>
              <w:overflowPunct/>
              <w:topLinePunct w:val="0"/>
              <w:bidi w:val="0"/>
              <w:adjustRightInd/>
              <w:snapToGrid/>
              <w:spacing w:line="360" w:lineRule="auto"/>
              <w:ind w:firstLine="480" w:firstLineChars="200"/>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本项目的建设符合“生态环境分区管控”</w:t>
            </w:r>
            <w:r>
              <w:rPr>
                <w:rFonts w:hint="default" w:ascii="Times New Roman" w:hAnsi="Times New Roman" w:cs="Times New Roman"/>
                <w:color w:val="auto"/>
                <w:sz w:val="24"/>
                <w:szCs w:val="32"/>
                <w:lang w:val="en-US" w:eastAsia="zh-CN"/>
              </w:rPr>
              <w:t>环境分区管控的要求</w:t>
            </w:r>
            <w:r>
              <w:rPr>
                <w:rFonts w:hint="default" w:ascii="Times New Roman" w:hAnsi="Times New Roman" w:cs="Times New Roman"/>
                <w:color w:val="auto"/>
                <w:sz w:val="24"/>
                <w:szCs w:val="32"/>
              </w:rPr>
              <w:t>。</w:t>
            </w:r>
          </w:p>
          <w:p w14:paraId="270ACD08">
            <w:pPr>
              <w:numPr>
                <w:ilvl w:val="0"/>
                <w:numId w:val="0"/>
              </w:numPr>
              <w:spacing w:line="360" w:lineRule="auto"/>
              <w:ind w:firstLine="482" w:firstLineChars="200"/>
              <w:rPr>
                <w:rFonts w:hint="default" w:ascii="Times New Roman" w:hAnsi="Times New Roman" w:eastAsia="宋体" w:cs="Times New Roman"/>
                <w:b/>
                <w:bCs/>
                <w:color w:val="auto"/>
                <w:sz w:val="24"/>
                <w:lang w:eastAsia="zh-CN"/>
              </w:rPr>
            </w:pPr>
            <w:r>
              <w:rPr>
                <w:rFonts w:hint="default" w:ascii="Times New Roman" w:hAnsi="Times New Roman" w:eastAsia="宋体" w:cs="Times New Roman"/>
                <w:b/>
                <w:bCs/>
                <w:color w:val="auto"/>
                <w:sz w:val="24"/>
                <w:lang w:val="en-US" w:eastAsia="zh-CN"/>
              </w:rPr>
              <w:t>3、与《包头市十四五生态环境保护规划》VOCs控制相关内容符合性分析</w:t>
            </w:r>
          </w:p>
          <w:p w14:paraId="0765384D">
            <w:pPr>
              <w:pStyle w:val="31"/>
              <w:keepNext w:val="0"/>
              <w:keepLines w:val="0"/>
              <w:pageBreakBefore w:val="0"/>
              <w:widowControl w:val="0"/>
              <w:tabs>
                <w:tab w:val="left" w:pos="0"/>
              </w:tabs>
              <w:kinsoku/>
              <w:wordWrap/>
              <w:overflowPunct/>
              <w:topLinePunct w:val="0"/>
              <w:autoSpaceDE/>
              <w:autoSpaceDN/>
              <w:bidi w:val="0"/>
              <w:adjustRightInd/>
              <w:snapToGrid/>
              <w:spacing w:after="0" w:line="360" w:lineRule="auto"/>
              <w:ind w:left="0" w:leftChars="0" w:firstLine="480"/>
              <w:textAlignment w:val="auto"/>
              <w:rPr>
                <w:rFonts w:hint="default" w:ascii="Times New Roman" w:hAnsi="Times New Roman" w:cs="Times New Roman"/>
                <w:color w:val="auto"/>
                <w:sz w:val="24"/>
                <w:szCs w:val="22"/>
                <w:highlight w:val="none"/>
                <w:lang w:val="en-US" w:eastAsia="zh-CN"/>
              </w:rPr>
            </w:pPr>
            <w:r>
              <w:rPr>
                <w:rFonts w:hint="default" w:ascii="Times New Roman" w:hAnsi="Times New Roman" w:cs="Times New Roman"/>
                <w:color w:val="auto"/>
                <w:sz w:val="24"/>
                <w:szCs w:val="22"/>
                <w:highlight w:val="none"/>
                <w:lang w:val="en-US" w:eastAsia="zh-CN"/>
              </w:rPr>
              <w:t>本项目与</w:t>
            </w:r>
            <w:r>
              <w:rPr>
                <w:rFonts w:hint="default" w:ascii="Times New Roman" w:hAnsi="Times New Roman" w:eastAsia="宋体" w:cs="Times New Roman"/>
                <w:color w:val="auto"/>
                <w:sz w:val="24"/>
                <w:lang w:val="en-US" w:eastAsia="zh-CN"/>
              </w:rPr>
              <w:t>《包头市十四五生态环境保护规划》</w:t>
            </w:r>
            <w:r>
              <w:rPr>
                <w:rFonts w:hint="default" w:ascii="Times New Roman" w:hAnsi="Times New Roman" w:eastAsia="宋体" w:cs="Times New Roman"/>
                <w:color w:val="auto"/>
                <w:sz w:val="24"/>
                <w:szCs w:val="22"/>
                <w:highlight w:val="none"/>
                <w:lang w:val="en-US" w:eastAsia="zh-CN"/>
              </w:rPr>
              <w:t>涉及</w:t>
            </w:r>
            <w:r>
              <w:rPr>
                <w:rFonts w:hint="default" w:ascii="Times New Roman" w:hAnsi="Times New Roman" w:cs="Times New Roman"/>
                <w:color w:val="auto"/>
                <w:sz w:val="24"/>
                <w:szCs w:val="22"/>
                <w:highlight w:val="none"/>
                <w:lang w:val="en-US" w:eastAsia="zh-CN"/>
              </w:rPr>
              <w:t>VOCs排放控制和管理相关要求符合性分析见下表。</w:t>
            </w:r>
          </w:p>
          <w:p w14:paraId="61F57224">
            <w:pPr>
              <w:pStyle w:val="90"/>
              <w:keepNext w:val="0"/>
              <w:keepLines w:val="0"/>
              <w:pageBreakBefore w:val="0"/>
              <w:widowControl w:val="0"/>
              <w:numPr>
                <w:ilvl w:val="0"/>
                <w:numId w:val="0"/>
              </w:numPr>
              <w:tabs>
                <w:tab w:val="left" w:pos="780"/>
                <w:tab w:val="left" w:pos="1077"/>
                <w:tab w:val="left" w:pos="3419"/>
                <w:tab w:val="clear" w:pos="2093"/>
              </w:tabs>
              <w:kinsoku/>
              <w:wordWrap/>
              <w:overflowPunct/>
              <w:topLinePunct w:val="0"/>
              <w:autoSpaceDE/>
              <w:autoSpaceDN/>
              <w:bidi w:val="0"/>
              <w:adjustRightInd w:val="0"/>
              <w:snapToGrid/>
              <w:spacing w:before="0" w:after="0" w:afterAutospacing="0" w:line="360" w:lineRule="auto"/>
              <w:ind w:left="0" w:leftChars="0" w:right="0" w:rightChars="0" w:firstLine="0" w:firstLineChars="0"/>
              <w:jc w:val="center"/>
              <w:textAlignment w:val="baseline"/>
              <w:outlineLvl w:val="9"/>
              <w:rPr>
                <w:rFonts w:hint="default" w:ascii="Times New Roman" w:hAnsi="Times New Roman" w:eastAsia="宋体" w:cs="Times New Roman"/>
                <w:b/>
                <w:bCs/>
                <w:color w:val="auto"/>
                <w:kern w:val="2"/>
                <w:sz w:val="22"/>
                <w:szCs w:val="22"/>
                <w:highlight w:val="none"/>
                <w:lang w:val="en-US" w:eastAsia="zh-CN"/>
              </w:rPr>
            </w:pPr>
            <w:r>
              <w:rPr>
                <w:rFonts w:hint="default" w:ascii="Times New Roman" w:hAnsi="Times New Roman" w:eastAsia="宋体" w:cs="Times New Roman"/>
                <w:b/>
                <w:bCs/>
                <w:color w:val="auto"/>
                <w:kern w:val="2"/>
                <w:sz w:val="22"/>
                <w:szCs w:val="22"/>
                <w:highlight w:val="none"/>
                <w:lang w:val="en-US" w:eastAsia="zh-CN"/>
              </w:rPr>
              <w:t>表1-</w:t>
            </w:r>
            <w:r>
              <w:rPr>
                <w:rFonts w:hint="eastAsia" w:ascii="Times New Roman" w:hAnsi="Times New Roman" w:cs="Times New Roman"/>
                <w:b/>
                <w:bCs/>
                <w:color w:val="auto"/>
                <w:kern w:val="2"/>
                <w:sz w:val="22"/>
                <w:szCs w:val="22"/>
                <w:highlight w:val="none"/>
                <w:lang w:val="en-US" w:eastAsia="zh-CN"/>
              </w:rPr>
              <w:t>19</w:t>
            </w:r>
            <w:r>
              <w:rPr>
                <w:rFonts w:hint="default" w:ascii="Times New Roman" w:hAnsi="Times New Roman" w:eastAsia="宋体" w:cs="Times New Roman"/>
                <w:b/>
                <w:bCs/>
                <w:color w:val="auto"/>
                <w:kern w:val="2"/>
                <w:sz w:val="22"/>
                <w:szCs w:val="22"/>
                <w:highlight w:val="none"/>
                <w:lang w:val="en-US" w:eastAsia="zh-CN"/>
              </w:rPr>
              <w:t xml:space="preserve">  本项目与《包头市十四五生态环境保护规划》相关要求符合性分析</w:t>
            </w:r>
          </w:p>
          <w:tbl>
            <w:tblPr>
              <w:tblStyle w:val="3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04"/>
              <w:gridCol w:w="3061"/>
              <w:gridCol w:w="2913"/>
              <w:gridCol w:w="478"/>
            </w:tblGrid>
            <w:tr w14:paraId="58B70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725" w:type="pct"/>
                  <w:gridSpan w:val="2"/>
                  <w:noWrap w:val="0"/>
                  <w:vAlign w:val="center"/>
                </w:tcPr>
                <w:p w14:paraId="3E08CD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《包头市十四五生态环境保护规划》VOCs排放控制和管理相关要求</w:t>
                  </w:r>
                </w:p>
              </w:tc>
              <w:tc>
                <w:tcPr>
                  <w:tcW w:w="1953" w:type="pct"/>
                  <w:noWrap w:val="0"/>
                  <w:vAlign w:val="center"/>
                </w:tcPr>
                <w:p w14:paraId="2F4101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本项目</w:t>
                  </w:r>
                </w:p>
              </w:tc>
              <w:tc>
                <w:tcPr>
                  <w:tcW w:w="320" w:type="pct"/>
                  <w:noWrap w:val="0"/>
                  <w:vAlign w:val="center"/>
                </w:tcPr>
                <w:p w14:paraId="791079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符合性</w:t>
                  </w:r>
                </w:p>
              </w:tc>
            </w:tr>
            <w:tr w14:paraId="00D6B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noWrap w:val="0"/>
                  <w:vAlign w:val="center"/>
                </w:tcPr>
                <w:p w14:paraId="58A15475">
                  <w:pPr>
                    <w:adjustRightInd w:val="0"/>
                    <w:snapToGrid w:val="0"/>
                    <w:jc w:val="center"/>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cs="Times New Roman"/>
                      <w:szCs w:val="21"/>
                    </w:rPr>
                    <w:t>严守国土空间用途管制</w:t>
                  </w:r>
                </w:p>
              </w:tc>
              <w:tc>
                <w:tcPr>
                  <w:tcW w:w="2052" w:type="pct"/>
                  <w:noWrap w:val="0"/>
                  <w:vAlign w:val="center"/>
                </w:tcPr>
                <w:p w14:paraId="35827AA6">
                  <w:pPr>
                    <w:adjustRightInd w:val="0"/>
                    <w:snapToGrid w:val="0"/>
                    <w:rPr>
                      <w:rFonts w:hint="default" w:ascii="Times New Roman" w:hAnsi="Times New Roman" w:cs="Times New Roman"/>
                      <w:color w:val="auto"/>
                    </w:rPr>
                  </w:pPr>
                  <w:r>
                    <w:rPr>
                      <w:rFonts w:hint="default" w:ascii="Times New Roman" w:hAnsi="Times New Roman" w:cs="Times New Roman"/>
                      <w:szCs w:val="21"/>
                    </w:rPr>
                    <w:t>生态保护红线面积严格管控，进一步推动违法违规侵占生态空间活动的退出和修复；永久基本农田任何单位个人不得擅自占用或改变用途、不得闲置、荒芜；城镇开发边界集中建设区严格控制城镇空间无序扩张，加大城镇生态系统保护修复力度，优化建成区绿地格局、增强绿地生态功能。</w:t>
                  </w:r>
                </w:p>
              </w:tc>
              <w:tc>
                <w:tcPr>
                  <w:tcW w:w="1953" w:type="pct"/>
                  <w:noWrap w:val="0"/>
                  <w:vAlign w:val="center"/>
                </w:tcPr>
                <w:p w14:paraId="75369FAB">
                  <w:pPr>
                    <w:autoSpaceDE w:val="0"/>
                    <w:autoSpaceDN w:val="0"/>
                    <w:adjustRightInd w:val="0"/>
                    <w:snapToGrid w:val="0"/>
                    <w:rPr>
                      <w:rFonts w:hint="default" w:ascii="Times New Roman" w:hAnsi="Times New Roman" w:cs="Times New Roman"/>
                      <w:color w:val="auto"/>
                    </w:rPr>
                  </w:pPr>
                  <w:r>
                    <w:rPr>
                      <w:rFonts w:hint="default" w:ascii="Times New Roman" w:hAnsi="Times New Roman" w:cs="Times New Roman"/>
                      <w:szCs w:val="21"/>
                    </w:rPr>
                    <w:t>本项目位于</w:t>
                  </w:r>
                  <w:r>
                    <w:rPr>
                      <w:rFonts w:hint="default" w:ascii="Times New Roman" w:hAnsi="Times New Roman" w:cs="Times New Roman"/>
                      <w:szCs w:val="21"/>
                      <w:lang w:val="en-US" w:eastAsia="zh-CN"/>
                    </w:rPr>
                    <w:t>九原工业</w:t>
                  </w:r>
                  <w:r>
                    <w:rPr>
                      <w:rFonts w:hint="default" w:ascii="Times New Roman" w:hAnsi="Times New Roman" w:cs="Times New Roman"/>
                      <w:szCs w:val="21"/>
                    </w:rPr>
                    <w:t>园区—新材料产业园新型化工及高分子材料产业区，用地性质属于工业用地，符合国土空间用途管制的要求。</w:t>
                  </w:r>
                </w:p>
              </w:tc>
              <w:tc>
                <w:tcPr>
                  <w:tcW w:w="320" w:type="pct"/>
                  <w:noWrap w:val="0"/>
                  <w:vAlign w:val="center"/>
                </w:tcPr>
                <w:p w14:paraId="4F03273C">
                  <w:pPr>
                    <w:autoSpaceDE w:val="0"/>
                    <w:autoSpaceDN w:val="0"/>
                    <w:adjustRightInd w:val="0"/>
                    <w:snapToGrid w:val="0"/>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szCs w:val="21"/>
                    </w:rPr>
                    <w:t>符合</w:t>
                  </w:r>
                </w:p>
              </w:tc>
            </w:tr>
            <w:tr w14:paraId="60116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noWrap w:val="0"/>
                  <w:vAlign w:val="center"/>
                </w:tcPr>
                <w:p w14:paraId="60D73B0C">
                  <w:pPr>
                    <w:pStyle w:val="108"/>
                    <w:jc w:val="center"/>
                    <w:rPr>
                      <w:rFonts w:hint="default" w:ascii="Times New Roman" w:hAnsi="Times New Roman" w:cs="Times New Roman"/>
                      <w:color w:val="auto"/>
                    </w:rPr>
                  </w:pPr>
                  <w:r>
                    <w:rPr>
                      <w:rFonts w:hint="default" w:ascii="Times New Roman" w:hAnsi="Times New Roman" w:cs="Times New Roman"/>
                      <w:color w:val="auto"/>
                    </w:rPr>
                    <w:t>优化产业布局</w:t>
                  </w:r>
                </w:p>
                <w:p w14:paraId="4158B0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kern w:val="2"/>
                      <w:sz w:val="21"/>
                      <w:szCs w:val="21"/>
                      <w:lang w:val="en-US" w:eastAsia="zh-CN"/>
                    </w:rPr>
                  </w:pPr>
                </w:p>
              </w:tc>
              <w:tc>
                <w:tcPr>
                  <w:tcW w:w="2052" w:type="pct"/>
                  <w:noWrap w:val="0"/>
                  <w:vAlign w:val="center"/>
                </w:tcPr>
                <w:p w14:paraId="51CE9FC9">
                  <w:pPr>
                    <w:pStyle w:val="108"/>
                    <w:jc w:val="left"/>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cs="Times New Roman"/>
                      <w:color w:val="auto"/>
                    </w:rPr>
                    <w:t>山南地区（主城区、喜桂图新区、土右旗）不再新、扩建高污染项目，同时主城区（昆区、青山、东河、九原、高新区）及石拐喜桂图新区不再新、扩建高环境风险项目。</w:t>
                  </w:r>
                </w:p>
              </w:tc>
              <w:tc>
                <w:tcPr>
                  <w:tcW w:w="1953" w:type="pct"/>
                  <w:noWrap w:val="0"/>
                  <w:vAlign w:val="center"/>
                </w:tcPr>
                <w:p w14:paraId="18DA66F0">
                  <w:pPr>
                    <w:pStyle w:val="108"/>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color w:val="auto"/>
                    </w:rPr>
                    <w:t>本项目不属于高风险、高污染项目。</w:t>
                  </w:r>
                </w:p>
              </w:tc>
              <w:tc>
                <w:tcPr>
                  <w:tcW w:w="320" w:type="pct"/>
                  <w:noWrap w:val="0"/>
                  <w:vAlign w:val="center"/>
                </w:tcPr>
                <w:p w14:paraId="115EFD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符合</w:t>
                  </w:r>
                </w:p>
              </w:tc>
            </w:tr>
            <w:tr w14:paraId="4BD58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noWrap w:val="0"/>
                  <w:vAlign w:val="center"/>
                </w:tcPr>
                <w:p w14:paraId="58E03D83">
                  <w:pPr>
                    <w:pStyle w:val="40"/>
                    <w:bidi w:val="0"/>
                    <w:rPr>
                      <w:rFonts w:hint="default" w:ascii="Times New Roman" w:hAnsi="Times New Roman" w:cs="Times New Roman"/>
                    </w:rPr>
                  </w:pPr>
                  <w:r>
                    <w:rPr>
                      <w:rFonts w:hint="default" w:ascii="Times New Roman" w:hAnsi="Times New Roman" w:cs="Times New Roman"/>
                    </w:rPr>
                    <w:t>严格准入条件</w:t>
                  </w:r>
                </w:p>
                <w:p w14:paraId="049A4E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kern w:val="2"/>
                      <w:sz w:val="21"/>
                      <w:szCs w:val="21"/>
                      <w:lang w:val="en-US" w:eastAsia="zh-CN"/>
                    </w:rPr>
                  </w:pPr>
                </w:p>
              </w:tc>
              <w:tc>
                <w:tcPr>
                  <w:tcW w:w="2052" w:type="pct"/>
                  <w:shd w:val="clear" w:color="auto" w:fill="auto"/>
                  <w:noWrap w:val="0"/>
                  <w:vAlign w:val="center"/>
                </w:tcPr>
                <w:p w14:paraId="34ED5D36">
                  <w:pPr>
                    <w:pStyle w:val="108"/>
                    <w:jc w:val="left"/>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rPr>
                    <w:t>对标碳达峰碳中和与节能减排要求目标，坚决遏制高耗能高排放项目盲目扩张。结合国家重点生态功能产业准入负面清单和内蒙古自治区“三线一单”环境分区管控意见，进一步制定全市“三线一单”管控方案，严格新建项目环境准入管理，从源头推动产业升级，优化产业绿色转型。</w:t>
                  </w:r>
                </w:p>
              </w:tc>
              <w:tc>
                <w:tcPr>
                  <w:tcW w:w="1953" w:type="pct"/>
                  <w:shd w:val="clear" w:color="auto" w:fill="auto"/>
                  <w:noWrap w:val="0"/>
                  <w:vAlign w:val="center"/>
                </w:tcPr>
                <w:p w14:paraId="417CB9E9">
                  <w:pPr>
                    <w:pStyle w:val="108"/>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rPr>
                    <w:t>本项目满足</w:t>
                  </w:r>
                  <w:r>
                    <w:rPr>
                      <w:rFonts w:hint="default" w:ascii="Times New Roman" w:hAnsi="Times New Roman" w:cs="Times New Roman"/>
                      <w:color w:val="auto"/>
                      <w:lang w:eastAsia="zh-CN"/>
                    </w:rPr>
                    <w:t>“</w:t>
                  </w:r>
                  <w:r>
                    <w:rPr>
                      <w:rFonts w:hint="default" w:ascii="Times New Roman" w:hAnsi="Times New Roman" w:cs="Times New Roman"/>
                      <w:color w:val="auto"/>
                    </w:rPr>
                    <w:t>三线一单</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环境分区管控</w:t>
                  </w:r>
                  <w:r>
                    <w:rPr>
                      <w:rFonts w:hint="default" w:ascii="Times New Roman" w:hAnsi="Times New Roman" w:cs="Times New Roman"/>
                      <w:color w:val="auto"/>
                    </w:rPr>
                    <w:t>要求。</w:t>
                  </w:r>
                </w:p>
              </w:tc>
              <w:tc>
                <w:tcPr>
                  <w:tcW w:w="320" w:type="pct"/>
                  <w:shd w:val="clear" w:color="auto" w:fill="auto"/>
                  <w:noWrap w:val="0"/>
                  <w:vAlign w:val="center"/>
                </w:tcPr>
                <w:p w14:paraId="7F0CA3FC">
                  <w:pPr>
                    <w:pStyle w:val="108"/>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rPr>
                    <w:t>符合</w:t>
                  </w:r>
                </w:p>
              </w:tc>
            </w:tr>
            <w:tr w14:paraId="28EA1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noWrap w:val="0"/>
                  <w:vAlign w:val="center"/>
                </w:tcPr>
                <w:p w14:paraId="5157F1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深入</w:t>
                  </w:r>
                </w:p>
                <w:p w14:paraId="0F42A2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开展VOCs 治理管控</w:t>
                  </w:r>
                </w:p>
                <w:p w14:paraId="2746BA2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kern w:val="2"/>
                      <w:sz w:val="21"/>
                      <w:szCs w:val="21"/>
                      <w:lang w:val="en-US" w:eastAsia="zh-CN"/>
                    </w:rPr>
                  </w:pPr>
                </w:p>
              </w:tc>
              <w:tc>
                <w:tcPr>
                  <w:tcW w:w="2052" w:type="pct"/>
                  <w:noWrap w:val="0"/>
                  <w:vAlign w:val="center"/>
                </w:tcPr>
                <w:p w14:paraId="556615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实施VOCs排放总量控制，石化、化工、包装印刷、工业涂装等重点行业建立完善的源头、过程和末端全过程控制体系。大力提升工业VOCs 治理收集率、去除率和治理设施运行率，全方位、全链条、全环节控制VOCs物料无组织排放。推进使用低 VOCs含量涂料、油墨、胶粘剂、清洗剂等，有效减少 VOCs 排放</w:t>
                  </w:r>
                </w:p>
              </w:tc>
              <w:tc>
                <w:tcPr>
                  <w:tcW w:w="1953" w:type="pct"/>
                  <w:noWrap w:val="0"/>
                  <w:vAlign w:val="center"/>
                </w:tcPr>
                <w:p w14:paraId="1763B0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本项目运行过程中废气为</w:t>
                  </w:r>
                  <w:r>
                    <w:rPr>
                      <w:rFonts w:hint="default" w:ascii="Times New Roman" w:hAnsi="Times New Roman" w:cs="Times New Roman"/>
                      <w:color w:val="auto"/>
                      <w:lang w:val="en-US" w:eastAsia="zh-CN"/>
                    </w:rPr>
                    <w:t>液化石油气、丙烷气体</w:t>
                  </w:r>
                  <w:r>
                    <w:rPr>
                      <w:rFonts w:hint="default" w:ascii="Times New Roman" w:hAnsi="Times New Roman" w:cs="Times New Roman"/>
                      <w:color w:val="auto"/>
                      <w:lang w:eastAsia="zh-CN"/>
                    </w:rPr>
                    <w:t>槽车卸料至储罐的过程中储罐泄压废气、储罐呼吸废气及钢瓶充装废气。</w:t>
                  </w:r>
                  <w:r>
                    <w:rPr>
                      <w:rFonts w:hint="default" w:ascii="Times New Roman" w:hAnsi="Times New Roman" w:cs="Times New Roman"/>
                      <w:color w:val="auto"/>
                      <w:lang w:val="en-US" w:eastAsia="zh-CN"/>
                    </w:rPr>
                    <w:t>废气主要污染物为有机废气（以非甲烷总烃计），本项目使用粉末涂料，不涉及喷漆工艺，粉末涂料VOCs含量限值符合国家标准。固化、丝印工艺均密闭，</w:t>
                  </w:r>
                  <w:r>
                    <w:rPr>
                      <w:rFonts w:hint="default" w:ascii="Times New Roman" w:hAnsi="Times New Roman" w:cs="Times New Roman"/>
                      <w:sz w:val="21"/>
                      <w:szCs w:val="21"/>
                      <w:lang w:val="en-US" w:eastAsia="zh-CN"/>
                    </w:rPr>
                    <w:t>丝印、固化废气产生量较小，可达标排放，</w:t>
                  </w:r>
                  <w:r>
                    <w:rPr>
                      <w:rFonts w:hint="default" w:ascii="Times New Roman" w:hAnsi="Times New Roman" w:cs="Times New Roman"/>
                      <w:color w:val="auto"/>
                      <w:lang w:val="en-US" w:eastAsia="zh-CN"/>
                    </w:rPr>
                    <w:t>排放的VOCs</w:t>
                  </w:r>
                  <w:r>
                    <w:rPr>
                      <w:rFonts w:hint="default" w:ascii="Times New Roman" w:hAnsi="Times New Roman" w:cs="Times New Roman"/>
                      <w:kern w:val="0"/>
                      <w:sz w:val="21"/>
                      <w:szCs w:val="21"/>
                      <w:lang w:val="en-US" w:eastAsia="zh-CN"/>
                    </w:rPr>
                    <w:t>应申请排放总量。</w:t>
                  </w:r>
                </w:p>
              </w:tc>
              <w:tc>
                <w:tcPr>
                  <w:tcW w:w="320" w:type="pct"/>
                  <w:noWrap w:val="0"/>
                  <w:vAlign w:val="center"/>
                </w:tcPr>
                <w:p w14:paraId="49EDA9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符合</w:t>
                  </w:r>
                </w:p>
              </w:tc>
            </w:tr>
            <w:tr w14:paraId="4B1548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73" w:type="pct"/>
                  <w:noWrap w:val="0"/>
                  <w:vAlign w:val="center"/>
                </w:tcPr>
                <w:p w14:paraId="0D5A74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VOCS综合治理工程</w:t>
                  </w:r>
                </w:p>
              </w:tc>
              <w:tc>
                <w:tcPr>
                  <w:tcW w:w="2052" w:type="pct"/>
                  <w:noWrap w:val="0"/>
                  <w:vAlign w:val="center"/>
                </w:tcPr>
                <w:p w14:paraId="1A2DD3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推进重点行业VOCS综合治理工程，针对石化、化工、包装印刷、工业涂装等行业 VOCS排放环节，建设适宜高效的 VOCs 治理设施。重点实施神华包头煤化工、一机集团、北重集团、盛泰等行业企业 VOCs 治理工程</w:t>
                  </w:r>
                </w:p>
              </w:tc>
              <w:tc>
                <w:tcPr>
                  <w:tcW w:w="1953" w:type="pct"/>
                  <w:noWrap w:val="0"/>
                  <w:vAlign w:val="center"/>
                </w:tcPr>
                <w:p w14:paraId="35ABED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kern w:val="2"/>
                      <w:sz w:val="21"/>
                      <w:szCs w:val="21"/>
                      <w:lang w:val="en-US" w:eastAsia="zh-CN"/>
                    </w:rPr>
                    <w:t>本项目不属于重点行业。</w:t>
                  </w:r>
                  <w:r>
                    <w:rPr>
                      <w:rFonts w:hint="default" w:ascii="Times New Roman" w:hAnsi="Times New Roman" w:cs="Times New Roman"/>
                      <w:color w:val="auto"/>
                      <w:lang w:val="en-US" w:eastAsia="zh-CN"/>
                    </w:rPr>
                    <w:t>液化石油气、丙烷气体</w:t>
                  </w:r>
                  <w:r>
                    <w:rPr>
                      <w:rFonts w:hint="default" w:ascii="Times New Roman" w:hAnsi="Times New Roman" w:cs="Times New Roman"/>
                      <w:color w:val="auto"/>
                      <w:lang w:eastAsia="zh-CN"/>
                    </w:rPr>
                    <w:t>槽车卸料至储罐的过程中储罐泄压废气、储罐呼吸废气及钢瓶充装废气</w:t>
                  </w:r>
                  <w:r>
                    <w:rPr>
                      <w:rFonts w:hint="default" w:ascii="Times New Roman" w:hAnsi="Times New Roman" w:cs="Times New Roman"/>
                      <w:color w:val="auto"/>
                      <w:lang w:val="en-US" w:eastAsia="zh-CN"/>
                    </w:rPr>
                    <w:t>排放少量非甲烷总烃，以无组织形式逸散，喷塑工序使用粉末涂料，不涉及喷漆工艺，粉末涂料VOCs含量限值符合国家标准。</w:t>
                  </w:r>
                  <w:r>
                    <w:rPr>
                      <w:rFonts w:hint="default" w:ascii="Times New Roman" w:hAnsi="Times New Roman" w:cs="Times New Roman"/>
                      <w:sz w:val="21"/>
                      <w:szCs w:val="21"/>
                      <w:lang w:val="en-US" w:eastAsia="zh-CN"/>
                    </w:rPr>
                    <w:t>丝印、固化废气产生量较小，可达标排放。</w:t>
                  </w:r>
                </w:p>
              </w:tc>
              <w:tc>
                <w:tcPr>
                  <w:tcW w:w="320" w:type="pct"/>
                  <w:noWrap w:val="0"/>
                  <w:vAlign w:val="center"/>
                </w:tcPr>
                <w:p w14:paraId="22D00C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right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符合</w:t>
                  </w:r>
                </w:p>
              </w:tc>
            </w:tr>
          </w:tbl>
          <w:p w14:paraId="0CB3B5F4">
            <w:pPr>
              <w:pStyle w:val="31"/>
              <w:keepNext w:val="0"/>
              <w:keepLines w:val="0"/>
              <w:pageBreakBefore w:val="0"/>
              <w:widowControl w:val="0"/>
              <w:tabs>
                <w:tab w:val="left" w:pos="0"/>
              </w:tabs>
              <w:kinsoku/>
              <w:wordWrap/>
              <w:overflowPunct/>
              <w:topLinePunct w:val="0"/>
              <w:autoSpaceDE/>
              <w:autoSpaceDN/>
              <w:bidi w:val="0"/>
              <w:adjustRightInd/>
              <w:snapToGrid/>
              <w:spacing w:after="0" w:line="360" w:lineRule="auto"/>
              <w:ind w:left="0" w:leftChars="0" w:firstLine="48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2"/>
                <w:highlight w:val="none"/>
                <w:lang w:val="en-US" w:eastAsia="zh-CN"/>
              </w:rPr>
              <w:t>综上所述，本项目针对产生工序的VOCs废气控制、处理等措施符合《</w:t>
            </w:r>
            <w:r>
              <w:rPr>
                <w:rFonts w:hint="default" w:ascii="Times New Roman" w:hAnsi="Times New Roman" w:eastAsia="宋体" w:cs="Times New Roman"/>
                <w:color w:val="auto"/>
                <w:sz w:val="24"/>
                <w:lang w:val="en-US" w:eastAsia="zh-CN"/>
              </w:rPr>
              <w:t>包头市十四五生态环境保护规划</w:t>
            </w:r>
            <w:r>
              <w:rPr>
                <w:rFonts w:hint="default" w:ascii="Times New Roman" w:hAnsi="Times New Roman" w:cs="Times New Roman"/>
                <w:color w:val="auto"/>
                <w:sz w:val="24"/>
                <w:szCs w:val="22"/>
                <w:highlight w:val="none"/>
                <w:lang w:val="en-US" w:eastAsia="zh-CN"/>
              </w:rPr>
              <w:t>》相关</w:t>
            </w:r>
            <w:r>
              <w:rPr>
                <w:rFonts w:hint="default" w:ascii="Times New Roman" w:hAnsi="Times New Roman" w:eastAsia="宋体" w:cs="Times New Roman"/>
                <w:color w:val="auto"/>
                <w:sz w:val="24"/>
                <w:szCs w:val="24"/>
                <w:lang w:val="en-US" w:eastAsia="zh-CN"/>
              </w:rPr>
              <w:t>要求。</w:t>
            </w:r>
          </w:p>
          <w:p w14:paraId="60B7AD4E">
            <w:pPr>
              <w:pStyle w:val="31"/>
              <w:keepNext w:val="0"/>
              <w:keepLines w:val="0"/>
              <w:pageBreakBefore w:val="0"/>
              <w:widowControl w:val="0"/>
              <w:numPr>
                <w:ilvl w:val="0"/>
                <w:numId w:val="4"/>
              </w:numPr>
              <w:tabs>
                <w:tab w:val="left" w:pos="0"/>
              </w:tabs>
              <w:kinsoku/>
              <w:wordWrap/>
              <w:overflowPunct/>
              <w:topLinePunct w:val="0"/>
              <w:autoSpaceDE/>
              <w:autoSpaceDN/>
              <w:bidi w:val="0"/>
              <w:adjustRightInd/>
              <w:snapToGrid/>
              <w:spacing w:after="0" w:line="360" w:lineRule="auto"/>
              <w:ind w:left="0" w:leftChars="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本项目与《重点行业挥发性有机物综合治理方案》（[环大气〔2019〕53号]）符合性分析</w:t>
            </w:r>
          </w:p>
          <w:p w14:paraId="41C7F715">
            <w:pPr>
              <w:pStyle w:val="31"/>
              <w:keepNext w:val="0"/>
              <w:keepLines w:val="0"/>
              <w:pageBreakBefore w:val="0"/>
              <w:widowControl w:val="0"/>
              <w:tabs>
                <w:tab w:val="left" w:pos="0"/>
              </w:tabs>
              <w:kinsoku/>
              <w:wordWrap/>
              <w:overflowPunct/>
              <w:topLinePunct w:val="0"/>
              <w:autoSpaceDE/>
              <w:autoSpaceDN/>
              <w:bidi w:val="0"/>
              <w:adjustRightInd/>
              <w:snapToGrid/>
              <w:spacing w:after="0" w:line="360" w:lineRule="auto"/>
              <w:ind w:left="0" w:leftChars="0" w:firstLine="787" w:firstLineChars="328"/>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color w:val="auto"/>
                <w:sz w:val="24"/>
                <w:szCs w:val="24"/>
                <w:lang w:val="en-US" w:eastAsia="zh-CN"/>
              </w:rPr>
              <w:t>本项目与《重点行业挥发性有机物综合治理方案》（[环大气〔2019〕53号]）符合性分析见</w:t>
            </w:r>
            <w:r>
              <w:rPr>
                <w:rFonts w:hint="default" w:ascii="Times New Roman" w:hAnsi="Times New Roman" w:cs="Times New Roman"/>
                <w:color w:val="auto"/>
                <w:sz w:val="24"/>
                <w:szCs w:val="24"/>
                <w:lang w:val="en-US" w:eastAsia="zh-CN"/>
              </w:rPr>
              <w:t>下</w:t>
            </w:r>
            <w:r>
              <w:rPr>
                <w:rFonts w:hint="default" w:ascii="Times New Roman" w:hAnsi="Times New Roman" w:eastAsia="宋体" w:cs="Times New Roman"/>
                <w:color w:val="auto"/>
                <w:sz w:val="24"/>
                <w:szCs w:val="24"/>
                <w:lang w:val="en-US" w:eastAsia="zh-CN"/>
              </w:rPr>
              <w:t>表。</w:t>
            </w:r>
          </w:p>
          <w:p w14:paraId="2308A06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表1-</w:t>
            </w:r>
            <w:r>
              <w:rPr>
                <w:rFonts w:hint="eastAsia" w:cs="Times New Roman"/>
                <w:b/>
                <w:bCs/>
                <w:color w:val="auto"/>
                <w:sz w:val="21"/>
                <w:szCs w:val="21"/>
                <w:lang w:val="en-US" w:eastAsia="zh-CN"/>
              </w:rPr>
              <w:t>20</w:t>
            </w:r>
            <w:r>
              <w:rPr>
                <w:rFonts w:hint="default" w:ascii="Times New Roman" w:hAnsi="Times New Roman" w:eastAsia="宋体" w:cs="Times New Roman"/>
                <w:b/>
                <w:bCs/>
                <w:color w:val="auto"/>
                <w:sz w:val="21"/>
                <w:szCs w:val="21"/>
                <w:lang w:val="en-US" w:eastAsia="zh-CN"/>
              </w:rPr>
              <w:t xml:space="preserve">   本项目与《重点行业挥发性有机物综合治理方案》符合性分析</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62"/>
              <w:gridCol w:w="2822"/>
              <w:gridCol w:w="976"/>
            </w:tblGrid>
            <w:tr w14:paraId="6C32B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4" w:type="pct"/>
                  <w:noWrap w:val="0"/>
                  <w:vAlign w:val="center"/>
                </w:tcPr>
                <w:p w14:paraId="48BA8640">
                  <w:pPr>
                    <w:pStyle w:val="15"/>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方案原文</w:t>
                  </w:r>
                </w:p>
              </w:tc>
              <w:tc>
                <w:tcPr>
                  <w:tcW w:w="1891" w:type="pct"/>
                  <w:noWrap w:val="0"/>
                  <w:vAlign w:val="center"/>
                </w:tcPr>
                <w:p w14:paraId="197C17EC">
                  <w:pPr>
                    <w:pStyle w:val="15"/>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本项目</w:t>
                  </w:r>
                </w:p>
              </w:tc>
              <w:tc>
                <w:tcPr>
                  <w:tcW w:w="654" w:type="pct"/>
                  <w:noWrap w:val="0"/>
                  <w:vAlign w:val="center"/>
                </w:tcPr>
                <w:p w14:paraId="720E54B9">
                  <w:pPr>
                    <w:pStyle w:val="15"/>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符合性分析</w:t>
                  </w:r>
                </w:p>
              </w:tc>
            </w:tr>
            <w:tr w14:paraId="7E1AA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4" w:type="pct"/>
                  <w:noWrap w:val="0"/>
                  <w:vAlign w:val="center"/>
                </w:tcPr>
                <w:p w14:paraId="2E4DE1DE">
                  <w:pPr>
                    <w:pStyle w:val="15"/>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加强设备与场所密闭管理。含VOCs物料应储存于密闭容器、包装袋，高效密封储罐，封闭式储库、料仓等。含VOCs物料转移和输送，应采用密闭管道或密闭容器、罐车等。含VOCs物料生产和使用过程，应采取有效收集措施或在密闭空间中操作。推进使用先进生产工艺。通过采用全密闭、连续化、自动化等生产技术，以及高效工艺与设备等，减少工艺过程无组织排放。提高废气收集率。遵循“应收尽收、分质收集”的原则，科学设计废气收集系统，将无组织排放转变为有组织排放进行控制。采用全密闭集气罩或密闭空间的，除行业有特殊要求外，应保持微负压状态，并根据相关规范合理设置通风量。</w:t>
                  </w:r>
                </w:p>
              </w:tc>
              <w:tc>
                <w:tcPr>
                  <w:tcW w:w="1891" w:type="pct"/>
                  <w:noWrap w:val="0"/>
                  <w:vAlign w:val="center"/>
                </w:tcPr>
                <w:p w14:paraId="278439B8">
                  <w:pPr>
                    <w:pStyle w:val="15"/>
                    <w:jc w:val="center"/>
                    <w:rPr>
                      <w:rFonts w:hint="default" w:ascii="Times New Roman" w:hAnsi="Times New Roman" w:cs="Times New Roman"/>
                      <w:color w:val="auto"/>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本项目运行过程中废气为</w:t>
                  </w:r>
                  <w:r>
                    <w:rPr>
                      <w:rFonts w:hint="default" w:ascii="Times New Roman" w:hAnsi="Times New Roman" w:cs="Times New Roman"/>
                      <w:color w:val="auto"/>
                      <w:lang w:val="en-US" w:eastAsia="zh-CN"/>
                    </w:rPr>
                    <w:t>液化石油气、丙烷气体</w:t>
                  </w:r>
                  <w:r>
                    <w:rPr>
                      <w:rFonts w:hint="default" w:ascii="Times New Roman" w:hAnsi="Times New Roman" w:cs="Times New Roman"/>
                      <w:color w:val="auto"/>
                      <w:lang w:eastAsia="zh-CN"/>
                    </w:rPr>
                    <w:t>槽车卸料至储罐的过程中储罐泄压废气、储罐呼吸废气及钢瓶充装废气。</w:t>
                  </w:r>
                  <w:r>
                    <w:rPr>
                      <w:rFonts w:hint="default" w:ascii="Times New Roman" w:hAnsi="Times New Roman" w:cs="Times New Roman"/>
                      <w:color w:val="auto"/>
                      <w:lang w:val="en-US" w:eastAsia="zh-CN"/>
                    </w:rPr>
                    <w:t>废气主要污染物为有机废气（以非甲烷总烃计）。液化石油气及丙烷气体储存全部为密封地下储罐。喷塑工序使用粉末涂料，不涉及喷漆工艺，粉末涂料VOCs含量限值符合国家标准。</w:t>
                  </w:r>
                  <w:r>
                    <w:rPr>
                      <w:rFonts w:hint="default" w:ascii="Times New Roman" w:hAnsi="Times New Roman" w:cs="Times New Roman"/>
                      <w:sz w:val="21"/>
                      <w:szCs w:val="21"/>
                      <w:lang w:val="en-US" w:eastAsia="zh-CN"/>
                    </w:rPr>
                    <w:t>丝印、固化废气产生量较小，废气集中收集后排放，可达标排放。</w:t>
                  </w:r>
                </w:p>
              </w:tc>
              <w:tc>
                <w:tcPr>
                  <w:tcW w:w="654" w:type="pct"/>
                  <w:noWrap w:val="0"/>
                  <w:vAlign w:val="center"/>
                </w:tcPr>
                <w:p w14:paraId="4906E8AC">
                  <w:pPr>
                    <w:pStyle w:val="15"/>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符合</w:t>
                  </w:r>
                </w:p>
              </w:tc>
            </w:tr>
            <w:tr w14:paraId="007FF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54" w:type="pct"/>
                  <w:noWrap w:val="0"/>
                  <w:vAlign w:val="center"/>
                </w:tcPr>
                <w:p w14:paraId="47B5FD6F">
                  <w:pPr>
                    <w:pStyle w:val="15"/>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推进建设适宜高效的治污设施。企业新建治污设施或对现有治污设施实施改造，应依据排放废气的浓度、组分、风量，温度、湿度、压力，以及生产工况等，合理选择治理技术。鼓励企业采用多种技术的组合工艺，提高VOCs治理效率。低浓度、大风量废气，宜采用沸石转轮吸附、活性炭吸附、减风增浓等浓缩技术，提高VOCs浓度后净化处理；高浓度废气，优先进行溶剂回收，难以回收的，宜采用高温焚烧、催化燃烧等技术。油气（溶剂）回收宜采用冷凝+吸附、吸附+吸收、膜分离+吸附等技术。低温等离子、光催化、光氧化技术主要适用于恶臭异味等治理；生物法主要适用于低浓度VOCs废气治理和恶臭异味治理。非水溶性的VOCs废气禁止采用水或水溶液喷淋吸收处理。采用一次性活性炭吸附技术的，应定期更换活性炭，废旧活性炭应再生或处理处置。有条件的工业园区和产业集群等，推广集中喷涂、溶剂集中回收、活性炭集中再生等，加强资源共享，提高VOCs治理效率。实行重点排放源排放浓度与去除效率双重控制。车间或生产设施收集排放的废气，VOCs初始排放速率大于等于3千克/小时、重点区域大于等于2千克/小时的，应加大控制力度，除确保排放浓度稳定达标外，还应实行去除效率控制，去除效率不低于80%；采用的原辅材料符合国家有关低VOCs含量产品规定的除外，有行业排放标准的按其相关规定执行。</w:t>
                  </w:r>
                </w:p>
              </w:tc>
              <w:tc>
                <w:tcPr>
                  <w:tcW w:w="1891" w:type="pct"/>
                  <w:noWrap w:val="0"/>
                  <w:vAlign w:val="center"/>
                </w:tcPr>
                <w:p w14:paraId="452664BE">
                  <w:pPr>
                    <w:pStyle w:val="15"/>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lang w:val="en-US" w:eastAsia="zh-CN"/>
                    </w:rPr>
                    <w:t>液化石油气、丙烷气体</w:t>
                  </w:r>
                  <w:r>
                    <w:rPr>
                      <w:rFonts w:hint="default" w:ascii="Times New Roman" w:hAnsi="Times New Roman" w:cs="Times New Roman"/>
                      <w:color w:val="auto"/>
                      <w:lang w:eastAsia="zh-CN"/>
                    </w:rPr>
                    <w:t>槽车卸料至储罐的过程中储罐泄压废气、储罐呼吸废气及钢瓶充装废气</w:t>
                  </w:r>
                  <w:r>
                    <w:rPr>
                      <w:rFonts w:hint="default" w:ascii="Times New Roman" w:hAnsi="Times New Roman" w:cs="Times New Roman"/>
                      <w:color w:val="auto"/>
                      <w:lang w:val="en-US" w:eastAsia="zh-CN"/>
                    </w:rPr>
                    <w:t>排放少量非甲烷总烃，以无组织形式逸散。喷塑工序使用粉末涂料，不涉及喷漆工艺，粉末涂料VOCs含量限值符合国家标准。</w:t>
                  </w:r>
                  <w:r>
                    <w:rPr>
                      <w:rFonts w:hint="default" w:ascii="Times New Roman" w:hAnsi="Times New Roman" w:cs="Times New Roman"/>
                      <w:sz w:val="21"/>
                      <w:szCs w:val="21"/>
                      <w:lang w:val="en-US" w:eastAsia="zh-CN"/>
                    </w:rPr>
                    <w:t>丝印、固化废气产生量较小，废气集中收集后排放，可达标排放。</w:t>
                  </w:r>
                </w:p>
              </w:tc>
              <w:tc>
                <w:tcPr>
                  <w:tcW w:w="654" w:type="pct"/>
                  <w:noWrap w:val="0"/>
                  <w:vAlign w:val="center"/>
                </w:tcPr>
                <w:p w14:paraId="054E4E0A">
                  <w:pPr>
                    <w:pStyle w:val="15"/>
                    <w:jc w:val="center"/>
                    <w:rPr>
                      <w:rFonts w:hint="default" w:ascii="Times New Roman" w:hAnsi="Times New Roman" w:cs="Times New Roman"/>
                      <w:color w:val="auto"/>
                      <w:vertAlign w:val="baseline"/>
                      <w:lang w:val="en-US" w:eastAsia="zh-CN"/>
                    </w:rPr>
                  </w:pPr>
                  <w:r>
                    <w:rPr>
                      <w:rFonts w:hint="default" w:ascii="Times New Roman" w:hAnsi="Times New Roman" w:cs="Times New Roman"/>
                      <w:color w:val="auto"/>
                      <w:vertAlign w:val="baseline"/>
                      <w:lang w:val="en-US" w:eastAsia="zh-CN"/>
                    </w:rPr>
                    <w:t>符合</w:t>
                  </w:r>
                </w:p>
              </w:tc>
            </w:tr>
          </w:tbl>
          <w:p w14:paraId="681F786F">
            <w:pPr>
              <w:pStyle w:val="15"/>
              <w:rPr>
                <w:rFonts w:hint="default" w:ascii="Times New Roman" w:hAnsi="Times New Roman" w:cs="Times New Roman"/>
                <w:color w:val="auto"/>
                <w:lang w:val="en-US" w:eastAsia="zh-CN"/>
              </w:rPr>
            </w:pPr>
          </w:p>
          <w:p w14:paraId="18207567">
            <w:pPr>
              <w:widowControl/>
              <w:numPr>
                <w:ilvl w:val="0"/>
                <w:numId w:val="0"/>
              </w:numPr>
              <w:spacing w:line="360" w:lineRule="auto"/>
              <w:ind w:firstLine="482" w:firstLineChars="200"/>
              <w:rPr>
                <w:rFonts w:hint="default" w:ascii="Times New Roman" w:hAnsi="Times New Roman" w:cs="Times New Roman"/>
                <w:b/>
                <w:bCs/>
                <w:sz w:val="24"/>
              </w:rPr>
            </w:pPr>
            <w:r>
              <w:rPr>
                <w:rFonts w:hint="default" w:ascii="Times New Roman" w:hAnsi="Times New Roman" w:cs="Times New Roman"/>
                <w:b/>
                <w:bCs/>
                <w:sz w:val="24"/>
                <w:lang w:val="en-US" w:eastAsia="zh-CN"/>
              </w:rPr>
              <w:t>5、</w:t>
            </w:r>
            <w:r>
              <w:rPr>
                <w:rFonts w:hint="default" w:ascii="Times New Roman" w:hAnsi="Times New Roman" w:cs="Times New Roman"/>
                <w:b/>
                <w:bCs/>
                <w:sz w:val="24"/>
              </w:rPr>
              <w:t>与《包头市国民经济和社会发展第十四个五年规划和二〇三五年远景目标的建议》符合性</w:t>
            </w:r>
          </w:p>
          <w:p w14:paraId="3B24B5AA">
            <w:pPr>
              <w:widowControl/>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本项目与《包头市国民经济和社会发展第十四个五年规划和二〇三五年愿景目标的建议》符合性分析见下表。</w:t>
            </w:r>
          </w:p>
          <w:p w14:paraId="205809E9">
            <w:pPr>
              <w:jc w:val="center"/>
              <w:rPr>
                <w:rFonts w:hint="default" w:ascii="Times New Roman" w:hAnsi="Times New Roman" w:cs="Times New Roman"/>
                <w:b/>
                <w:bCs/>
                <w:sz w:val="21"/>
                <w:szCs w:val="21"/>
              </w:rPr>
            </w:pPr>
            <w:r>
              <w:rPr>
                <w:rFonts w:hint="default" w:ascii="Times New Roman" w:hAnsi="Times New Roman" w:cs="Times New Roman"/>
                <w:b/>
                <w:bCs/>
                <w:sz w:val="21"/>
                <w:szCs w:val="21"/>
              </w:rPr>
              <w:t>表1-</w:t>
            </w:r>
            <w:r>
              <w:rPr>
                <w:rFonts w:hint="default" w:ascii="Times New Roman" w:hAnsi="Times New Roman" w:cs="Times New Roman"/>
                <w:b/>
                <w:bCs/>
                <w:sz w:val="21"/>
                <w:szCs w:val="21"/>
                <w:lang w:val="en-US" w:eastAsia="zh-CN"/>
              </w:rPr>
              <w:t>2</w:t>
            </w:r>
            <w:r>
              <w:rPr>
                <w:rFonts w:hint="eastAsia" w:cs="Times New Roman"/>
                <w:b/>
                <w:bCs/>
                <w:sz w:val="21"/>
                <w:szCs w:val="21"/>
                <w:lang w:val="en-US" w:eastAsia="zh-CN"/>
              </w:rPr>
              <w:t>1</w:t>
            </w:r>
            <w:r>
              <w:rPr>
                <w:rFonts w:hint="default" w:ascii="Times New Roman" w:hAnsi="Times New Roman" w:cs="Times New Roman"/>
                <w:b/>
                <w:bCs/>
                <w:sz w:val="21"/>
                <w:szCs w:val="21"/>
              </w:rPr>
              <w:t xml:space="preserve"> 与《包头市国民经济和社会发展第十四个五年规划和二〇三五年远景目标的建议》符合性</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6"/>
              <w:gridCol w:w="2398"/>
              <w:gridCol w:w="756"/>
            </w:tblGrid>
            <w:tr w14:paraId="0F718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2886" w:type="pct"/>
                  <w:noWrap w:val="0"/>
                  <w:vAlign w:val="center"/>
                </w:tcPr>
                <w:p w14:paraId="79C5B776">
                  <w:pPr>
                    <w:autoSpaceDE w:val="0"/>
                    <w:autoSpaceDN w:val="0"/>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《包头市国民经济和社会发展第十四个五年规划和二〇三五年远景目标的建议》</w:t>
                  </w:r>
                </w:p>
              </w:tc>
              <w:tc>
                <w:tcPr>
                  <w:tcW w:w="1607" w:type="pct"/>
                  <w:noWrap w:val="0"/>
                  <w:vAlign w:val="center"/>
                </w:tcPr>
                <w:p w14:paraId="23A328A7">
                  <w:pPr>
                    <w:autoSpaceDE w:val="0"/>
                    <w:autoSpaceDN w:val="0"/>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本项目</w:t>
                  </w:r>
                </w:p>
              </w:tc>
              <w:tc>
                <w:tcPr>
                  <w:tcW w:w="506" w:type="pct"/>
                  <w:noWrap w:val="0"/>
                  <w:tcMar>
                    <w:top w:w="0" w:type="dxa"/>
                    <w:left w:w="51" w:type="dxa"/>
                    <w:bottom w:w="0" w:type="dxa"/>
                    <w:right w:w="51" w:type="dxa"/>
                  </w:tcMar>
                  <w:vAlign w:val="center"/>
                </w:tcPr>
                <w:p w14:paraId="64527F7B">
                  <w:pPr>
                    <w:autoSpaceDE w:val="0"/>
                    <w:autoSpaceDN w:val="0"/>
                    <w:adjustRightInd w:val="0"/>
                    <w:snapToGrid w:val="0"/>
                    <w:jc w:val="center"/>
                    <w:rPr>
                      <w:rFonts w:hint="default" w:ascii="Times New Roman" w:hAnsi="Times New Roman" w:cs="Times New Roman"/>
                      <w:b/>
                      <w:bCs/>
                      <w:szCs w:val="21"/>
                    </w:rPr>
                  </w:pPr>
                  <w:r>
                    <w:rPr>
                      <w:rFonts w:hint="default" w:ascii="Times New Roman" w:hAnsi="Times New Roman" w:cs="Times New Roman"/>
                      <w:b/>
                      <w:bCs/>
                      <w:szCs w:val="21"/>
                    </w:rPr>
                    <w:t>符合性</w:t>
                  </w:r>
                </w:p>
              </w:tc>
            </w:tr>
            <w:tr w14:paraId="48122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86" w:type="pct"/>
                  <w:noWrap w:val="0"/>
                  <w:vAlign w:val="center"/>
                </w:tcPr>
                <w:p w14:paraId="3628AAED">
                  <w:pPr>
                    <w:rPr>
                      <w:rFonts w:hint="default" w:ascii="Times New Roman" w:hAnsi="Times New Roman" w:cs="Times New Roman"/>
                      <w:szCs w:val="21"/>
                    </w:rPr>
                  </w:pPr>
                  <w:r>
                    <w:rPr>
                      <w:rFonts w:hint="default" w:ascii="Times New Roman" w:hAnsi="Times New Roman" w:cs="Times New Roman"/>
                      <w:szCs w:val="21"/>
                    </w:rPr>
                    <w:t>基本建成美丽宜居城市。聚焦碳达峰、碳中和，以建设国家生态文明建设示范市为引领，优化国土空间开发保护格局，推进全域生态文明建设，全面提升山水林田湖草系统治理水平，加快形成节约资源和保护环境的空间格局、产业结构及节能低碳和绿色环保的生产方式、生活方式，推动生态环境持续改善、生态安全屏障更加牢固。</w:t>
                  </w:r>
                </w:p>
              </w:tc>
              <w:tc>
                <w:tcPr>
                  <w:tcW w:w="1607" w:type="pct"/>
                  <w:noWrap w:val="0"/>
                  <w:vAlign w:val="center"/>
                </w:tcPr>
                <w:p w14:paraId="0A1AED15">
                  <w:pPr>
                    <w:autoSpaceDE w:val="0"/>
                    <w:autoSpaceDN w:val="0"/>
                    <w:adjustRightInd w:val="0"/>
                    <w:snapToGrid w:val="0"/>
                    <w:rPr>
                      <w:rFonts w:hint="default" w:ascii="Times New Roman" w:hAnsi="Times New Roman" w:cs="Times New Roman"/>
                      <w:szCs w:val="21"/>
                    </w:rPr>
                  </w:pPr>
                  <w:r>
                    <w:rPr>
                      <w:rFonts w:hint="default" w:ascii="Times New Roman" w:hAnsi="Times New Roman" w:cs="Times New Roman"/>
                      <w:szCs w:val="21"/>
                    </w:rPr>
                    <w:t>本项目符合国土空间规划，属于节能低碳和绿色环保的生产方式，有利于推动生态环境持续改善、生态安全屏障更加牢固。</w:t>
                  </w:r>
                </w:p>
              </w:tc>
              <w:tc>
                <w:tcPr>
                  <w:tcW w:w="506" w:type="pct"/>
                  <w:noWrap w:val="0"/>
                  <w:vAlign w:val="center"/>
                </w:tcPr>
                <w:p w14:paraId="5041BFA8">
                  <w:pPr>
                    <w:autoSpaceDE w:val="0"/>
                    <w:autoSpaceDN w:val="0"/>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符合</w:t>
                  </w:r>
                </w:p>
              </w:tc>
            </w:tr>
            <w:tr w14:paraId="75985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2886" w:type="pct"/>
                  <w:noWrap w:val="0"/>
                  <w:vAlign w:val="center"/>
                </w:tcPr>
                <w:p w14:paraId="1583FB4F">
                  <w:pPr>
                    <w:autoSpaceDE w:val="0"/>
                    <w:autoSpaceDN w:val="0"/>
                    <w:adjustRightInd w:val="0"/>
                    <w:snapToGrid w:val="0"/>
                    <w:jc w:val="left"/>
                    <w:rPr>
                      <w:rFonts w:hint="default" w:ascii="Times New Roman" w:hAnsi="Times New Roman" w:cs="Times New Roman"/>
                      <w:szCs w:val="21"/>
                    </w:rPr>
                  </w:pPr>
                  <w:r>
                    <w:rPr>
                      <w:rFonts w:hint="default" w:ascii="Times New Roman" w:hAnsi="Times New Roman" w:cs="Times New Roman"/>
                      <w:szCs w:val="21"/>
                    </w:rPr>
                    <w:t>深入打好污染防治攻坚战。保持攻坚力度和势头，深化污染防治行动，持续改善环境质量。强化固体废物污染防治，加强固废资源化、减量化、无害化利用，推进“无废城市”建设。</w:t>
                  </w:r>
                </w:p>
              </w:tc>
              <w:tc>
                <w:tcPr>
                  <w:tcW w:w="1607" w:type="pct"/>
                  <w:noWrap w:val="0"/>
                  <w:vAlign w:val="center"/>
                </w:tcPr>
                <w:p w14:paraId="330266C9">
                  <w:pPr>
                    <w:autoSpaceDE w:val="0"/>
                    <w:autoSpaceDN w:val="0"/>
                    <w:adjustRightInd w:val="0"/>
                    <w:snapToGrid w:val="0"/>
                    <w:rPr>
                      <w:rFonts w:hint="default" w:ascii="Times New Roman" w:hAnsi="Times New Roman" w:cs="Times New Roman"/>
                      <w:szCs w:val="21"/>
                    </w:rPr>
                  </w:pPr>
                  <w:r>
                    <w:rPr>
                      <w:rFonts w:hint="default" w:ascii="Times New Roman" w:hAnsi="Times New Roman" w:cs="Times New Roman"/>
                      <w:szCs w:val="21"/>
                    </w:rPr>
                    <w:t>本项目产生的固体废物能够合理处置。</w:t>
                  </w:r>
                </w:p>
              </w:tc>
              <w:tc>
                <w:tcPr>
                  <w:tcW w:w="506" w:type="pct"/>
                  <w:noWrap w:val="0"/>
                  <w:vAlign w:val="center"/>
                </w:tcPr>
                <w:p w14:paraId="2C3DA20E">
                  <w:pPr>
                    <w:autoSpaceDE w:val="0"/>
                    <w:autoSpaceDN w:val="0"/>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符合</w:t>
                  </w:r>
                </w:p>
              </w:tc>
            </w:tr>
            <w:tr w14:paraId="3860B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jc w:val="center"/>
              </w:trPr>
              <w:tc>
                <w:tcPr>
                  <w:tcW w:w="2886" w:type="pct"/>
                  <w:noWrap w:val="0"/>
                  <w:vAlign w:val="center"/>
                </w:tcPr>
                <w:p w14:paraId="72B36526">
                  <w:pPr>
                    <w:autoSpaceDE w:val="0"/>
                    <w:autoSpaceDN w:val="0"/>
                    <w:adjustRightInd w:val="0"/>
                    <w:snapToGrid w:val="0"/>
                    <w:jc w:val="left"/>
                    <w:rPr>
                      <w:rFonts w:hint="default" w:ascii="Times New Roman" w:hAnsi="Times New Roman" w:cs="Times New Roman"/>
                      <w:szCs w:val="21"/>
                    </w:rPr>
                  </w:pPr>
                  <w:r>
                    <w:rPr>
                      <w:rFonts w:hint="default" w:ascii="Times New Roman" w:hAnsi="Times New Roman" w:cs="Times New Roman"/>
                      <w:szCs w:val="21"/>
                    </w:rPr>
                    <w:t>强化资源高效利用。健全资源节约集约循环利用政策体系，严格执行能源和水资源消耗、建设用地等总量和强度双控制度。推行垃圾分类和减量化资源化。加快构建废旧物资循环利用体系，加强园区循环化改造，推动资源化利用产业发展和集聚区建设。</w:t>
                  </w:r>
                </w:p>
              </w:tc>
              <w:tc>
                <w:tcPr>
                  <w:tcW w:w="1607" w:type="pct"/>
                  <w:noWrap w:val="0"/>
                  <w:vAlign w:val="center"/>
                </w:tcPr>
                <w:p w14:paraId="0825B2B1">
                  <w:pPr>
                    <w:autoSpaceDE w:val="0"/>
                    <w:autoSpaceDN w:val="0"/>
                    <w:adjustRightInd w:val="0"/>
                    <w:snapToGrid w:val="0"/>
                    <w:rPr>
                      <w:rFonts w:hint="default" w:ascii="Times New Roman" w:hAnsi="Times New Roman" w:cs="Times New Roman"/>
                      <w:szCs w:val="21"/>
                    </w:rPr>
                  </w:pPr>
                  <w:r>
                    <w:rPr>
                      <w:rFonts w:hint="default" w:ascii="Times New Roman" w:hAnsi="Times New Roman" w:cs="Times New Roman"/>
                      <w:szCs w:val="21"/>
                    </w:rPr>
                    <w:t>本项目</w:t>
                  </w:r>
                  <w:r>
                    <w:rPr>
                      <w:rFonts w:hint="default" w:ascii="Times New Roman" w:hAnsi="Times New Roman" w:cs="Times New Roman"/>
                      <w:szCs w:val="21"/>
                      <w:lang w:val="en-US" w:eastAsia="zh-CN"/>
                    </w:rPr>
                    <w:t>运营过程中固废产生量较少，生产固废全部合理处置</w:t>
                  </w:r>
                  <w:r>
                    <w:rPr>
                      <w:rFonts w:hint="default" w:ascii="Times New Roman" w:hAnsi="Times New Roman" w:cs="Times New Roman"/>
                      <w:szCs w:val="21"/>
                    </w:rPr>
                    <w:t>。</w:t>
                  </w:r>
                </w:p>
              </w:tc>
              <w:tc>
                <w:tcPr>
                  <w:tcW w:w="506" w:type="pct"/>
                  <w:noWrap w:val="0"/>
                  <w:vAlign w:val="center"/>
                </w:tcPr>
                <w:p w14:paraId="5755E32F">
                  <w:pPr>
                    <w:autoSpaceDE w:val="0"/>
                    <w:autoSpaceDN w:val="0"/>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符合</w:t>
                  </w:r>
                </w:p>
              </w:tc>
            </w:tr>
          </w:tbl>
          <w:p w14:paraId="1250103A">
            <w:pPr>
              <w:pStyle w:val="31"/>
              <w:keepNext w:val="0"/>
              <w:keepLines w:val="0"/>
              <w:pageBreakBefore w:val="0"/>
              <w:widowControl w:val="0"/>
              <w:tabs>
                <w:tab w:val="left" w:pos="0"/>
              </w:tabs>
              <w:kinsoku/>
              <w:wordWrap/>
              <w:overflowPunct/>
              <w:topLinePunct w:val="0"/>
              <w:autoSpaceDE/>
              <w:autoSpaceDN/>
              <w:bidi w:val="0"/>
              <w:adjustRightInd/>
              <w:snapToGrid/>
              <w:spacing w:after="0" w:line="360" w:lineRule="auto"/>
              <w:ind w:left="0" w:leftChars="0" w:firstLine="787" w:firstLineChars="328"/>
              <w:textAlignment w:val="auto"/>
              <w:rPr>
                <w:rFonts w:hint="default" w:ascii="Times New Roman" w:hAnsi="Times New Roman" w:eastAsia="宋体" w:cs="Times New Roman"/>
                <w:color w:val="auto"/>
                <w:kern w:val="0"/>
                <w:sz w:val="24"/>
                <w:szCs w:val="22"/>
                <w:highlight w:val="none"/>
                <w:lang w:val="en-US" w:eastAsia="zh-CN" w:bidi="ar-SA"/>
              </w:rPr>
            </w:pPr>
            <w:r>
              <w:rPr>
                <w:rFonts w:hint="default" w:ascii="Times New Roman" w:hAnsi="Times New Roman" w:cs="Times New Roman"/>
                <w:sz w:val="24"/>
              </w:rPr>
              <w:t>综上所述，本项目符合《包头市国民经济和社会发展第十四个五年规划和二〇三五年远景目标的建议》要求。</w:t>
            </w:r>
            <w:r>
              <w:rPr>
                <w:rFonts w:hint="default" w:ascii="Times New Roman" w:hAnsi="Times New Roman" w:eastAsia="宋体" w:cs="Times New Roman"/>
                <w:color w:val="auto"/>
                <w:kern w:val="0"/>
                <w:sz w:val="24"/>
                <w:szCs w:val="22"/>
                <w:highlight w:val="none"/>
                <w:lang w:val="en-US" w:eastAsia="zh-CN" w:bidi="ar-SA"/>
              </w:rPr>
              <w:t xml:space="preserve">  </w:t>
            </w:r>
          </w:p>
          <w:p w14:paraId="2A9FF17C">
            <w:pPr>
              <w:widowControl/>
              <w:numPr>
                <w:ilvl w:val="0"/>
                <w:numId w:val="0"/>
              </w:numPr>
              <w:spacing w:line="360" w:lineRule="auto"/>
              <w:ind w:firstLine="482" w:firstLineChars="200"/>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6、与《包头市2025年污染防治攻坚战行动方案》符合性分析</w:t>
            </w:r>
          </w:p>
          <w:p w14:paraId="6FC04F46">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 xml:space="preserve">根据《包头市2025年污染防治攻坚战行动方案》，“17.强化挥发性有机物（VOCs）全流程、全环节综合治理。开展含VOCs物料生产、存储、运输、使用等全过程排查。推动实施固阳县海明装备制造公司挥发性有机物升级改造项目。加强挥发性有机物无组织排放管理，推进挥发性有机物治理设施升级改造。全面做好夏季企业及生活源VOCs管控，鼓励涉VOCs重点行业企业在夏季重点时段实行错峰生产，有效遏制臭氧浓度增长趋势。” </w:t>
            </w:r>
          </w:p>
          <w:p w14:paraId="56D4357F">
            <w:pPr>
              <w:spacing w:line="360" w:lineRule="auto"/>
              <w:ind w:firstLine="480" w:firstLineChars="200"/>
              <w:rPr>
                <w:rFonts w:hint="default" w:ascii="Times New Roman" w:hAnsi="Times New Roman" w:cs="Times New Roman"/>
                <w:color w:val="auto"/>
                <w:sz w:val="24"/>
                <w:szCs w:val="32"/>
                <w:highlight w:val="none"/>
                <w:lang w:val="en-US" w:eastAsia="zh-CN"/>
              </w:rPr>
            </w:pPr>
            <w:r>
              <w:rPr>
                <w:rFonts w:hint="default" w:ascii="Times New Roman" w:hAnsi="Times New Roman" w:cs="Times New Roman"/>
                <w:sz w:val="24"/>
              </w:rPr>
              <w:t>本项目</w:t>
            </w:r>
            <w:r>
              <w:rPr>
                <w:rFonts w:hint="default" w:ascii="Times New Roman" w:hAnsi="Times New Roman" w:cs="Times New Roman"/>
                <w:sz w:val="24"/>
                <w:lang w:val="en-US" w:eastAsia="zh-CN"/>
              </w:rPr>
              <w:t>气体储存全部为密封地下储罐。</w:t>
            </w:r>
            <w:r>
              <w:rPr>
                <w:rFonts w:hint="default" w:ascii="Times New Roman" w:hAnsi="Times New Roman" w:cs="Times New Roman"/>
                <w:color w:val="auto"/>
                <w:sz w:val="24"/>
                <w:szCs w:val="32"/>
                <w:lang w:val="en-US" w:eastAsia="zh-CN"/>
              </w:rPr>
              <w:t>液化石油气、丙烷气体</w:t>
            </w:r>
            <w:r>
              <w:rPr>
                <w:rFonts w:hint="default" w:ascii="Times New Roman" w:hAnsi="Times New Roman" w:cs="Times New Roman"/>
                <w:color w:val="auto"/>
                <w:sz w:val="24"/>
                <w:szCs w:val="32"/>
                <w:lang w:eastAsia="zh-CN"/>
              </w:rPr>
              <w:t>槽车卸料至储罐的过程中储罐泄压废气、储罐呼吸废气及钢瓶充装废气</w:t>
            </w:r>
            <w:r>
              <w:rPr>
                <w:rFonts w:hint="default" w:ascii="Times New Roman" w:hAnsi="Times New Roman" w:cs="Times New Roman"/>
                <w:color w:val="auto"/>
                <w:sz w:val="24"/>
                <w:szCs w:val="32"/>
                <w:lang w:val="en-US" w:eastAsia="zh-CN"/>
              </w:rPr>
              <w:t>排放少量非甲烷总烃，以无组织形式逸散。喷塑工序使用粉末涂料，不涉及喷漆工艺，粉末涂料VOCs含量限值符合国家标准。</w:t>
            </w:r>
            <w:r>
              <w:rPr>
                <w:rFonts w:hint="default" w:ascii="Times New Roman" w:hAnsi="Times New Roman" w:cs="Times New Roman"/>
                <w:color w:val="auto"/>
                <w:sz w:val="24"/>
                <w:szCs w:val="32"/>
                <w:highlight w:val="none"/>
                <w:lang w:val="en-US" w:eastAsia="zh-CN"/>
              </w:rPr>
              <w:t>丝印、固化废气产生量较小，废气集中收集后排放，可达标排放。</w:t>
            </w:r>
          </w:p>
          <w:p w14:paraId="084985CF">
            <w:pPr>
              <w:widowControl/>
              <w:numPr>
                <w:ilvl w:val="0"/>
                <w:numId w:val="0"/>
              </w:numPr>
              <w:spacing w:line="360" w:lineRule="auto"/>
              <w:ind w:firstLine="482" w:firstLineChars="200"/>
              <w:rPr>
                <w:rFonts w:hint="default" w:ascii="Times New Roman" w:hAnsi="Times New Roman" w:eastAsia="宋体" w:cs="Times New Roman"/>
                <w:b/>
                <w:bCs/>
                <w:sz w:val="24"/>
                <w:lang w:val="en-US" w:eastAsia="zh-CN"/>
              </w:rPr>
            </w:pPr>
            <w:r>
              <w:rPr>
                <w:rFonts w:hint="default" w:ascii="Times New Roman" w:hAnsi="Times New Roman" w:eastAsia="宋体" w:cs="Times New Roman"/>
                <w:b/>
                <w:bCs/>
                <w:sz w:val="24"/>
                <w:lang w:val="en-US" w:eastAsia="zh-CN"/>
              </w:rPr>
              <w:t>7、与《包头市空气质量持续改善行动实施方案》的符合性</w:t>
            </w:r>
          </w:p>
          <w:p w14:paraId="4A2CE7B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default" w:ascii="Times New Roman" w:hAnsi="Times New Roman" w:cs="Times New Roman"/>
                <w:b/>
                <w:bCs/>
                <w:color w:val="auto"/>
                <w:sz w:val="21"/>
                <w:szCs w:val="21"/>
                <w:highlight w:val="none"/>
                <w:lang w:val="en-US" w:eastAsia="zh-CN"/>
              </w:rPr>
              <w:t>1-2</w:t>
            </w:r>
            <w:r>
              <w:rPr>
                <w:rFonts w:hint="eastAsia"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 xml:space="preserve">  与《包头市空气质量持续改善行动实施方案》的符合性分析</w:t>
            </w:r>
          </w:p>
          <w:p w14:paraId="028D7C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color w:val="auto"/>
                <w:kern w:val="24"/>
                <w:sz w:val="21"/>
                <w:szCs w:val="21"/>
                <w:highlight w:val="none"/>
                <w:lang w:val="en-US" w:eastAsia="zh-CN"/>
              </w:rPr>
              <w:t>摘录项目相关内容）</w:t>
            </w:r>
          </w:p>
          <w:tbl>
            <w:tblPr>
              <w:tblStyle w:val="33"/>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095"/>
              <w:gridCol w:w="2455"/>
              <w:gridCol w:w="889"/>
            </w:tblGrid>
            <w:tr w14:paraId="5B9B89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752" w:type="pct"/>
                  <w:tcBorders>
                    <w:tl2br w:val="nil"/>
                    <w:tr2bl w:val="nil"/>
                  </w:tcBorders>
                  <w:noWrap w:val="0"/>
                  <w:vAlign w:val="center"/>
                </w:tcPr>
                <w:p w14:paraId="4800A51F">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《包头市空气质量持续改善行动实施方案》</w:t>
                  </w:r>
                </w:p>
              </w:tc>
              <w:tc>
                <w:tcPr>
                  <w:tcW w:w="1650" w:type="pct"/>
                  <w:tcBorders>
                    <w:tl2br w:val="nil"/>
                    <w:tr2bl w:val="nil"/>
                  </w:tcBorders>
                  <w:noWrap w:val="0"/>
                  <w:vAlign w:val="center"/>
                </w:tcPr>
                <w:p w14:paraId="5B8B27B1">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本项目情况</w:t>
                  </w:r>
                </w:p>
              </w:tc>
              <w:tc>
                <w:tcPr>
                  <w:tcW w:w="597" w:type="pct"/>
                  <w:tcBorders>
                    <w:tl2br w:val="nil"/>
                    <w:tr2bl w:val="nil"/>
                  </w:tcBorders>
                  <w:noWrap w:val="0"/>
                  <w:vAlign w:val="center"/>
                </w:tcPr>
                <w:p w14:paraId="4A5485DA">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符合性</w:t>
                  </w:r>
                </w:p>
              </w:tc>
            </w:tr>
            <w:tr w14:paraId="0DBCC9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52" w:type="pct"/>
                  <w:tcBorders>
                    <w:tl2br w:val="nil"/>
                    <w:tr2bl w:val="nil"/>
                  </w:tcBorders>
                  <w:noWrap w:val="0"/>
                  <w:vAlign w:val="center"/>
                </w:tcPr>
                <w:p w14:paraId="297B7CFC">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坚决遏制高耗能、高排放、低水平项目盲目发展。推动新建《内蒙古自治区坚决遏制“两高一低”项 目盲目发展管控目录》中的重点管控项目向山北地区布局，并严格落实国家产业规划、产业政策、生态环境分区 管控方案、规划环评、项目环评、节能审查、产能置换、重点污染物总量控制、污染物排放区域削减、碳排放达 峰目标等相关要求，原则上采用清洁运输方式。</w:t>
                  </w:r>
                </w:p>
              </w:tc>
              <w:tc>
                <w:tcPr>
                  <w:tcW w:w="1650" w:type="pct"/>
                  <w:tcBorders>
                    <w:tl2br w:val="nil"/>
                    <w:tr2bl w:val="nil"/>
                  </w:tcBorders>
                  <w:noWrap w:val="0"/>
                  <w:vAlign w:val="center"/>
                </w:tcPr>
                <w:p w14:paraId="2312F7B7">
                  <w:pPr>
                    <w:pStyle w:val="40"/>
                    <w:bidi w:val="0"/>
                    <w:rPr>
                      <w:rFonts w:hint="default" w:ascii="Times New Roman" w:hAnsi="Times New Roman" w:cs="Times New Roman"/>
                      <w:lang w:val="en-US" w:eastAsia="zh-CN"/>
                    </w:rPr>
                  </w:pPr>
                  <w:r>
                    <w:rPr>
                      <w:rFonts w:hint="default" w:ascii="Times New Roman" w:hAnsi="Times New Roman" w:eastAsia="宋体" w:cs="Times New Roman"/>
                      <w:b w:val="0"/>
                      <w:bCs w:val="0"/>
                      <w:color w:val="auto"/>
                      <w:sz w:val="21"/>
                      <w:szCs w:val="21"/>
                      <w:vertAlign w:val="baseline"/>
                      <w:lang w:val="en-US" w:eastAsia="zh-CN"/>
                    </w:rPr>
                    <w:t>对照关于印发《内蒙古自治区坚决遏制“两高一低”项目盲目发展管控目录（2023年修订版）》的通知，本项目不在管控目录之内。</w:t>
                  </w:r>
                </w:p>
              </w:tc>
              <w:tc>
                <w:tcPr>
                  <w:tcW w:w="597" w:type="pct"/>
                  <w:tcBorders>
                    <w:tl2br w:val="nil"/>
                    <w:tr2bl w:val="nil"/>
                  </w:tcBorders>
                  <w:noWrap w:val="0"/>
                  <w:vAlign w:val="center"/>
                </w:tcPr>
                <w:p w14:paraId="4A7AB978">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相符</w:t>
                  </w:r>
                </w:p>
              </w:tc>
            </w:tr>
            <w:tr w14:paraId="0C6856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52" w:type="pct"/>
                  <w:tcBorders>
                    <w:tl2br w:val="nil"/>
                    <w:tr2bl w:val="nil"/>
                  </w:tcBorders>
                  <w:noWrap w:val="0"/>
                  <w:vAlign w:val="center"/>
                </w:tcPr>
                <w:p w14:paraId="24350604">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优化含VOCs原辅材料和产品结构。严格控制生产和使用高VOCs含量涂料、油墨、胶粘剂、清洗剂等建设项目，对现有使用企业制定实施低（无）VOCs含量原辅材料替代计划。全面推广低（无）VOCs含量涂料和胶粘剂在房屋建筑和市政工程中使用，除特殊功能要求外的室内地坪施工、室外构筑物防护和城市道路交通标志基本使用低（无）VOCs含量涂料。到2025年，溶剂型工业涂料、油墨使用比例比2020年分别降低20个百分点、10个百分点，溶剂型胶粘剂使用量降低20％。</w:t>
                  </w:r>
                </w:p>
              </w:tc>
              <w:tc>
                <w:tcPr>
                  <w:tcW w:w="1650" w:type="pct"/>
                  <w:tcBorders>
                    <w:tl2br w:val="nil"/>
                    <w:tr2bl w:val="nil"/>
                  </w:tcBorders>
                  <w:noWrap w:val="0"/>
                  <w:vAlign w:val="center"/>
                </w:tcPr>
                <w:p w14:paraId="24EAF563">
                  <w:pPr>
                    <w:pStyle w:val="40"/>
                    <w:bidi w:val="0"/>
                    <w:rPr>
                      <w:rFonts w:hint="default" w:ascii="Times New Roman" w:hAnsi="Times New Roman" w:cs="Times New Roman"/>
                      <w:lang w:val="en-US" w:eastAsia="zh-CN"/>
                    </w:rPr>
                  </w:pPr>
                  <w:r>
                    <w:rPr>
                      <w:rFonts w:hint="default" w:ascii="Times New Roman" w:hAnsi="Times New Roman" w:eastAsia="宋体" w:cs="Times New Roman"/>
                      <w:b w:val="0"/>
                      <w:bCs w:val="0"/>
                      <w:color w:val="auto"/>
                      <w:sz w:val="21"/>
                      <w:szCs w:val="21"/>
                      <w:vertAlign w:val="baseline"/>
                      <w:lang w:val="en-US" w:eastAsia="zh-CN"/>
                    </w:rPr>
                    <w:t>本项目气瓶检验线运行过程</w:t>
                  </w:r>
                  <w:r>
                    <w:rPr>
                      <w:rFonts w:hint="default" w:ascii="Times New Roman" w:hAnsi="Times New Roman" w:cs="Times New Roman"/>
                      <w:color w:val="auto"/>
                      <w:lang w:val="en-US" w:eastAsia="zh-CN"/>
                    </w:rPr>
                    <w:t>使用粉末涂料，粉末涂料VOCs含量限值符合国家标准。</w:t>
                  </w:r>
                  <w:r>
                    <w:rPr>
                      <w:rFonts w:hint="default" w:ascii="Times New Roman" w:hAnsi="Times New Roman" w:cs="Times New Roman"/>
                      <w:sz w:val="21"/>
                      <w:szCs w:val="21"/>
                      <w:lang w:val="en-US" w:eastAsia="zh-CN"/>
                    </w:rPr>
                    <w:t>丝印、固化废气产生量较小，废气集中收集后排放，可达标排放，</w:t>
                  </w:r>
                  <w:r>
                    <w:rPr>
                      <w:rFonts w:hint="default" w:ascii="Times New Roman" w:hAnsi="Times New Roman" w:cs="Times New Roman"/>
                      <w:color w:val="auto"/>
                      <w:sz w:val="21"/>
                      <w:szCs w:val="21"/>
                      <w:lang w:val="en-US" w:eastAsia="zh-CN"/>
                    </w:rPr>
                    <w:t>丝印工序使用油墨符合</w:t>
                  </w:r>
                  <w:r>
                    <w:rPr>
                      <w:rFonts w:hint="default" w:ascii="Times New Roman" w:hAnsi="Times New Roman" w:eastAsia="宋体" w:cs="Times New Roman"/>
                      <w:sz w:val="21"/>
                      <w:szCs w:val="21"/>
                      <w:lang w:val="en-US" w:eastAsia="zh-CN"/>
                    </w:rPr>
                    <w:t>《油墨中可挥发性有机化合物(VOCs)含量的限值》（GB38507-2020）</w:t>
                  </w:r>
                </w:p>
              </w:tc>
              <w:tc>
                <w:tcPr>
                  <w:tcW w:w="597" w:type="pct"/>
                  <w:tcBorders>
                    <w:tl2br w:val="nil"/>
                    <w:tr2bl w:val="nil"/>
                  </w:tcBorders>
                  <w:noWrap w:val="0"/>
                  <w:vAlign w:val="center"/>
                </w:tcPr>
                <w:p w14:paraId="594E0D37">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相符</w:t>
                  </w:r>
                </w:p>
              </w:tc>
            </w:tr>
            <w:tr w14:paraId="0285B5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52" w:type="pct"/>
                  <w:tcBorders>
                    <w:tl2br w:val="nil"/>
                    <w:tr2bl w:val="nil"/>
                  </w:tcBorders>
                  <w:noWrap w:val="0"/>
                  <w:vAlign w:val="center"/>
                </w:tcPr>
                <w:p w14:paraId="3A7F4332">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实施工业炉窑清洁能源替代。淘汰并禁止新建不符合产业政策的燃料类煤气发生炉，新、改、扩建加热炉、热处理炉、干燥炉、熔化炉原则上采用清洁低碳能源。安全稳妥推进使用高污染燃料的工业炉窑改用工业余热、电能、天然气等。推进燃料类煤气发生炉采用清洁能源替代，或因地制宜采取园区（集群）集中供气、分散使用。</w:t>
                  </w:r>
                </w:p>
              </w:tc>
              <w:tc>
                <w:tcPr>
                  <w:tcW w:w="1650" w:type="pct"/>
                  <w:tcBorders>
                    <w:tl2br w:val="nil"/>
                    <w:tr2bl w:val="nil"/>
                  </w:tcBorders>
                  <w:noWrap w:val="0"/>
                  <w:vAlign w:val="center"/>
                </w:tcPr>
                <w:p w14:paraId="32CEBE51">
                  <w:pPr>
                    <w:pStyle w:val="40"/>
                    <w:bidi w:val="0"/>
                    <w:rPr>
                      <w:rFonts w:hint="default" w:ascii="Times New Roman" w:hAnsi="Times New Roman" w:cs="Times New Roman"/>
                      <w:lang w:val="en-US" w:eastAsia="zh-CN"/>
                    </w:rPr>
                  </w:pPr>
                  <w:r>
                    <w:rPr>
                      <w:rFonts w:hint="default" w:ascii="Times New Roman" w:hAnsi="Times New Roman" w:cs="Times New Roman"/>
                    </w:rPr>
                    <w:t>项目</w:t>
                  </w:r>
                  <w:r>
                    <w:rPr>
                      <w:rFonts w:hint="default" w:ascii="Times New Roman" w:hAnsi="Times New Roman" w:cs="Times New Roman"/>
                      <w:lang w:val="en-US" w:eastAsia="zh-CN"/>
                    </w:rPr>
                    <w:t>气瓶检验生产线</w:t>
                  </w:r>
                  <w:r>
                    <w:rPr>
                      <w:rFonts w:hint="eastAsia" w:cs="Times New Roman"/>
                      <w:lang w:val="en-US" w:eastAsia="zh-CN"/>
                    </w:rPr>
                    <w:t>焚烧窑</w:t>
                  </w:r>
                  <w:r>
                    <w:rPr>
                      <w:rFonts w:hint="default" w:ascii="Times New Roman" w:hAnsi="Times New Roman" w:cs="Times New Roman"/>
                      <w:lang w:val="en-US" w:eastAsia="zh-CN"/>
                    </w:rPr>
                    <w:t>采用液化石油气作为燃料，生产运营过程中</w:t>
                  </w:r>
                  <w:r>
                    <w:rPr>
                      <w:rFonts w:hint="default" w:ascii="Times New Roman" w:hAnsi="Times New Roman" w:cs="Times New Roman"/>
                    </w:rPr>
                    <w:t>不</w:t>
                  </w:r>
                  <w:r>
                    <w:rPr>
                      <w:rFonts w:hint="default" w:ascii="Times New Roman" w:hAnsi="Times New Roman" w:cs="Times New Roman"/>
                      <w:lang w:val="en-US" w:eastAsia="zh-CN"/>
                    </w:rPr>
                    <w:t>销售及</w:t>
                  </w:r>
                  <w:r>
                    <w:rPr>
                      <w:rFonts w:hint="default" w:ascii="Times New Roman" w:hAnsi="Times New Roman" w:cs="Times New Roman"/>
                    </w:rPr>
                    <w:t>使用</w:t>
                  </w:r>
                  <w:r>
                    <w:rPr>
                      <w:rFonts w:hint="default" w:ascii="Times New Roman" w:hAnsi="Times New Roman" w:cs="Times New Roman"/>
                      <w:lang w:val="en-US" w:eastAsia="zh-CN"/>
                    </w:rPr>
                    <w:t>高污染</w:t>
                  </w:r>
                  <w:r>
                    <w:rPr>
                      <w:rFonts w:hint="default" w:ascii="Times New Roman" w:hAnsi="Times New Roman" w:cs="Times New Roman"/>
                    </w:rPr>
                    <w:t>燃料</w:t>
                  </w:r>
                  <w:r>
                    <w:rPr>
                      <w:rFonts w:hint="default" w:ascii="Times New Roman" w:hAnsi="Times New Roman" w:cs="Times New Roman"/>
                      <w:lang w:eastAsia="zh-CN"/>
                    </w:rPr>
                    <w:t>，</w:t>
                  </w:r>
                  <w:r>
                    <w:rPr>
                      <w:rFonts w:hint="default" w:ascii="Times New Roman" w:hAnsi="Times New Roman" w:cs="Times New Roman"/>
                      <w:lang w:val="en-US" w:eastAsia="zh-CN"/>
                    </w:rPr>
                    <w:t>不建设使用高污染燃料的设施</w:t>
                  </w:r>
                  <w:r>
                    <w:rPr>
                      <w:rFonts w:hint="default" w:ascii="Times New Roman" w:hAnsi="Times New Roman" w:cs="Times New Roman"/>
                    </w:rPr>
                    <w:t>。</w:t>
                  </w:r>
                </w:p>
              </w:tc>
              <w:tc>
                <w:tcPr>
                  <w:tcW w:w="597" w:type="pct"/>
                  <w:tcBorders>
                    <w:tl2br w:val="nil"/>
                    <w:tr2bl w:val="nil"/>
                  </w:tcBorders>
                  <w:noWrap w:val="0"/>
                  <w:vAlign w:val="center"/>
                </w:tcPr>
                <w:p w14:paraId="0CC5E52A">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相符</w:t>
                  </w:r>
                </w:p>
              </w:tc>
            </w:tr>
            <w:tr w14:paraId="7F4FB3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2752" w:type="pct"/>
                  <w:tcBorders>
                    <w:tl2br w:val="nil"/>
                    <w:tr2bl w:val="nil"/>
                  </w:tcBorders>
                  <w:noWrap w:val="0"/>
                  <w:vAlign w:val="center"/>
                </w:tcPr>
                <w:p w14:paraId="394E6692">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推进重点行业污染深度治理。高质量推进重点行业超低排放改造。2025年底前完成钢铁、焦化及65蒸吨/小时以上燃煤锅炉企业超低排放改造（排放限值参照燃煤电厂超低排放改造要求）。2028年底前完成全市 水泥行业的超低排放改造。推进燃气锅炉采用烟气再循环技术等先进工艺进行节能低氮改造，到2025年底主城区基本完成燃气锅炉节能低氮改造，氮氧化物排放限值参照北京市《锅炉大气污染物排放标准》（DB11/139- 2015）达到30毫克/立方米。坚持科学治污，通过采用先进治理工艺，协同推进减污降碳、节水减污，开展氮氧 化物近零排放试验，源头控制氮氧化物排放，在钢铁、火电、晶硅等行业企业推广减污节水协同增效技术。</w:t>
                  </w:r>
                </w:p>
              </w:tc>
              <w:tc>
                <w:tcPr>
                  <w:tcW w:w="1650" w:type="pct"/>
                  <w:tcBorders>
                    <w:tl2br w:val="nil"/>
                    <w:tr2bl w:val="nil"/>
                  </w:tcBorders>
                  <w:noWrap w:val="0"/>
                  <w:vAlign w:val="center"/>
                </w:tcPr>
                <w:p w14:paraId="5E68EB2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本项目不新建锅炉，</w:t>
                  </w:r>
                  <w:r>
                    <w:rPr>
                      <w:rFonts w:hint="default" w:ascii="Times New Roman" w:hAnsi="Times New Roman" w:cs="Times New Roman"/>
                    </w:rPr>
                    <w:t>项目</w:t>
                  </w:r>
                  <w:r>
                    <w:rPr>
                      <w:rFonts w:hint="default" w:ascii="Times New Roman" w:hAnsi="Times New Roman" w:cs="Times New Roman"/>
                      <w:lang w:val="en-US" w:eastAsia="zh-CN"/>
                    </w:rPr>
                    <w:t>气瓶检验生产线</w:t>
                  </w:r>
                  <w:r>
                    <w:rPr>
                      <w:rFonts w:hint="eastAsia" w:cs="Times New Roman"/>
                      <w:lang w:val="en-US" w:eastAsia="zh-CN"/>
                    </w:rPr>
                    <w:t>焚烧</w:t>
                  </w:r>
                  <w:r>
                    <w:rPr>
                      <w:rFonts w:hint="default" w:ascii="Times New Roman" w:hAnsi="Times New Roman" w:cs="Times New Roman"/>
                      <w:lang w:val="en-US" w:eastAsia="zh-CN"/>
                    </w:rPr>
                    <w:t>窑采用石油气作为燃料，采用低氮燃烧技术。</w:t>
                  </w:r>
                </w:p>
              </w:tc>
              <w:tc>
                <w:tcPr>
                  <w:tcW w:w="597" w:type="pct"/>
                  <w:tcBorders>
                    <w:tl2br w:val="nil"/>
                    <w:tr2bl w:val="nil"/>
                  </w:tcBorders>
                  <w:noWrap w:val="0"/>
                  <w:vAlign w:val="center"/>
                </w:tcPr>
                <w:p w14:paraId="4EEE845E">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相符</w:t>
                  </w:r>
                </w:p>
              </w:tc>
            </w:tr>
            <w:tr w14:paraId="121F1D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2752" w:type="pct"/>
                  <w:tcBorders>
                    <w:tl2br w:val="nil"/>
                    <w:tr2bl w:val="nil"/>
                  </w:tcBorders>
                  <w:noWrap w:val="0"/>
                  <w:vAlign w:val="center"/>
                </w:tcPr>
                <w:p w14:paraId="42BD89DB">
                  <w:pPr>
                    <w:pStyle w:val="40"/>
                    <w:bidi w:val="0"/>
                    <w:rPr>
                      <w:rFonts w:hint="default" w:ascii="Times New Roman" w:hAnsi="Times New Roman" w:cs="Times New Roman"/>
                      <w:lang w:val="en-US" w:eastAsia="zh-CN"/>
                    </w:rPr>
                  </w:pPr>
                  <w:r>
                    <w:rPr>
                      <w:rFonts w:hint="default" w:ascii="Times New Roman" w:hAnsi="Times New Roman" w:cs="Times New Roman"/>
                    </w:rPr>
                    <w:t>强化VOCs全流程、全环节综合治理。大力推行先进生产工艺和高效治污设施，新建项目配套建设高效VOCs治理设施，推动采用单一低温等离子、光氧化、光催化、非水溶性VOCs废气采用单一水喷淋吸收及上述技术的组合工艺（恶臭、异味治理除外）进行更新或技术改造。</w:t>
                  </w:r>
                </w:p>
              </w:tc>
              <w:tc>
                <w:tcPr>
                  <w:tcW w:w="1650" w:type="pct"/>
                  <w:tcBorders>
                    <w:tl2br w:val="nil"/>
                    <w:tr2bl w:val="nil"/>
                  </w:tcBorders>
                  <w:noWrap w:val="0"/>
                  <w:vAlign w:val="center"/>
                </w:tcPr>
                <w:p w14:paraId="3E88FE11">
                  <w:pPr>
                    <w:pStyle w:val="40"/>
                    <w:bidi w:val="0"/>
                    <w:rPr>
                      <w:rFonts w:hint="default" w:ascii="Times New Roman" w:hAnsi="Times New Roman" w:cs="Times New Roman"/>
                      <w:lang w:val="en-US" w:eastAsia="zh-CN"/>
                    </w:rPr>
                  </w:pPr>
                  <w:r>
                    <w:rPr>
                      <w:rFonts w:hint="default" w:ascii="Times New Roman" w:hAnsi="Times New Roman" w:cs="Times New Roman"/>
                      <w:color w:val="auto"/>
                      <w:lang w:val="en-US" w:eastAsia="zh-CN"/>
                    </w:rPr>
                    <w:t>液化石油气、丙烷气体</w:t>
                  </w:r>
                  <w:r>
                    <w:rPr>
                      <w:rFonts w:hint="default" w:ascii="Times New Roman" w:hAnsi="Times New Roman" w:cs="Times New Roman"/>
                      <w:color w:val="auto"/>
                      <w:lang w:eastAsia="zh-CN"/>
                    </w:rPr>
                    <w:t>槽车卸料至储罐的过程中储罐泄压废气、储罐呼吸废气及钢瓶充装废气</w:t>
                  </w:r>
                  <w:r>
                    <w:rPr>
                      <w:rFonts w:hint="default" w:ascii="Times New Roman" w:hAnsi="Times New Roman" w:cs="Times New Roman"/>
                      <w:color w:val="auto"/>
                      <w:lang w:val="en-US" w:eastAsia="zh-CN"/>
                    </w:rPr>
                    <w:t>排放少量非甲烷总烃，以无组织形式逸散。喷塑工序使用粉末涂料，粉末涂料VOCs含量限值符合国家标准。</w:t>
                  </w:r>
                  <w:r>
                    <w:rPr>
                      <w:rFonts w:hint="default" w:ascii="Times New Roman" w:hAnsi="Times New Roman" w:cs="Times New Roman"/>
                      <w:sz w:val="21"/>
                      <w:szCs w:val="21"/>
                      <w:lang w:val="en-US" w:eastAsia="zh-CN"/>
                    </w:rPr>
                    <w:t>丝印、固化废气产生量较小，废气集中收集后排放，可达标排放。</w:t>
                  </w:r>
                </w:p>
              </w:tc>
              <w:tc>
                <w:tcPr>
                  <w:tcW w:w="597" w:type="pct"/>
                  <w:tcBorders>
                    <w:tl2br w:val="nil"/>
                    <w:tr2bl w:val="nil"/>
                  </w:tcBorders>
                  <w:noWrap w:val="0"/>
                  <w:vAlign w:val="center"/>
                </w:tcPr>
                <w:p w14:paraId="3CC4418C">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相符</w:t>
                  </w:r>
                </w:p>
              </w:tc>
            </w:tr>
          </w:tbl>
          <w:p w14:paraId="2A534B78">
            <w:pPr>
              <w:widowControl/>
              <w:numPr>
                <w:ilvl w:val="0"/>
                <w:numId w:val="0"/>
              </w:numPr>
              <w:spacing w:line="360" w:lineRule="auto"/>
              <w:ind w:firstLine="482" w:firstLineChars="200"/>
              <w:rPr>
                <w:rFonts w:hint="default" w:ascii="Times New Roman" w:hAnsi="Times New Roman" w:cs="Times New Roman"/>
                <w:b/>
                <w:bCs/>
                <w:color w:val="0000FF"/>
                <w:sz w:val="24"/>
                <w:lang w:val="en-US" w:eastAsia="zh-CN"/>
              </w:rPr>
            </w:pPr>
            <w:r>
              <w:rPr>
                <w:rFonts w:hint="eastAsia" w:cs="Times New Roman"/>
                <w:b/>
                <w:bCs/>
                <w:color w:val="0000FF"/>
                <w:sz w:val="24"/>
                <w:lang w:val="en-US" w:eastAsia="zh-CN"/>
              </w:rPr>
              <w:t>8、与《内蒙古自治区工业炉窑大气污染综合治理实施方案》符合性分析</w:t>
            </w:r>
          </w:p>
          <w:p w14:paraId="5D3D680E">
            <w:pPr>
              <w:widowControl/>
              <w:numPr>
                <w:ilvl w:val="0"/>
                <w:numId w:val="0"/>
              </w:numPr>
              <w:spacing w:line="360" w:lineRule="auto"/>
              <w:ind w:firstLine="482" w:firstLineChars="200"/>
              <w:rPr>
                <w:rFonts w:hint="eastAsia" w:cs="Times New Roman"/>
                <w:b/>
                <w:bCs/>
                <w:color w:val="0000FF"/>
                <w:sz w:val="24"/>
                <w:lang w:val="en-US" w:eastAsia="zh-CN"/>
              </w:rPr>
            </w:pPr>
            <w:r>
              <w:rPr>
                <w:rFonts w:hint="eastAsia" w:cs="Times New Roman"/>
                <w:b/>
                <w:bCs/>
                <w:color w:val="0000FF"/>
                <w:sz w:val="24"/>
                <w:lang w:val="en-US" w:eastAsia="zh-CN"/>
              </w:rPr>
              <w:t>（一）加大产业结构调整力度</w:t>
            </w:r>
          </w:p>
          <w:p w14:paraId="1BCE44D2">
            <w:pPr>
              <w:widowControl/>
              <w:numPr>
                <w:ilvl w:val="0"/>
                <w:numId w:val="0"/>
              </w:numPr>
              <w:spacing w:line="360" w:lineRule="auto"/>
              <w:ind w:firstLine="482" w:firstLineChars="200"/>
              <w:rPr>
                <w:rFonts w:hint="eastAsia" w:cs="Times New Roman"/>
                <w:b w:val="0"/>
                <w:bCs w:val="0"/>
                <w:color w:val="0000FF"/>
                <w:sz w:val="24"/>
                <w:lang w:val="en-US" w:eastAsia="zh-CN"/>
              </w:rPr>
            </w:pPr>
            <w:r>
              <w:rPr>
                <w:rFonts w:hint="eastAsia" w:cs="Times New Roman"/>
                <w:b/>
                <w:bCs/>
                <w:color w:val="0000FF"/>
                <w:sz w:val="24"/>
                <w:lang w:val="en-US" w:eastAsia="zh-CN"/>
              </w:rPr>
              <w:t>优化调整产业布局。</w:t>
            </w:r>
            <w:r>
              <w:rPr>
                <w:rFonts w:hint="eastAsia" w:cs="Times New Roman"/>
                <w:b w:val="0"/>
                <w:bCs w:val="0"/>
                <w:color w:val="0000FF"/>
                <w:sz w:val="24"/>
                <w:lang w:val="en-US" w:eastAsia="zh-CN"/>
              </w:rPr>
              <w:t>严格新改扩建项目环境准入，新建涉工业炉窑的建设项目，原则上要进入园区，配套建设高效环保治理设施。禁止在自然保护区、饮用水水源保护区、风景名胜区等敏感区域内新建、扩建、改建工业炉窑。各盟市应制定计划，对位于城市建成区范围内涉工业炉窑的钢铁、石化、化工、有色、水泥等高耗能、高排放企业完成搬迁、改造。</w:t>
            </w:r>
          </w:p>
          <w:p w14:paraId="509E64EF">
            <w:pPr>
              <w:widowControl/>
              <w:numPr>
                <w:ilvl w:val="0"/>
                <w:numId w:val="0"/>
              </w:numPr>
              <w:spacing w:line="360" w:lineRule="auto"/>
              <w:ind w:firstLine="480" w:firstLineChars="200"/>
              <w:rPr>
                <w:rFonts w:hint="eastAsia" w:cs="Times New Roman"/>
                <w:b w:val="0"/>
                <w:bCs w:val="0"/>
                <w:color w:val="0000FF"/>
                <w:sz w:val="24"/>
                <w:lang w:val="en-US" w:eastAsia="zh-CN"/>
              </w:rPr>
            </w:pPr>
            <w:r>
              <w:rPr>
                <w:rFonts w:hint="eastAsia" w:cs="Times New Roman"/>
                <w:b w:val="0"/>
                <w:bCs w:val="0"/>
                <w:color w:val="0000FF"/>
                <w:sz w:val="24"/>
                <w:lang w:val="en-US" w:eastAsia="zh-CN"/>
              </w:rPr>
              <w:t>本项目新建1座链式焚烧炉，位于内蒙古包头九原工业园区</w:t>
            </w:r>
            <w:r>
              <w:rPr>
                <w:rFonts w:hint="default" w:ascii="Times New Roman" w:hAnsi="Times New Roman" w:cs="Times New Roman"/>
                <w:color w:val="0000FF"/>
                <w:sz w:val="24"/>
                <w:szCs w:val="32"/>
              </w:rPr>
              <w:t>—新材料产业园</w:t>
            </w:r>
            <w:r>
              <w:rPr>
                <w:rFonts w:hint="eastAsia" w:cs="Times New Roman"/>
                <w:color w:val="0000FF"/>
                <w:sz w:val="24"/>
                <w:szCs w:val="32"/>
                <w:lang w:val="en-US" w:eastAsia="zh-CN"/>
              </w:rPr>
              <w:t>内，不涉及</w:t>
            </w:r>
            <w:r>
              <w:rPr>
                <w:rFonts w:hint="eastAsia" w:cs="Times New Roman"/>
                <w:b w:val="0"/>
                <w:bCs w:val="0"/>
                <w:color w:val="0000FF"/>
                <w:sz w:val="24"/>
                <w:lang w:val="en-US" w:eastAsia="zh-CN"/>
              </w:rPr>
              <w:t>自然保护区、饮用水水源保护区、风景名胜区等敏感区域。</w:t>
            </w:r>
          </w:p>
          <w:p w14:paraId="7D3467CF">
            <w:pPr>
              <w:widowControl/>
              <w:numPr>
                <w:ilvl w:val="0"/>
                <w:numId w:val="0"/>
              </w:numPr>
              <w:spacing w:line="360" w:lineRule="auto"/>
              <w:ind w:firstLine="482" w:firstLineChars="200"/>
              <w:rPr>
                <w:rFonts w:hint="eastAsia" w:cs="Times New Roman"/>
                <w:b/>
                <w:bCs/>
                <w:color w:val="0000FF"/>
                <w:sz w:val="24"/>
                <w:lang w:val="en-US" w:eastAsia="zh-CN"/>
              </w:rPr>
            </w:pPr>
            <w:r>
              <w:rPr>
                <w:rFonts w:hint="eastAsia" w:cs="Times New Roman"/>
                <w:b/>
                <w:bCs/>
                <w:color w:val="0000FF"/>
                <w:sz w:val="24"/>
                <w:lang w:val="en-US" w:eastAsia="zh-CN"/>
              </w:rPr>
              <w:t>（三）大力实施工业炉窑深度治理</w:t>
            </w:r>
          </w:p>
          <w:p w14:paraId="28C54F1D">
            <w:pPr>
              <w:widowControl/>
              <w:numPr>
                <w:ilvl w:val="0"/>
                <w:numId w:val="0"/>
              </w:numPr>
              <w:spacing w:line="360" w:lineRule="auto"/>
              <w:ind w:firstLine="482" w:firstLineChars="200"/>
              <w:rPr>
                <w:rFonts w:hint="eastAsia" w:cs="Times New Roman"/>
                <w:b w:val="0"/>
                <w:bCs w:val="0"/>
                <w:color w:val="0000FF"/>
                <w:sz w:val="24"/>
                <w:lang w:val="en-US" w:eastAsia="zh-CN"/>
              </w:rPr>
            </w:pPr>
            <w:r>
              <w:rPr>
                <w:rFonts w:hint="eastAsia" w:cs="Times New Roman"/>
                <w:b/>
                <w:bCs/>
                <w:color w:val="0000FF"/>
                <w:sz w:val="24"/>
                <w:lang w:val="en-US" w:eastAsia="zh-CN"/>
              </w:rPr>
              <w:t>推进工业炉窑全面达标排放。</w:t>
            </w:r>
            <w:r>
              <w:rPr>
                <w:rFonts w:hint="eastAsia" w:cs="Times New Roman"/>
                <w:b w:val="0"/>
                <w:bCs w:val="0"/>
                <w:color w:val="0000FF"/>
                <w:sz w:val="24"/>
                <w:lang w:val="en-US" w:eastAsia="zh-CN"/>
              </w:rPr>
              <w:t>根据国家已颁布的行业排放标准（见附表4），配套建设高效脱硫脱硝除尘设施（见附表5），实施工业炉窑深度治理，推进我区工业炉窑全面达标排放。暂未制订行业排放标准的工业炉窑，包括铸造，日用玻璃，玻璃纤维、耐火材料、石灰、矿物棉等建材行业，钨、工业硅、金属冶炼废渣（灰）二次提取等有色金属行业，氮肥、电石、无机磷、活性炭等化工行业，应参照相关行业已出台的标准，全面加大污染治理力度（见附表5）；铸造行业烧结、高炉工序污染排放控制按照钢铁行业相关标准要求执行。</w:t>
            </w:r>
          </w:p>
          <w:p w14:paraId="1A53E018">
            <w:pPr>
              <w:widowControl/>
              <w:numPr>
                <w:ilvl w:val="0"/>
                <w:numId w:val="0"/>
              </w:numPr>
              <w:spacing w:line="360" w:lineRule="auto"/>
              <w:ind w:firstLine="480" w:firstLineChars="200"/>
              <w:rPr>
                <w:rFonts w:hint="eastAsia" w:cs="Times New Roman"/>
                <w:b w:val="0"/>
                <w:bCs w:val="0"/>
                <w:color w:val="0000FF"/>
                <w:sz w:val="24"/>
                <w:lang w:val="en-US" w:eastAsia="zh-CN"/>
              </w:rPr>
            </w:pPr>
            <w:r>
              <w:rPr>
                <w:rFonts w:hint="eastAsia" w:cs="Times New Roman"/>
                <w:b w:val="0"/>
                <w:bCs w:val="0"/>
                <w:color w:val="0000FF"/>
                <w:sz w:val="24"/>
                <w:lang w:val="en-US" w:eastAsia="zh-CN"/>
              </w:rPr>
              <w:t>我区重点区域内有色金属冶炼（不含氧化铝）、钢铁、水泥、平板玻璃、焦化、石化和化工等行业，二氧化硫、氮氧化物、颗粒物、挥发性有机物从2020年1月1日起全面执行大气污染物特别排放限值，国家、自治区排放标准中未规定大气污染物特别排放限值的行业，执行现有排放标准。已核发排污许可证的，严格执行许可要求。</w:t>
            </w:r>
          </w:p>
          <w:p w14:paraId="2858E3B1">
            <w:pPr>
              <w:widowControl/>
              <w:numPr>
                <w:ilvl w:val="0"/>
                <w:numId w:val="0"/>
              </w:numPr>
              <w:spacing w:line="360" w:lineRule="auto"/>
              <w:ind w:firstLine="480" w:firstLineChars="200"/>
              <w:rPr>
                <w:rFonts w:hint="default" w:cs="Times New Roman"/>
                <w:b w:val="0"/>
                <w:bCs w:val="0"/>
                <w:color w:val="0000FF"/>
                <w:sz w:val="24"/>
                <w:lang w:val="en-US" w:eastAsia="zh-CN"/>
              </w:rPr>
            </w:pPr>
            <w:r>
              <w:rPr>
                <w:rFonts w:hint="eastAsia" w:cs="Times New Roman"/>
                <w:b w:val="0"/>
                <w:bCs w:val="0"/>
                <w:color w:val="0000FF"/>
                <w:sz w:val="24"/>
                <w:lang w:val="en-US" w:eastAsia="zh-CN"/>
              </w:rPr>
              <w:t>本项目新建1座链式焚烧炉，对照上述附表4“现有涉工业炉窑行业大气污染物排放标准”，本项目不属于表中已有行业排放标准的行业范畴，因此本项目焚烧炉属于“其他”类，废气执行《工业炉窑大气污染物排放标准》（GB 9078-1996）。</w:t>
            </w:r>
          </w:p>
          <w:p w14:paraId="4C8CA692">
            <w:pPr>
              <w:widowControl/>
              <w:numPr>
                <w:ilvl w:val="0"/>
                <w:numId w:val="0"/>
              </w:numPr>
              <w:spacing w:line="360" w:lineRule="auto"/>
              <w:ind w:firstLine="482" w:firstLineChars="200"/>
              <w:rPr>
                <w:rFonts w:hint="default" w:ascii="Times New Roman" w:hAnsi="Times New Roman" w:eastAsia="宋体" w:cs="Times New Roman"/>
                <w:b/>
                <w:bCs/>
                <w:sz w:val="24"/>
                <w:lang w:val="en-US" w:eastAsia="zh-CN"/>
              </w:rPr>
            </w:pPr>
            <w:r>
              <w:rPr>
                <w:rFonts w:hint="eastAsia" w:cs="Times New Roman"/>
                <w:b/>
                <w:bCs/>
                <w:sz w:val="24"/>
                <w:lang w:val="en-US" w:eastAsia="zh-CN"/>
              </w:rPr>
              <w:t>9</w:t>
            </w:r>
            <w:r>
              <w:rPr>
                <w:rFonts w:hint="default" w:ascii="Times New Roman" w:hAnsi="Times New Roman" w:eastAsia="宋体" w:cs="Times New Roman"/>
                <w:b/>
                <w:bCs/>
                <w:sz w:val="24"/>
                <w:lang w:val="en-US" w:eastAsia="zh-CN"/>
              </w:rPr>
              <w:t>、与《油墨中可挥发性有机化合物(VOCs)含量的限值》（GB38507-2020）符合性分析</w:t>
            </w:r>
          </w:p>
          <w:p w14:paraId="02D1F6CC">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对照《油墨中可挥发性有机化合物(VOCs)含量的限值》（GB38507-2020）相关内容，结合企业提供的资料，本项目相关符合性分析如下：</w:t>
            </w:r>
          </w:p>
          <w:p w14:paraId="0371382D">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“二、油墨中VOCs限量要求”</w:t>
            </w:r>
          </w:p>
          <w:p w14:paraId="2899BBBF">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1、溶剂油墨：凹印油墨&lt;80%，柔印油墨&lt;75%，喷墨印刷油墨&lt;95%，网印油墨≤90%；</w:t>
            </w:r>
          </w:p>
          <w:p w14:paraId="60F6C3AF">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2、水性油墨：凹印油墨&lt;30%，柔印油墨：用于吸收性承印物≤10%；用于非及收性承印物≤30%，喷墨印刷油墨≤30%，网印油墨≤30%；</w:t>
            </w:r>
          </w:p>
          <w:p w14:paraId="04C27339">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3、胶印油墨：单张胶印油墨≤3%，冷固轮转油量≤3%，热固轮转油墨≤10%；</w:t>
            </w:r>
          </w:p>
          <w:p w14:paraId="66C5AE18">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4、能量固化油墨：胶印油墨≤2%，柔印油墨≤5%，网印油墨≤5%，喷墨印刷油墨≤10%，凹印油墨≤10%；</w:t>
            </w:r>
          </w:p>
          <w:p w14:paraId="04A2B683">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5、雕刻凹印油墨：&lt;20%；</w:t>
            </w:r>
          </w:p>
          <w:p w14:paraId="72F101D3">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6、其他油墨及类似产品：≤95%。</w:t>
            </w:r>
          </w:p>
          <w:p w14:paraId="44CB429F">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本项目钢瓶检验生产线钢瓶印字环节使用油墨，外购的油墨已经与稀释剂调配好，可以直接使用，主要成分：丙烯酸树脂20%、颜料15%、环己酮65%。油墨VOCs含量为65%，符合《油墨中可挥发性有机化合物(VOCs)含量的限值》(GB38507-2020)中表1溶剂型油墨-丝印油墨含量限值要求(&lt;75%)</w:t>
            </w:r>
          </w:p>
          <w:p w14:paraId="0CECD7D8">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本项目钢瓶检验生产线钢瓶喷塑环节使用塑粉，外购塑粉主要成分环氧树脂39%，聚酯树脂39%，颜料19.5%，助剂2.5%。根据《低挥发性有机化合物含量涂料产品技术要求》(GB/T38597-2020)8.1:粉末涂料、无机建筑涂料(含建筑无机粉体涂装材料)、建筑用有机粉体涂料产品中VOC含量通常很少，属于低挥发性有机化合物含量涂料产品，本项目使用塑粉为低VOC含量涂料。</w:t>
            </w:r>
          </w:p>
          <w:p w14:paraId="3830AB93">
            <w:pPr>
              <w:widowControl/>
              <w:numPr>
                <w:ilvl w:val="0"/>
                <w:numId w:val="0"/>
              </w:numPr>
              <w:spacing w:line="360" w:lineRule="auto"/>
              <w:ind w:firstLine="482" w:firstLineChars="200"/>
              <w:rPr>
                <w:rFonts w:hint="default" w:ascii="Times New Roman" w:hAnsi="Times New Roman" w:cs="Times New Roman"/>
                <w:b/>
                <w:bCs/>
                <w:sz w:val="24"/>
                <w:lang w:val="en-US" w:eastAsia="zh-CN"/>
              </w:rPr>
            </w:pPr>
            <w:r>
              <w:rPr>
                <w:rFonts w:hint="eastAsia" w:cs="Times New Roman"/>
                <w:b/>
                <w:bCs/>
                <w:sz w:val="24"/>
                <w:lang w:val="en-US" w:eastAsia="zh-CN"/>
              </w:rPr>
              <w:t>10</w:t>
            </w:r>
            <w:r>
              <w:rPr>
                <w:rFonts w:hint="default" w:ascii="Times New Roman" w:hAnsi="Times New Roman" w:cs="Times New Roman"/>
                <w:b/>
                <w:bCs/>
                <w:sz w:val="24"/>
                <w:lang w:val="en-US" w:eastAsia="zh-CN"/>
              </w:rPr>
              <w:t>、选址合理性</w:t>
            </w:r>
          </w:p>
          <w:p w14:paraId="016EC927">
            <w:pPr>
              <w:keepNext w:val="0"/>
              <w:keepLines w:val="0"/>
              <w:pageBreakBefore w:val="0"/>
              <w:kinsoku/>
              <w:wordWrap/>
              <w:overflowPunct/>
              <w:topLinePunct w:val="0"/>
              <w:bidi w:val="0"/>
              <w:adjustRightInd/>
              <w:snapToGrid/>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本项目位于</w:t>
            </w:r>
            <w:r>
              <w:rPr>
                <w:rFonts w:hint="default" w:ascii="Times New Roman" w:hAnsi="Times New Roman" w:cs="Times New Roman"/>
                <w:color w:val="0000FF"/>
                <w:sz w:val="24"/>
                <w:szCs w:val="24"/>
                <w:lang w:val="en-US" w:eastAsia="zh-CN"/>
              </w:rPr>
              <w:t>内蒙古包头九原工业园区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cs="Times New Roman"/>
                <w:color w:val="auto"/>
                <w:sz w:val="24"/>
                <w:szCs w:val="24"/>
                <w:lang w:val="en-US" w:eastAsia="zh-CN"/>
              </w:rPr>
              <w:t>新型化工与高分子新材料产业区，用地性质为工业用地。</w:t>
            </w:r>
            <w:r>
              <w:rPr>
                <w:rFonts w:hint="default" w:ascii="Times New Roman" w:hAnsi="Times New Roman" w:cs="Times New Roman"/>
                <w:sz w:val="24"/>
                <w:szCs w:val="32"/>
              </w:rPr>
              <w:t>项目选址符合国家产业政策</w:t>
            </w:r>
            <w:r>
              <w:rPr>
                <w:rFonts w:hint="default" w:ascii="Times New Roman" w:hAnsi="Times New Roman" w:cs="Times New Roman"/>
                <w:sz w:val="24"/>
                <w:szCs w:val="32"/>
                <w:lang w:eastAsia="zh-CN"/>
              </w:rPr>
              <w:t>，</w:t>
            </w:r>
            <w:r>
              <w:rPr>
                <w:rFonts w:hint="default" w:ascii="Times New Roman" w:hAnsi="Times New Roman" w:cs="Times New Roman"/>
                <w:color w:val="auto"/>
                <w:sz w:val="24"/>
                <w:szCs w:val="24"/>
                <w:lang w:val="en-US" w:eastAsia="zh-CN"/>
              </w:rPr>
              <w:t>本项目</w:t>
            </w:r>
            <w:r>
              <w:rPr>
                <w:rFonts w:hint="default" w:ascii="Times New Roman" w:hAnsi="Times New Roman" w:eastAsia="宋体" w:cs="Times New Roman"/>
                <w:color w:val="auto"/>
                <w:sz w:val="24"/>
                <w:szCs w:val="24"/>
                <w:shd w:val="clear" w:color="auto" w:fill="auto"/>
                <w:lang w:val="en-US" w:eastAsia="zh-CN"/>
              </w:rPr>
              <w:t>属于园区主导产业的配套相关产业，</w:t>
            </w:r>
            <w:r>
              <w:rPr>
                <w:rFonts w:hint="default" w:ascii="Times New Roman" w:hAnsi="Times New Roman" w:cs="Times New Roman"/>
                <w:color w:val="auto"/>
                <w:sz w:val="24"/>
                <w:szCs w:val="24"/>
                <w:lang w:val="en-US" w:eastAsia="zh-CN"/>
              </w:rPr>
              <w:t>符合园区规划及规划环评，生态环境分区管控要求，从环保角度分析，主要生产装置区距下风向居住人群较远，有利于减轻废气、噪声等对人群的影响。从环境影响评价结果看，本项目建成投产后，项目运营过程中排放的废气、废水和噪声均能达标排放，固体废弃物均得到妥善处置，对评价区环境质量影响较小，不会改变园区环境功能。项目环境风险可控。</w:t>
            </w:r>
          </w:p>
          <w:p w14:paraId="56CB57F5">
            <w:pPr>
              <w:keepNext w:val="0"/>
              <w:keepLines w:val="0"/>
              <w:pageBreakBefore w:val="0"/>
              <w:kinsoku/>
              <w:wordWrap/>
              <w:overflowPunct/>
              <w:topLinePunct w:val="0"/>
              <w:bidi w:val="0"/>
              <w:adjustRightInd/>
              <w:snapToGrid/>
              <w:spacing w:line="360" w:lineRule="auto"/>
              <w:ind w:firstLine="480" w:firstLineChars="200"/>
              <w:rPr>
                <w:rFonts w:hint="default" w:ascii="Times New Roman" w:hAnsi="Times New Roman" w:cs="Times New Roman"/>
                <w:lang w:val="en-US" w:eastAsia="zh-CN"/>
              </w:rPr>
            </w:pPr>
            <w:r>
              <w:rPr>
                <w:rFonts w:hint="default" w:ascii="Times New Roman" w:hAnsi="Times New Roman" w:cs="Times New Roman"/>
                <w:color w:val="auto"/>
                <w:sz w:val="24"/>
                <w:szCs w:val="24"/>
                <w:lang w:val="en-US" w:eastAsia="zh-CN"/>
              </w:rPr>
              <w:t>综上分析，本项目选址合理。</w:t>
            </w:r>
          </w:p>
        </w:tc>
      </w:tr>
    </w:tbl>
    <w:p w14:paraId="1033782C">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br w:type="page"/>
      </w:r>
      <w:r>
        <w:rPr>
          <w:rFonts w:hint="default" w:ascii="Times New Roman" w:hAnsi="Times New Roman" w:eastAsia="黑体" w:cs="Times New Roman"/>
          <w:snapToGrid w:val="0"/>
          <w:color w:val="auto"/>
          <w:sz w:val="30"/>
          <w:szCs w:val="30"/>
        </w:rPr>
        <w:t>二、建设项目工程分析</w:t>
      </w: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7"/>
        <w:gridCol w:w="8213"/>
      </w:tblGrid>
      <w:tr w14:paraId="6EB240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60" w:hRule="atLeast"/>
          <w:jc w:val="center"/>
        </w:trPr>
        <w:tc>
          <w:tcPr>
            <w:tcW w:w="749" w:type="dxa"/>
            <w:noWrap w:val="0"/>
            <w:vAlign w:val="center"/>
          </w:tcPr>
          <w:p w14:paraId="16203CD5">
            <w:pPr>
              <w:pStyle w:val="26"/>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4"/>
                <w:szCs w:val="24"/>
              </w:rPr>
              <w:t>建设内容</w:t>
            </w:r>
          </w:p>
        </w:tc>
        <w:tc>
          <w:tcPr>
            <w:tcW w:w="8141" w:type="dxa"/>
            <w:noWrap w:val="0"/>
            <w:vAlign w:val="top"/>
          </w:tcPr>
          <w:p w14:paraId="6F8A58C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1、项目由来</w:t>
            </w:r>
          </w:p>
          <w:p w14:paraId="1069BF28">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b w:val="0"/>
                <w:bCs w:val="0"/>
                <w:color w:val="0000FF"/>
                <w:sz w:val="24"/>
                <w:szCs w:val="24"/>
                <w:lang w:val="en-US" w:eastAsia="zh-CN"/>
              </w:rPr>
            </w:pPr>
            <w:r>
              <w:rPr>
                <w:rFonts w:hint="default" w:ascii="Times New Roman" w:hAnsi="Times New Roman" w:eastAsia="宋体" w:cs="Times New Roman"/>
                <w:color w:val="0000FF"/>
                <w:kern w:val="2"/>
                <w:sz w:val="24"/>
                <w:szCs w:val="24"/>
                <w:lang w:val="en-US" w:eastAsia="zh-CN" w:bidi="ar-SA"/>
              </w:rPr>
              <w:t>2022年，包头市安达立气瓶技术开发有限责任公司（以下简称安达立公司）拟在</w:t>
            </w:r>
            <w:r>
              <w:rPr>
                <w:rFonts w:hint="eastAsia" w:cs="Times New Roman"/>
                <w:color w:val="0000FF"/>
                <w:kern w:val="2"/>
                <w:sz w:val="24"/>
                <w:szCs w:val="24"/>
                <w:lang w:val="en-US" w:eastAsia="zh-CN" w:bidi="ar-SA"/>
              </w:rPr>
              <w:t>内蒙古包头</w:t>
            </w:r>
            <w:r>
              <w:rPr>
                <w:rFonts w:hint="default" w:ascii="Times New Roman" w:hAnsi="Times New Roman" w:eastAsia="宋体" w:cs="Times New Roman"/>
                <w:color w:val="0000FF"/>
                <w:kern w:val="2"/>
                <w:sz w:val="24"/>
                <w:szCs w:val="24"/>
                <w:lang w:val="en-US" w:eastAsia="zh-CN" w:bidi="ar-SA"/>
              </w:rPr>
              <w:t>九原工业</w:t>
            </w:r>
            <w:r>
              <w:rPr>
                <w:rFonts w:hint="default" w:ascii="Times New Roman" w:hAnsi="Times New Roman" w:cs="Times New Roman"/>
                <w:b w:val="0"/>
                <w:bCs w:val="0"/>
                <w:color w:val="0000FF"/>
                <w:sz w:val="24"/>
                <w:lang w:val="en-US" w:eastAsia="zh-CN"/>
              </w:rPr>
              <w:t>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cs="Times New Roman"/>
                <w:b w:val="0"/>
                <w:bCs w:val="0"/>
                <w:color w:val="0000FF"/>
                <w:sz w:val="24"/>
                <w:lang w:val="en-US" w:eastAsia="zh-CN"/>
              </w:rPr>
              <w:t>新型化工及高分子材料产业区</w:t>
            </w:r>
            <w:r>
              <w:rPr>
                <w:rFonts w:hint="default" w:ascii="Times New Roman" w:hAnsi="Times New Roman" w:eastAsia="宋体" w:cs="Times New Roman"/>
                <w:color w:val="0000FF"/>
                <w:kern w:val="2"/>
                <w:sz w:val="24"/>
                <w:szCs w:val="24"/>
                <w:lang w:val="en-US" w:eastAsia="zh-CN" w:bidi="ar-SA"/>
              </w:rPr>
              <w:t>建设“</w:t>
            </w:r>
            <w:r>
              <w:rPr>
                <w:rFonts w:hint="default" w:ascii="Times New Roman" w:hAnsi="Times New Roman" w:eastAsia="宋体" w:cs="Times New Roman"/>
                <w:color w:val="0000FF"/>
                <w:sz w:val="24"/>
                <w:szCs w:val="24"/>
                <w:shd w:val="clear" w:color="auto" w:fill="auto"/>
                <w:lang w:val="en-US" w:eastAsia="zh-CN"/>
              </w:rPr>
              <w:t>复合气瓶制造及配套LPG新型气瓶充装站建设项目</w:t>
            </w:r>
            <w:r>
              <w:rPr>
                <w:rFonts w:hint="default" w:ascii="Times New Roman" w:hAnsi="Times New Roman" w:eastAsia="宋体" w:cs="Times New Roman"/>
                <w:color w:val="0000FF"/>
                <w:kern w:val="2"/>
                <w:sz w:val="24"/>
                <w:szCs w:val="24"/>
                <w:lang w:val="en-US" w:eastAsia="zh-CN" w:bidi="ar-SA"/>
              </w:rPr>
              <w:t>”（以下简称复合气瓶项目）。该项目拟</w:t>
            </w:r>
            <w:r>
              <w:rPr>
                <w:rFonts w:hint="default" w:ascii="Times New Roman" w:hAnsi="Times New Roman" w:eastAsia="宋体" w:cs="Times New Roman"/>
                <w:b w:val="0"/>
                <w:bCs w:val="0"/>
                <w:color w:val="0000FF"/>
                <w:sz w:val="24"/>
                <w:szCs w:val="24"/>
                <w:lang w:val="en-US" w:eastAsia="zh-CN"/>
              </w:rPr>
              <w:t>建设全自动液化石油气复合气瓶生产线3条，可年产液化石油气复合气瓶108万只；配套液化石油气灌装站1座，液化石油气年加注量为1800t。</w:t>
            </w:r>
          </w:p>
          <w:p w14:paraId="7CC051AB">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b w:val="0"/>
                <w:bCs w:val="0"/>
                <w:color w:val="0000FF"/>
                <w:sz w:val="24"/>
                <w:szCs w:val="24"/>
                <w:lang w:val="en-US" w:eastAsia="zh-CN"/>
              </w:rPr>
            </w:pPr>
            <w:r>
              <w:rPr>
                <w:rFonts w:hint="eastAsia" w:cs="Times New Roman"/>
                <w:b w:val="0"/>
                <w:bCs w:val="0"/>
                <w:color w:val="0000FF"/>
                <w:sz w:val="24"/>
                <w:szCs w:val="24"/>
                <w:lang w:val="en-US" w:eastAsia="zh-CN"/>
              </w:rPr>
              <w:t>“</w:t>
            </w:r>
            <w:r>
              <w:rPr>
                <w:rFonts w:hint="default" w:ascii="Times New Roman" w:hAnsi="Times New Roman" w:eastAsia="宋体" w:cs="Times New Roman"/>
                <w:b w:val="0"/>
                <w:bCs w:val="0"/>
                <w:color w:val="0000FF"/>
                <w:sz w:val="24"/>
                <w:szCs w:val="24"/>
                <w:lang w:val="en-US" w:eastAsia="zh-CN"/>
              </w:rPr>
              <w:t>复合气瓶项目</w:t>
            </w:r>
            <w:r>
              <w:rPr>
                <w:rFonts w:hint="eastAsia" w:cs="Times New Roman"/>
                <w:b w:val="0"/>
                <w:bCs w:val="0"/>
                <w:color w:val="0000FF"/>
                <w:sz w:val="24"/>
                <w:szCs w:val="24"/>
                <w:lang w:val="en-US" w:eastAsia="zh-CN"/>
              </w:rPr>
              <w:t>”</w:t>
            </w:r>
            <w:r>
              <w:rPr>
                <w:rFonts w:hint="default" w:ascii="Times New Roman" w:hAnsi="Times New Roman" w:eastAsia="宋体" w:cs="Times New Roman"/>
                <w:b w:val="0"/>
                <w:bCs w:val="0"/>
                <w:color w:val="0000FF"/>
                <w:sz w:val="24"/>
                <w:szCs w:val="24"/>
                <w:lang w:val="en-US" w:eastAsia="zh-CN"/>
              </w:rPr>
              <w:t>环境影响评价于2022年12月通过评审，并于2022年12月23日取得包头市生态环境局环评批复，批复文号包环管字150207[2022]023号</w:t>
            </w:r>
            <w:r>
              <w:rPr>
                <w:rFonts w:hint="default" w:ascii="Times New Roman" w:hAnsi="Times New Roman" w:cs="Times New Roman"/>
                <w:b w:val="0"/>
                <w:bCs w:val="0"/>
                <w:color w:val="0000FF"/>
                <w:sz w:val="24"/>
                <w:szCs w:val="24"/>
                <w:lang w:val="en-US" w:eastAsia="zh-CN"/>
              </w:rPr>
              <w:t>（见附件5）</w:t>
            </w:r>
            <w:r>
              <w:rPr>
                <w:rFonts w:hint="default" w:ascii="Times New Roman" w:hAnsi="Times New Roman" w:eastAsia="宋体" w:cs="Times New Roman"/>
                <w:b w:val="0"/>
                <w:bCs w:val="0"/>
                <w:color w:val="0000FF"/>
                <w:sz w:val="24"/>
                <w:szCs w:val="24"/>
                <w:lang w:val="en-US" w:eastAsia="zh-CN"/>
              </w:rPr>
              <w:t>。项目批复后，至今未开工建设。</w:t>
            </w:r>
          </w:p>
          <w:p w14:paraId="7EC751BC">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color w:val="0000FF"/>
                <w:kern w:val="2"/>
                <w:sz w:val="24"/>
                <w:szCs w:val="24"/>
                <w:lang w:val="en-US" w:eastAsia="zh-CN" w:bidi="ar-SA"/>
              </w:rPr>
            </w:pPr>
            <w:r>
              <w:rPr>
                <w:rFonts w:hint="eastAsia" w:cs="Times New Roman"/>
                <w:color w:val="0000FF"/>
                <w:kern w:val="2"/>
                <w:sz w:val="24"/>
                <w:szCs w:val="24"/>
                <w:lang w:val="en-US" w:eastAsia="zh-CN" w:bidi="ar-SA"/>
              </w:rPr>
              <w:t>因</w:t>
            </w:r>
            <w:r>
              <w:rPr>
                <w:rFonts w:hint="default" w:ascii="Times New Roman" w:hAnsi="Times New Roman" w:eastAsia="宋体" w:cs="Times New Roman"/>
                <w:color w:val="0000FF"/>
                <w:kern w:val="2"/>
                <w:sz w:val="24"/>
                <w:szCs w:val="24"/>
                <w:lang w:val="en-US" w:eastAsia="zh-CN" w:bidi="ar-SA"/>
              </w:rPr>
              <w:t>安达立公司调整企业发展方向，</w:t>
            </w:r>
            <w:r>
              <w:rPr>
                <w:rFonts w:hint="default" w:ascii="Times New Roman" w:hAnsi="Times New Roman" w:cs="Times New Roman"/>
                <w:color w:val="0000FF"/>
                <w:kern w:val="2"/>
                <w:sz w:val="24"/>
                <w:szCs w:val="24"/>
                <w:lang w:val="en-US" w:eastAsia="zh-CN" w:bidi="ar-SA"/>
              </w:rPr>
              <w:t>于2025年9月3日将</w:t>
            </w:r>
            <w:r>
              <w:rPr>
                <w:rFonts w:hint="default" w:ascii="Times New Roman" w:hAnsi="Times New Roman" w:eastAsia="宋体" w:cs="Times New Roman"/>
                <w:color w:val="0000FF"/>
                <w:kern w:val="2"/>
                <w:sz w:val="24"/>
                <w:szCs w:val="24"/>
                <w:lang w:val="en-US" w:eastAsia="zh-CN" w:bidi="ar-SA"/>
              </w:rPr>
              <w:t>公司</w:t>
            </w:r>
            <w:r>
              <w:rPr>
                <w:rFonts w:hint="default" w:ascii="Times New Roman" w:hAnsi="Times New Roman" w:cs="Times New Roman"/>
                <w:color w:val="0000FF"/>
                <w:kern w:val="2"/>
                <w:sz w:val="24"/>
                <w:szCs w:val="24"/>
                <w:lang w:val="en-US" w:eastAsia="zh-CN" w:bidi="ar-SA"/>
              </w:rPr>
              <w:t>名称变更为“内蒙古东方神气科技有限责任公司”</w:t>
            </w:r>
            <w:r>
              <w:rPr>
                <w:rFonts w:hint="default" w:ascii="Times New Roman" w:hAnsi="Times New Roman" w:eastAsia="宋体" w:cs="Times New Roman"/>
                <w:color w:val="0000FF"/>
                <w:kern w:val="2"/>
                <w:sz w:val="24"/>
                <w:szCs w:val="24"/>
                <w:lang w:val="en-US" w:eastAsia="zh-CN" w:bidi="ar-SA"/>
              </w:rPr>
              <w:t>（以下简称</w:t>
            </w:r>
            <w:r>
              <w:rPr>
                <w:rFonts w:hint="default" w:ascii="Times New Roman" w:hAnsi="Times New Roman" w:cs="Times New Roman"/>
                <w:color w:val="0000FF"/>
                <w:kern w:val="2"/>
                <w:sz w:val="24"/>
                <w:szCs w:val="24"/>
                <w:lang w:val="en-US" w:eastAsia="zh-CN" w:bidi="ar-SA"/>
              </w:rPr>
              <w:t>东方神气</w:t>
            </w:r>
            <w:r>
              <w:rPr>
                <w:rFonts w:hint="default" w:ascii="Times New Roman" w:hAnsi="Times New Roman" w:eastAsia="宋体" w:cs="Times New Roman"/>
                <w:color w:val="0000FF"/>
                <w:kern w:val="2"/>
                <w:sz w:val="24"/>
                <w:szCs w:val="24"/>
                <w:lang w:val="en-US" w:eastAsia="zh-CN" w:bidi="ar-SA"/>
              </w:rPr>
              <w:t>）</w:t>
            </w:r>
            <w:r>
              <w:rPr>
                <w:rFonts w:hint="default" w:ascii="Times New Roman" w:hAnsi="Times New Roman" w:cs="Times New Roman"/>
                <w:color w:val="0000FF"/>
                <w:kern w:val="2"/>
                <w:sz w:val="24"/>
                <w:szCs w:val="24"/>
                <w:lang w:val="en-US" w:eastAsia="zh-CN" w:bidi="ar-SA"/>
              </w:rPr>
              <w:t>，并取得包头市九原区市场监督管理局办理更名登记（包九原-变更登记字[2025]第00224089号）（见附件6），上述已取得环评批复的</w:t>
            </w:r>
            <w:r>
              <w:rPr>
                <w:rFonts w:hint="eastAsia" w:cs="Times New Roman"/>
                <w:b w:val="0"/>
                <w:bCs w:val="0"/>
                <w:color w:val="0000FF"/>
                <w:sz w:val="24"/>
                <w:szCs w:val="24"/>
                <w:lang w:val="en-US" w:eastAsia="zh-CN"/>
              </w:rPr>
              <w:t>“</w:t>
            </w:r>
            <w:r>
              <w:rPr>
                <w:rFonts w:hint="default" w:ascii="Times New Roman" w:hAnsi="Times New Roman" w:eastAsia="宋体" w:cs="Times New Roman"/>
                <w:b w:val="0"/>
                <w:bCs w:val="0"/>
                <w:color w:val="0000FF"/>
                <w:sz w:val="24"/>
                <w:szCs w:val="24"/>
                <w:lang w:val="en-US" w:eastAsia="zh-CN"/>
              </w:rPr>
              <w:t>复合气瓶项目</w:t>
            </w:r>
            <w:r>
              <w:rPr>
                <w:rFonts w:hint="eastAsia" w:cs="Times New Roman"/>
                <w:b w:val="0"/>
                <w:bCs w:val="0"/>
                <w:color w:val="0000FF"/>
                <w:sz w:val="24"/>
                <w:szCs w:val="24"/>
                <w:lang w:val="en-US" w:eastAsia="zh-CN"/>
              </w:rPr>
              <w:t>”</w:t>
            </w:r>
            <w:r>
              <w:rPr>
                <w:rFonts w:hint="default" w:ascii="Times New Roman" w:hAnsi="Times New Roman" w:eastAsia="宋体" w:cs="Times New Roman"/>
                <w:color w:val="0000FF"/>
                <w:kern w:val="2"/>
                <w:sz w:val="24"/>
                <w:szCs w:val="24"/>
                <w:lang w:val="en-US" w:eastAsia="zh-CN" w:bidi="ar-SA"/>
              </w:rPr>
              <w:t>不再建设</w:t>
            </w:r>
            <w:r>
              <w:rPr>
                <w:rFonts w:hint="eastAsia" w:cs="Times New Roman"/>
                <w:color w:val="0000FF"/>
                <w:kern w:val="2"/>
                <w:sz w:val="24"/>
                <w:szCs w:val="24"/>
                <w:lang w:val="en-US" w:eastAsia="zh-CN" w:bidi="ar-SA"/>
              </w:rPr>
              <w:t>，</w:t>
            </w:r>
            <w:r>
              <w:rPr>
                <w:rFonts w:hint="eastAsia" w:cs="Times New Roman"/>
                <w:b w:val="0"/>
                <w:bCs w:val="0"/>
                <w:color w:val="0000FF"/>
                <w:sz w:val="24"/>
                <w:szCs w:val="24"/>
                <w:lang w:val="en-US" w:eastAsia="zh-CN"/>
              </w:rPr>
              <w:t>“</w:t>
            </w:r>
            <w:r>
              <w:rPr>
                <w:rFonts w:hint="default" w:ascii="Times New Roman" w:hAnsi="Times New Roman" w:eastAsia="宋体" w:cs="Times New Roman"/>
                <w:b w:val="0"/>
                <w:bCs w:val="0"/>
                <w:color w:val="0000FF"/>
                <w:sz w:val="24"/>
                <w:szCs w:val="24"/>
                <w:lang w:val="en-US" w:eastAsia="zh-CN"/>
              </w:rPr>
              <w:t>复合气瓶项目</w:t>
            </w:r>
            <w:r>
              <w:rPr>
                <w:rFonts w:hint="eastAsia" w:cs="Times New Roman"/>
                <w:b w:val="0"/>
                <w:bCs w:val="0"/>
                <w:color w:val="0000FF"/>
                <w:sz w:val="24"/>
                <w:szCs w:val="24"/>
                <w:lang w:val="en-US" w:eastAsia="zh-CN"/>
              </w:rPr>
              <w:t>”</w:t>
            </w:r>
            <w:r>
              <w:rPr>
                <w:rFonts w:hint="eastAsia" w:cs="Times New Roman"/>
                <w:color w:val="0000FF"/>
                <w:kern w:val="2"/>
                <w:sz w:val="24"/>
                <w:szCs w:val="24"/>
                <w:lang w:val="en-US" w:eastAsia="zh-CN" w:bidi="ar-SA"/>
              </w:rPr>
              <w:t>拟建厂址由东方神气公司用于建设</w:t>
            </w:r>
            <w:r>
              <w:rPr>
                <w:rFonts w:hint="default" w:ascii="Times New Roman" w:hAnsi="Times New Roman" w:eastAsia="宋体" w:cs="Times New Roman"/>
                <w:color w:val="0000FF"/>
                <w:kern w:val="2"/>
                <w:sz w:val="24"/>
                <w:szCs w:val="24"/>
                <w:lang w:val="en-US" w:eastAsia="zh-CN" w:bidi="ar-SA"/>
              </w:rPr>
              <w:t>“民用燃气和工业丙烷以及新型高性能切割气体生产项目”</w:t>
            </w:r>
            <w:r>
              <w:rPr>
                <w:rFonts w:hint="eastAsia" w:cs="Times New Roman"/>
                <w:color w:val="0000FF"/>
                <w:kern w:val="2"/>
                <w:sz w:val="24"/>
                <w:szCs w:val="24"/>
                <w:lang w:val="en-US" w:eastAsia="zh-CN" w:bidi="ar-SA"/>
              </w:rPr>
              <w:t>（以下简称本项目）。</w:t>
            </w:r>
          </w:p>
          <w:p w14:paraId="570C22D2">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color w:val="0000FF"/>
                <w:kern w:val="2"/>
                <w:sz w:val="24"/>
                <w:szCs w:val="24"/>
                <w:lang w:val="en-US" w:eastAsia="zh-CN" w:bidi="ar-SA"/>
              </w:rPr>
            </w:pPr>
            <w:r>
              <w:rPr>
                <w:rFonts w:hint="eastAsia" w:cs="Times New Roman"/>
                <w:color w:val="0000FF"/>
                <w:kern w:val="2"/>
                <w:sz w:val="24"/>
                <w:szCs w:val="24"/>
                <w:highlight w:val="none"/>
                <w:lang w:val="en-US" w:eastAsia="zh-CN" w:bidi="ar-SA"/>
              </w:rPr>
              <w:t>东方神气公司</w:t>
            </w:r>
            <w:r>
              <w:rPr>
                <w:rFonts w:hint="default" w:ascii="Times New Roman" w:hAnsi="Times New Roman" w:eastAsia="宋体" w:cs="Times New Roman"/>
                <w:color w:val="0000FF"/>
                <w:kern w:val="2"/>
                <w:sz w:val="24"/>
                <w:szCs w:val="24"/>
                <w:highlight w:val="none"/>
                <w:lang w:val="en-US" w:eastAsia="zh-CN" w:bidi="ar-SA"/>
              </w:rPr>
              <w:t>注</w:t>
            </w:r>
            <w:r>
              <w:rPr>
                <w:rFonts w:hint="default" w:ascii="Times New Roman" w:hAnsi="Times New Roman" w:eastAsia="宋体" w:cs="Times New Roman"/>
                <w:color w:val="0000FF"/>
                <w:kern w:val="2"/>
                <w:sz w:val="24"/>
                <w:szCs w:val="24"/>
                <w:lang w:val="en-US" w:eastAsia="zh-CN" w:bidi="ar-SA"/>
              </w:rPr>
              <w:t>册资金</w:t>
            </w:r>
            <w:r>
              <w:rPr>
                <w:rFonts w:hint="eastAsia" w:cs="Times New Roman"/>
                <w:color w:val="0000FF"/>
                <w:kern w:val="2"/>
                <w:sz w:val="24"/>
                <w:szCs w:val="24"/>
                <w:lang w:val="en-US" w:eastAsia="zh-CN" w:bidi="ar-SA"/>
              </w:rPr>
              <w:t>1</w:t>
            </w:r>
            <w:r>
              <w:rPr>
                <w:rFonts w:hint="default" w:ascii="Times New Roman" w:hAnsi="Times New Roman" w:eastAsia="宋体" w:cs="Times New Roman"/>
                <w:color w:val="0000FF"/>
                <w:kern w:val="2"/>
                <w:sz w:val="24"/>
                <w:szCs w:val="24"/>
                <w:lang w:val="en-US" w:eastAsia="zh-CN" w:bidi="ar-SA"/>
              </w:rPr>
              <w:t>000万元，主要从事特种设备制造</w:t>
            </w:r>
            <w:r>
              <w:rPr>
                <w:rFonts w:hint="default" w:ascii="Times New Roman" w:hAnsi="Times New Roman" w:cs="Times New Roman"/>
                <w:color w:val="0000FF"/>
                <w:kern w:val="2"/>
                <w:sz w:val="24"/>
                <w:szCs w:val="24"/>
                <w:lang w:val="en-US" w:eastAsia="zh-CN" w:bidi="ar-SA"/>
              </w:rPr>
              <w:t>；特种</w:t>
            </w:r>
            <w:r>
              <w:rPr>
                <w:rFonts w:hint="default" w:ascii="Times New Roman" w:hAnsi="Times New Roman" w:eastAsia="宋体" w:cs="Times New Roman"/>
                <w:color w:val="0000FF"/>
                <w:kern w:val="2"/>
                <w:sz w:val="24"/>
                <w:szCs w:val="24"/>
                <w:lang w:val="en-US" w:eastAsia="zh-CN" w:bidi="ar-SA"/>
              </w:rPr>
              <w:t>设备设计</w:t>
            </w:r>
            <w:r>
              <w:rPr>
                <w:rFonts w:hint="default" w:ascii="Times New Roman" w:hAnsi="Times New Roman" w:cs="Times New Roman"/>
                <w:color w:val="0000FF"/>
                <w:kern w:val="2"/>
                <w:sz w:val="24"/>
                <w:szCs w:val="24"/>
                <w:lang w:val="en-US" w:eastAsia="zh-CN" w:bidi="ar-SA"/>
              </w:rPr>
              <w:t>；</w:t>
            </w:r>
            <w:r>
              <w:rPr>
                <w:rFonts w:hint="default" w:ascii="Times New Roman" w:hAnsi="Times New Roman" w:eastAsia="宋体" w:cs="Times New Roman"/>
                <w:color w:val="0000FF"/>
                <w:kern w:val="2"/>
                <w:sz w:val="24"/>
                <w:szCs w:val="24"/>
                <w:lang w:val="en-US" w:eastAsia="zh-CN" w:bidi="ar-SA"/>
              </w:rPr>
              <w:t>燃气经营</w:t>
            </w:r>
            <w:r>
              <w:rPr>
                <w:rFonts w:hint="default" w:ascii="Times New Roman" w:hAnsi="Times New Roman" w:cs="Times New Roman"/>
                <w:color w:val="0000FF"/>
                <w:kern w:val="2"/>
                <w:sz w:val="24"/>
                <w:szCs w:val="24"/>
                <w:lang w:val="en-US" w:eastAsia="zh-CN" w:bidi="ar-SA"/>
              </w:rPr>
              <w:t>；</w:t>
            </w:r>
            <w:r>
              <w:rPr>
                <w:rFonts w:hint="default" w:ascii="Times New Roman" w:hAnsi="Times New Roman" w:eastAsia="宋体" w:cs="Times New Roman"/>
                <w:color w:val="0000FF"/>
                <w:kern w:val="2"/>
                <w:sz w:val="24"/>
                <w:szCs w:val="24"/>
                <w:lang w:val="en-US" w:eastAsia="zh-CN" w:bidi="ar-SA"/>
              </w:rPr>
              <w:t>移动式压力容器/气充装等。</w:t>
            </w:r>
          </w:p>
          <w:p w14:paraId="2FD04415">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cs="Times New Roman"/>
                <w:color w:val="0000FF"/>
                <w:kern w:val="2"/>
                <w:sz w:val="24"/>
                <w:szCs w:val="24"/>
                <w:lang w:val="en-US" w:eastAsia="zh-CN" w:bidi="ar-SA"/>
              </w:rPr>
            </w:pPr>
            <w:r>
              <w:rPr>
                <w:rFonts w:hint="default" w:ascii="Times New Roman" w:hAnsi="Times New Roman" w:eastAsia="宋体" w:cs="Times New Roman"/>
                <w:color w:val="0000FF"/>
                <w:kern w:val="2"/>
                <w:sz w:val="24"/>
                <w:szCs w:val="24"/>
                <w:lang w:val="en-US" w:eastAsia="zh-CN" w:bidi="ar-SA"/>
              </w:rPr>
              <w:t>为推进</w:t>
            </w:r>
            <w:r>
              <w:rPr>
                <w:rFonts w:hint="eastAsia" w:cs="Times New Roman"/>
                <w:color w:val="0000FF"/>
                <w:kern w:val="2"/>
                <w:sz w:val="24"/>
                <w:szCs w:val="24"/>
                <w:lang w:val="en-US" w:eastAsia="zh-CN" w:bidi="ar-SA"/>
              </w:rPr>
              <w:t>内蒙古</w:t>
            </w:r>
            <w:r>
              <w:rPr>
                <w:rFonts w:hint="default" w:ascii="Times New Roman" w:hAnsi="Times New Roman" w:eastAsia="宋体" w:cs="Times New Roman"/>
                <w:color w:val="0000FF"/>
                <w:kern w:val="2"/>
                <w:sz w:val="24"/>
                <w:szCs w:val="24"/>
                <w:lang w:val="en-US" w:eastAsia="zh-CN" w:bidi="ar-SA"/>
              </w:rPr>
              <w:t>包头</w:t>
            </w:r>
            <w:r>
              <w:rPr>
                <w:rFonts w:hint="default" w:ascii="Times New Roman" w:hAnsi="Times New Roman" w:cs="Times New Roman"/>
                <w:color w:val="0000FF"/>
                <w:kern w:val="2"/>
                <w:sz w:val="24"/>
                <w:szCs w:val="24"/>
                <w:lang w:val="en-US" w:eastAsia="zh-CN" w:bidi="ar-SA"/>
              </w:rPr>
              <w:t>九原工业园区及周边工业用切割气体的供应及民用</w:t>
            </w:r>
            <w:r>
              <w:rPr>
                <w:rFonts w:hint="default" w:ascii="Times New Roman" w:hAnsi="Times New Roman" w:eastAsia="宋体" w:cs="Times New Roman"/>
                <w:color w:val="0000FF"/>
                <w:kern w:val="2"/>
                <w:sz w:val="24"/>
                <w:szCs w:val="24"/>
                <w:lang w:val="en-US" w:eastAsia="zh-CN" w:bidi="ar-SA"/>
              </w:rPr>
              <w:t>液化石油气市场健康发展，着眼新时代城市功能定位，实现长远、有效管控城市运行风险，遏制</w:t>
            </w:r>
            <w:r>
              <w:rPr>
                <w:rFonts w:hint="default" w:ascii="Times New Roman" w:hAnsi="Times New Roman" w:cs="Times New Roman"/>
                <w:color w:val="0000FF"/>
                <w:kern w:val="2"/>
                <w:sz w:val="24"/>
                <w:szCs w:val="24"/>
                <w:lang w:val="en-US" w:eastAsia="zh-CN" w:bidi="ar-SA"/>
              </w:rPr>
              <w:t>工业可燃</w:t>
            </w:r>
            <w:r>
              <w:rPr>
                <w:rFonts w:hint="default" w:ascii="Times New Roman" w:hAnsi="Times New Roman" w:eastAsia="宋体" w:cs="Times New Roman"/>
                <w:color w:val="0000FF"/>
                <w:kern w:val="2"/>
                <w:sz w:val="24"/>
                <w:szCs w:val="24"/>
                <w:lang w:val="en-US" w:eastAsia="zh-CN" w:bidi="ar-SA"/>
              </w:rPr>
              <w:t>气事故，</w:t>
            </w:r>
            <w:r>
              <w:rPr>
                <w:rFonts w:hint="default" w:ascii="Times New Roman" w:hAnsi="Times New Roman" w:cs="Times New Roman"/>
                <w:color w:val="0000FF"/>
                <w:kern w:val="2"/>
                <w:sz w:val="24"/>
                <w:szCs w:val="24"/>
                <w:lang w:val="en-US" w:eastAsia="zh-CN" w:bidi="ar-SA"/>
              </w:rPr>
              <w:t>推动园区周边工业用气</w:t>
            </w:r>
            <w:r>
              <w:rPr>
                <w:rFonts w:hint="default" w:ascii="Times New Roman" w:hAnsi="Times New Roman" w:eastAsia="宋体" w:cs="Times New Roman"/>
                <w:color w:val="0000FF"/>
                <w:kern w:val="2"/>
                <w:sz w:val="24"/>
                <w:szCs w:val="24"/>
                <w:lang w:val="en-US" w:eastAsia="zh-CN" w:bidi="ar-SA"/>
              </w:rPr>
              <w:t>集约化经营、智能信息化发展，</w:t>
            </w:r>
            <w:r>
              <w:rPr>
                <w:rFonts w:hint="default" w:ascii="Times New Roman" w:hAnsi="Times New Roman" w:cs="Times New Roman"/>
                <w:color w:val="0000FF"/>
                <w:kern w:val="2"/>
                <w:sz w:val="24"/>
                <w:szCs w:val="24"/>
                <w:lang w:val="en-US" w:eastAsia="zh-CN" w:bidi="ar-SA"/>
              </w:rPr>
              <w:t>东方神气</w:t>
            </w:r>
            <w:r>
              <w:rPr>
                <w:rFonts w:hint="default" w:ascii="Times New Roman" w:hAnsi="Times New Roman" w:eastAsia="宋体" w:cs="Times New Roman"/>
                <w:color w:val="0000FF"/>
                <w:kern w:val="2"/>
                <w:sz w:val="24"/>
                <w:szCs w:val="24"/>
                <w:lang w:val="en-US" w:eastAsia="zh-CN" w:bidi="ar-SA"/>
              </w:rPr>
              <w:t>拟在</w:t>
            </w:r>
            <w:r>
              <w:rPr>
                <w:rFonts w:hint="eastAsia" w:cs="Times New Roman"/>
                <w:color w:val="0000FF"/>
                <w:kern w:val="2"/>
                <w:sz w:val="24"/>
                <w:szCs w:val="24"/>
                <w:lang w:val="en-US" w:eastAsia="zh-CN" w:bidi="ar-SA"/>
              </w:rPr>
              <w:t>内蒙古包头</w:t>
            </w:r>
            <w:r>
              <w:rPr>
                <w:rFonts w:hint="default" w:ascii="Times New Roman" w:hAnsi="Times New Roman" w:eastAsia="宋体" w:cs="Times New Roman"/>
                <w:color w:val="0000FF"/>
                <w:kern w:val="2"/>
                <w:sz w:val="24"/>
                <w:szCs w:val="24"/>
                <w:lang w:val="en-US" w:eastAsia="zh-CN" w:bidi="ar-SA"/>
              </w:rPr>
              <w:t>九原工业</w:t>
            </w:r>
            <w:r>
              <w:rPr>
                <w:rFonts w:hint="default" w:ascii="Times New Roman" w:hAnsi="Times New Roman" w:cs="Times New Roman"/>
                <w:b w:val="0"/>
                <w:bCs w:val="0"/>
                <w:color w:val="0000FF"/>
                <w:sz w:val="24"/>
                <w:lang w:val="en-US" w:eastAsia="zh-CN"/>
              </w:rPr>
              <w:t>园区-新型化工及高分子材料产业区</w:t>
            </w:r>
            <w:r>
              <w:rPr>
                <w:rFonts w:hint="default" w:ascii="Times New Roman" w:hAnsi="Times New Roman" w:eastAsia="宋体" w:cs="Times New Roman"/>
                <w:color w:val="0000FF"/>
                <w:kern w:val="2"/>
                <w:sz w:val="24"/>
                <w:szCs w:val="24"/>
                <w:lang w:val="en-US" w:eastAsia="zh-CN" w:bidi="ar-SA"/>
              </w:rPr>
              <w:t>建设“民用燃气和工业丙烷以及新型高性能切割气体生产项目”。本项目建设完成后，可为</w:t>
            </w:r>
            <w:r>
              <w:rPr>
                <w:rFonts w:hint="eastAsia" w:cs="Times New Roman"/>
                <w:color w:val="0000FF"/>
                <w:kern w:val="2"/>
                <w:sz w:val="24"/>
                <w:szCs w:val="24"/>
                <w:lang w:val="en-US" w:eastAsia="zh-CN" w:bidi="ar-SA"/>
              </w:rPr>
              <w:t>内蒙古包头</w:t>
            </w:r>
            <w:r>
              <w:rPr>
                <w:rFonts w:hint="default" w:ascii="Times New Roman" w:hAnsi="Times New Roman" w:eastAsia="宋体" w:cs="Times New Roman"/>
                <w:color w:val="0000FF"/>
                <w:kern w:val="2"/>
                <w:sz w:val="24"/>
                <w:szCs w:val="24"/>
                <w:lang w:val="en-US" w:eastAsia="zh-CN" w:bidi="ar-SA"/>
              </w:rPr>
              <w:t>九原工业园区内及周边企业集中提供丙烷、氧气、氮气、氩气、二氧化碳气体，同时兼顾部分民用LPG气体的供应。为园区工业生产用气提供便利，并减少气体分散输送的风险。</w:t>
            </w:r>
            <w:r>
              <w:rPr>
                <w:rFonts w:hint="default" w:ascii="Times New Roman" w:hAnsi="Times New Roman" w:cs="Times New Roman"/>
                <w:color w:val="0000FF"/>
                <w:sz w:val="24"/>
                <w:szCs w:val="24"/>
                <w:shd w:val="clear" w:color="auto" w:fill="auto"/>
                <w:lang w:val="en-US" w:eastAsia="zh-CN"/>
              </w:rPr>
              <w:t>同时，本项目新建2条钢瓶检验线，提供丙烷/液化石油气及其他工业用气钢瓶的检验维修业务，为园区及周边企业提供完善的用气、气瓶检验维修全面服务。</w:t>
            </w:r>
          </w:p>
          <w:p w14:paraId="05C95864">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eastAsia" w:cs="Times New Roman"/>
                <w:b w:val="0"/>
                <w:bCs w:val="0"/>
                <w:color w:val="auto"/>
                <w:sz w:val="24"/>
                <w:szCs w:val="24"/>
                <w:lang w:val="en-US" w:eastAsia="zh-CN"/>
              </w:rPr>
            </w:pPr>
            <w:r>
              <w:rPr>
                <w:rFonts w:hint="default" w:ascii="Times New Roman" w:hAnsi="Times New Roman" w:cs="Times New Roman"/>
                <w:sz w:val="24"/>
                <w:shd w:val="clear" w:color="auto" w:fill="FFFFFF"/>
                <w:lang w:val="en-US" w:eastAsia="zh-CN"/>
              </w:rPr>
              <w:t>本项目</w:t>
            </w:r>
            <w:r>
              <w:rPr>
                <w:rFonts w:hint="default" w:ascii="Times New Roman" w:hAnsi="Times New Roman" w:cs="Times New Roman"/>
                <w:sz w:val="24"/>
                <w:shd w:val="clear" w:color="auto" w:fill="FFFFFF"/>
              </w:rPr>
              <w:t>行业类别为</w:t>
            </w:r>
            <w:r>
              <w:rPr>
                <w:rFonts w:hint="default" w:ascii="Times New Roman" w:hAnsi="Times New Roman" w:cs="Times New Roman"/>
                <w:sz w:val="24"/>
                <w:shd w:val="clear" w:color="auto" w:fill="FFFFFF"/>
                <w:lang w:val="en-US" w:eastAsia="zh-CN"/>
              </w:rPr>
              <w:t>C2619其他基础化学原料制造、G5941油气仓储</w:t>
            </w:r>
            <w:r>
              <w:rPr>
                <w:rFonts w:hint="eastAsia" w:cs="Times New Roman"/>
                <w:sz w:val="24"/>
                <w:shd w:val="clear" w:color="auto" w:fill="FFFFFF"/>
                <w:lang w:val="en-US" w:eastAsia="zh-CN"/>
              </w:rPr>
              <w:t>，</w:t>
            </w:r>
            <w:r>
              <w:rPr>
                <w:rFonts w:hint="default" w:ascii="Times New Roman" w:hAnsi="Times New Roman" w:cs="Times New Roman"/>
                <w:sz w:val="24"/>
                <w:shd w:val="clear" w:color="auto" w:fill="FFFFFF"/>
              </w:rPr>
              <w:t>依据《建设项目环境影响评价分类管理名录》（2021年版）的有关规定，本项目属于《名录》中：</w:t>
            </w:r>
            <w:r>
              <w:rPr>
                <w:rFonts w:hint="default" w:ascii="Times New Roman" w:hAnsi="Times New Roman" w:cs="Times New Roman"/>
                <w:sz w:val="24"/>
                <w:shd w:val="clear" w:color="auto" w:fill="FFFFFF"/>
                <w:lang w:eastAsia="zh-CN"/>
              </w:rPr>
              <w:t>“</w:t>
            </w:r>
            <w:r>
              <w:rPr>
                <w:rFonts w:hint="default" w:ascii="Times New Roman" w:hAnsi="Times New Roman" w:cs="Times New Roman"/>
                <w:color w:val="auto"/>
                <w:sz w:val="24"/>
                <w:szCs w:val="24"/>
                <w:shd w:val="clear" w:color="auto" w:fill="auto"/>
                <w:lang w:val="en-US" w:eastAsia="zh-CN"/>
              </w:rPr>
              <w:t>二十三、化学原料和化学制品制造业-44基础化学原料制造-单纯物理分离、物理提纯、混合、分装的（不产生废水或挥发性有机物的除外）</w:t>
            </w:r>
            <w:r>
              <w:rPr>
                <w:rFonts w:hint="default" w:ascii="Times New Roman" w:hAnsi="Times New Roman" w:cs="Times New Roman"/>
                <w:sz w:val="24"/>
                <w:shd w:val="clear" w:color="auto" w:fill="FFFFFF"/>
                <w:lang w:eastAsia="zh-CN"/>
              </w:rPr>
              <w:t>”、</w:t>
            </w:r>
            <w:r>
              <w:rPr>
                <w:rFonts w:hint="default" w:ascii="Times New Roman" w:hAnsi="Times New Roman" w:cs="Times New Roman"/>
                <w:sz w:val="24"/>
                <w:shd w:val="clear" w:color="auto" w:fill="FFFFFF"/>
                <w:lang w:val="en-US" w:eastAsia="zh-CN"/>
              </w:rPr>
              <w:t>“五十三、装卸搬运和仓储业59”中“危险品仓储594（不含加油站的油库；不含加气站的气库）-其他（含有毒、有害、危险品的仓储；含液化天然气库）”</w:t>
            </w:r>
            <w:r>
              <w:rPr>
                <w:rFonts w:hint="default" w:ascii="Times New Roman" w:hAnsi="Times New Roman" w:cs="Times New Roman"/>
                <w:sz w:val="24"/>
                <w:shd w:val="clear" w:color="auto" w:fill="FFFFFF"/>
                <w:lang w:eastAsia="zh-CN"/>
              </w:rPr>
              <w:t>，</w:t>
            </w:r>
            <w:r>
              <w:rPr>
                <w:rFonts w:hint="default" w:ascii="Times New Roman" w:hAnsi="Times New Roman" w:cs="Times New Roman"/>
                <w:sz w:val="24"/>
                <w:shd w:val="clear" w:color="auto" w:fill="FFFFFF"/>
              </w:rPr>
              <w:t>应编制环境影响报告表。</w:t>
            </w:r>
          </w:p>
          <w:p w14:paraId="370417D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2、项目基本情况</w:t>
            </w:r>
          </w:p>
          <w:p w14:paraId="1FBA8EBF">
            <w:pPr>
              <w:spacing w:line="360" w:lineRule="auto"/>
              <w:ind w:firstLine="482" w:firstLineChars="200"/>
              <w:rPr>
                <w:rFonts w:hint="default" w:ascii="Times New Roman" w:hAnsi="Times New Roman" w:cs="Times New Roman"/>
                <w:sz w:val="24"/>
              </w:rPr>
            </w:pPr>
            <w:r>
              <w:rPr>
                <w:rFonts w:hint="default" w:ascii="Times New Roman" w:hAnsi="Times New Roman" w:cs="Times New Roman"/>
                <w:b/>
                <w:bCs/>
                <w:sz w:val="24"/>
              </w:rPr>
              <w:t>项目名称：</w:t>
            </w:r>
            <w:r>
              <w:rPr>
                <w:rFonts w:hint="default" w:ascii="Times New Roman" w:hAnsi="Times New Roman" w:cs="Times New Roman"/>
                <w:sz w:val="24"/>
                <w:shd w:val="clear" w:color="auto" w:fill="FFFFFF"/>
                <w:lang w:val="en-US" w:eastAsia="zh-CN"/>
              </w:rPr>
              <w:t>民用燃气和工业丙烷以及新型高性能切割气体生产项目</w:t>
            </w:r>
          </w:p>
          <w:p w14:paraId="7194B781">
            <w:pPr>
              <w:spacing w:line="360" w:lineRule="auto"/>
              <w:ind w:firstLine="482" w:firstLineChars="200"/>
              <w:rPr>
                <w:rFonts w:hint="default" w:ascii="Times New Roman" w:hAnsi="Times New Roman" w:cs="Times New Roman"/>
                <w:sz w:val="24"/>
              </w:rPr>
            </w:pPr>
            <w:r>
              <w:rPr>
                <w:rFonts w:hint="default" w:ascii="Times New Roman" w:hAnsi="Times New Roman" w:cs="Times New Roman"/>
                <w:b/>
                <w:bCs/>
                <w:sz w:val="24"/>
              </w:rPr>
              <w:t>建设单位：</w:t>
            </w:r>
            <w:r>
              <w:rPr>
                <w:rFonts w:hint="default" w:ascii="Times New Roman" w:hAnsi="Times New Roman" w:cs="Times New Roman"/>
                <w:sz w:val="24"/>
                <w:shd w:val="clear" w:color="auto" w:fill="FFFFFF"/>
                <w:lang w:val="en-US" w:eastAsia="zh-CN"/>
              </w:rPr>
              <w:t>内蒙古东方神气科技有限责任公司</w:t>
            </w:r>
          </w:p>
          <w:p w14:paraId="034AA467">
            <w:pPr>
              <w:spacing w:line="360" w:lineRule="auto"/>
              <w:ind w:firstLine="482" w:firstLineChars="200"/>
              <w:rPr>
                <w:rFonts w:hint="default" w:ascii="Times New Roman" w:hAnsi="Times New Roman" w:cs="Times New Roman"/>
                <w:sz w:val="24"/>
              </w:rPr>
            </w:pPr>
            <w:r>
              <w:rPr>
                <w:rFonts w:hint="default" w:ascii="Times New Roman" w:hAnsi="Times New Roman" w:cs="Times New Roman"/>
                <w:b/>
                <w:bCs/>
                <w:sz w:val="24"/>
              </w:rPr>
              <w:t>建设性质：</w:t>
            </w:r>
            <w:r>
              <w:rPr>
                <w:rFonts w:hint="default" w:ascii="Times New Roman" w:hAnsi="Times New Roman" w:cs="Times New Roman"/>
                <w:sz w:val="24"/>
                <w:lang w:val="en-US" w:eastAsia="zh-CN"/>
              </w:rPr>
              <w:t>新建</w:t>
            </w:r>
            <w:r>
              <w:rPr>
                <w:rFonts w:hint="default" w:ascii="Times New Roman" w:hAnsi="Times New Roman" w:cs="Times New Roman"/>
                <w:sz w:val="24"/>
              </w:rPr>
              <w:t>。</w:t>
            </w:r>
          </w:p>
          <w:p w14:paraId="435A18BF">
            <w:pPr>
              <w:spacing w:line="360" w:lineRule="auto"/>
              <w:ind w:firstLine="482" w:firstLineChars="200"/>
              <w:rPr>
                <w:rFonts w:hint="default" w:ascii="Times New Roman" w:hAnsi="Times New Roman" w:cs="Times New Roman"/>
                <w:b w:val="0"/>
                <w:bCs w:val="0"/>
                <w:sz w:val="24"/>
                <w:lang w:val="en-US"/>
              </w:rPr>
            </w:pPr>
            <w:r>
              <w:rPr>
                <w:rFonts w:hint="default" w:ascii="Times New Roman" w:hAnsi="Times New Roman" w:cs="Times New Roman"/>
                <w:b/>
                <w:bCs/>
                <w:sz w:val="24"/>
              </w:rPr>
              <w:t>占地面积：</w:t>
            </w:r>
            <w:r>
              <w:rPr>
                <w:rFonts w:hint="default" w:ascii="Times New Roman" w:hAnsi="Times New Roman" w:cs="Times New Roman"/>
                <w:b w:val="0"/>
                <w:bCs w:val="0"/>
                <w:sz w:val="24"/>
                <w:lang w:val="en-US" w:eastAsia="zh-CN"/>
              </w:rPr>
              <w:t>本项目选址位于园区新型化工及高分子材料产业区，项目总占地面积为</w:t>
            </w:r>
            <w:r>
              <w:rPr>
                <w:rFonts w:hint="default" w:ascii="Times New Roman" w:hAnsi="Times New Roman" w:cs="Times New Roman"/>
                <w:color w:val="auto"/>
                <w:sz w:val="24"/>
                <w:szCs w:val="24"/>
                <w:highlight w:val="none"/>
                <w:shd w:val="clear" w:color="auto" w:fill="auto"/>
                <w:lang w:val="en-US" w:eastAsia="zh-CN"/>
              </w:rPr>
              <w:t>24</w:t>
            </w:r>
            <w:r>
              <w:rPr>
                <w:rFonts w:hint="eastAsia" w:cs="Times New Roman"/>
                <w:color w:val="auto"/>
                <w:sz w:val="24"/>
                <w:szCs w:val="24"/>
                <w:highlight w:val="none"/>
                <w:shd w:val="clear" w:color="auto" w:fill="auto"/>
                <w:lang w:val="en-US" w:eastAsia="zh-CN"/>
              </w:rPr>
              <w:t>669.82</w:t>
            </w:r>
            <w:r>
              <w:rPr>
                <w:rFonts w:hint="default" w:ascii="Times New Roman" w:hAnsi="Times New Roman" w:cs="Times New Roman"/>
                <w:b w:val="0"/>
                <w:bCs w:val="0"/>
                <w:sz w:val="24"/>
                <w:lang w:val="en-US" w:eastAsia="zh-CN"/>
              </w:rPr>
              <w:t>m</w:t>
            </w:r>
            <w:r>
              <w:rPr>
                <w:rFonts w:hint="default" w:ascii="Times New Roman" w:hAnsi="Times New Roman" w:cs="Times New Roman"/>
                <w:b w:val="0"/>
                <w:bCs w:val="0"/>
                <w:sz w:val="24"/>
                <w:vertAlign w:val="superscript"/>
                <w:lang w:val="en-US" w:eastAsia="zh-CN"/>
              </w:rPr>
              <w:t>2</w:t>
            </w:r>
            <w:r>
              <w:rPr>
                <w:rFonts w:hint="default" w:ascii="Times New Roman" w:hAnsi="Times New Roman" w:cs="Times New Roman"/>
                <w:b w:val="0"/>
                <w:bCs w:val="0"/>
                <w:sz w:val="24"/>
                <w:lang w:val="en-US" w:eastAsia="zh-CN"/>
              </w:rPr>
              <w:t>。</w:t>
            </w:r>
          </w:p>
          <w:p w14:paraId="24CC8096">
            <w:pPr>
              <w:spacing w:line="360" w:lineRule="auto"/>
              <w:ind w:firstLine="482" w:firstLineChars="200"/>
              <w:rPr>
                <w:rFonts w:hint="default" w:ascii="Times New Roman" w:hAnsi="Times New Roman" w:cs="Times New Roman"/>
                <w:sz w:val="24"/>
                <w:highlight w:val="none"/>
              </w:rPr>
            </w:pPr>
            <w:r>
              <w:rPr>
                <w:rFonts w:hint="default" w:ascii="Times New Roman" w:hAnsi="Times New Roman" w:cs="Times New Roman"/>
                <w:b/>
                <w:bCs/>
                <w:sz w:val="24"/>
              </w:rPr>
              <w:t>项目投资：</w:t>
            </w:r>
            <w:r>
              <w:rPr>
                <w:rFonts w:hint="default" w:ascii="Times New Roman" w:hAnsi="Times New Roman" w:cs="Times New Roman"/>
                <w:sz w:val="24"/>
              </w:rPr>
              <w:t>项目总投资为</w:t>
            </w:r>
            <w:r>
              <w:rPr>
                <w:rFonts w:hint="default" w:ascii="Times New Roman" w:hAnsi="Times New Roman" w:cs="Times New Roman"/>
                <w:sz w:val="24"/>
                <w:lang w:val="en-US" w:eastAsia="zh-CN"/>
              </w:rPr>
              <w:t>10000</w:t>
            </w:r>
            <w:r>
              <w:rPr>
                <w:rFonts w:hint="default" w:ascii="Times New Roman" w:hAnsi="Times New Roman" w:cs="Times New Roman"/>
                <w:sz w:val="24"/>
              </w:rPr>
              <w:t>万元，</w:t>
            </w:r>
            <w:r>
              <w:rPr>
                <w:rFonts w:hint="default" w:ascii="Times New Roman" w:hAnsi="Times New Roman" w:cs="Times New Roman"/>
                <w:sz w:val="24"/>
                <w:highlight w:val="none"/>
              </w:rPr>
              <w:t>环保投资约</w:t>
            </w:r>
            <w:r>
              <w:rPr>
                <w:rFonts w:hint="eastAsia" w:cs="Times New Roman"/>
                <w:sz w:val="24"/>
                <w:highlight w:val="none"/>
                <w:lang w:val="en-US" w:eastAsia="zh-CN"/>
              </w:rPr>
              <w:t>81</w:t>
            </w:r>
            <w:r>
              <w:rPr>
                <w:rFonts w:hint="default" w:ascii="Times New Roman" w:hAnsi="Times New Roman" w:cs="Times New Roman"/>
                <w:sz w:val="24"/>
                <w:highlight w:val="none"/>
              </w:rPr>
              <w:t>万元，占总投资的</w:t>
            </w:r>
            <w:r>
              <w:rPr>
                <w:rFonts w:hint="default" w:ascii="Times New Roman" w:hAnsi="Times New Roman" w:cs="Times New Roman"/>
                <w:sz w:val="24"/>
                <w:highlight w:val="none"/>
                <w:lang w:val="en-US" w:eastAsia="zh-CN"/>
              </w:rPr>
              <w:t>0.</w:t>
            </w:r>
            <w:r>
              <w:rPr>
                <w:rFonts w:hint="eastAsia" w:cs="Times New Roman"/>
                <w:sz w:val="24"/>
                <w:highlight w:val="none"/>
                <w:lang w:val="en-US" w:eastAsia="zh-CN"/>
              </w:rPr>
              <w:t>8</w:t>
            </w:r>
            <w:r>
              <w:rPr>
                <w:rFonts w:hint="default" w:ascii="Times New Roman" w:hAnsi="Times New Roman" w:cs="Times New Roman"/>
                <w:sz w:val="24"/>
                <w:highlight w:val="none"/>
                <w:lang w:val="en-US" w:eastAsia="zh-CN"/>
              </w:rPr>
              <w:t>1</w:t>
            </w:r>
            <w:r>
              <w:rPr>
                <w:rFonts w:hint="default" w:ascii="Times New Roman" w:hAnsi="Times New Roman" w:cs="Times New Roman"/>
                <w:sz w:val="24"/>
                <w:highlight w:val="none"/>
              </w:rPr>
              <w:t>%。</w:t>
            </w:r>
          </w:p>
          <w:p w14:paraId="344C70BB">
            <w:pPr>
              <w:spacing w:line="360" w:lineRule="auto"/>
              <w:ind w:firstLine="482" w:firstLineChars="200"/>
              <w:rPr>
                <w:rFonts w:hint="default" w:ascii="Times New Roman" w:hAnsi="Times New Roman" w:cs="Times New Roman"/>
                <w:b/>
                <w:bCs/>
                <w:sz w:val="24"/>
                <w:lang w:val="en-US" w:eastAsia="zh-CN"/>
              </w:rPr>
            </w:pPr>
            <w:r>
              <w:rPr>
                <w:rFonts w:hint="default" w:ascii="Times New Roman" w:hAnsi="Times New Roman" w:cs="Times New Roman"/>
                <w:b/>
                <w:bCs/>
                <w:sz w:val="24"/>
                <w:highlight w:val="none"/>
              </w:rPr>
              <w:t>建设规模：</w:t>
            </w:r>
            <w:r>
              <w:rPr>
                <w:rFonts w:hint="default" w:ascii="Times New Roman" w:hAnsi="Times New Roman" w:eastAsia="宋体" w:cs="Times New Roman"/>
                <w:sz w:val="24"/>
                <w:highlight w:val="none"/>
                <w:lang w:val="en-US" w:eastAsia="zh-CN"/>
              </w:rPr>
              <w:t>本项目建设内容包括以下</w:t>
            </w:r>
            <w:r>
              <w:rPr>
                <w:rFonts w:hint="default" w:ascii="Times New Roman" w:hAnsi="Times New Roman" w:cs="Times New Roman"/>
                <w:sz w:val="24"/>
                <w:highlight w:val="none"/>
                <w:lang w:val="en-US" w:eastAsia="zh-CN"/>
              </w:rPr>
              <w:t>五</w:t>
            </w:r>
            <w:r>
              <w:rPr>
                <w:rFonts w:hint="default" w:ascii="Times New Roman" w:hAnsi="Times New Roman" w:eastAsia="宋体" w:cs="Times New Roman"/>
                <w:sz w:val="24"/>
                <w:highlight w:val="none"/>
                <w:lang w:val="en-US" w:eastAsia="zh-CN"/>
              </w:rPr>
              <w:t>部</w:t>
            </w:r>
            <w:r>
              <w:rPr>
                <w:rFonts w:hint="default" w:ascii="Times New Roman" w:hAnsi="Times New Roman" w:eastAsia="宋体" w:cs="Times New Roman"/>
                <w:sz w:val="24"/>
                <w:lang w:val="en-US" w:eastAsia="zh-CN"/>
              </w:rPr>
              <w:t>分：</w:t>
            </w:r>
          </w:p>
          <w:p w14:paraId="79C70253">
            <w:pPr>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1</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工业用气灌装/充装区</w:t>
            </w:r>
            <w:r>
              <w:rPr>
                <w:rFonts w:hint="eastAsia" w:cs="Times New Roman"/>
                <w:sz w:val="24"/>
                <w:lang w:val="en-US" w:eastAsia="zh-CN"/>
              </w:rPr>
              <w:t>：</w:t>
            </w:r>
            <w:r>
              <w:rPr>
                <w:rFonts w:hint="default" w:ascii="Times New Roman" w:hAnsi="Times New Roman" w:cs="Times New Roman"/>
                <w:b w:val="0"/>
                <w:bCs w:val="0"/>
                <w:sz w:val="24"/>
                <w:lang w:val="en-US" w:eastAsia="zh-CN"/>
              </w:rPr>
              <w:t>本项目气瓶灌（充）装生产区计划年生产330天</w:t>
            </w:r>
            <w:r>
              <w:rPr>
                <w:rFonts w:hint="eastAsia" w:cs="Times New Roman"/>
                <w:b w:val="0"/>
                <w:bCs w:val="0"/>
                <w:sz w:val="24"/>
                <w:lang w:val="en-US" w:eastAsia="zh-CN"/>
              </w:rPr>
              <w:t>，</w:t>
            </w:r>
            <w:r>
              <w:rPr>
                <w:rFonts w:hint="default" w:ascii="Times New Roman" w:hAnsi="Times New Roman" w:cs="Times New Roman"/>
                <w:b w:val="0"/>
                <w:bCs w:val="0"/>
                <w:sz w:val="24"/>
                <w:lang w:val="en-US" w:eastAsia="zh-CN"/>
              </w:rPr>
              <w:t>改性丙烷年充装量为3300t/a（10t/d）；</w:t>
            </w:r>
            <w:r>
              <w:rPr>
                <w:rFonts w:hint="eastAsia" w:cs="Times New Roman"/>
                <w:b w:val="0"/>
                <w:bCs w:val="0"/>
                <w:sz w:val="24"/>
                <w:lang w:val="en-US" w:eastAsia="zh-CN"/>
              </w:rPr>
              <w:t>工业</w:t>
            </w:r>
            <w:r>
              <w:rPr>
                <w:rFonts w:hint="default" w:ascii="Times New Roman" w:hAnsi="Times New Roman" w:cs="Times New Roman"/>
                <w:b w:val="0"/>
                <w:bCs w:val="0"/>
                <w:sz w:val="24"/>
                <w:lang w:val="en-US" w:eastAsia="zh-CN"/>
              </w:rPr>
              <w:t>氧气年充装量为9365.4t/a（28</w:t>
            </w:r>
            <w:r>
              <w:rPr>
                <w:rFonts w:hint="eastAsia" w:cs="Times New Roman"/>
                <w:b w:val="0"/>
                <w:bCs w:val="0"/>
                <w:sz w:val="24"/>
                <w:lang w:val="en-US" w:eastAsia="zh-CN"/>
              </w:rPr>
              <w:t>.38</w:t>
            </w:r>
            <w:r>
              <w:rPr>
                <w:rFonts w:hint="default" w:ascii="Times New Roman" w:hAnsi="Times New Roman" w:cs="Times New Roman"/>
                <w:b w:val="0"/>
                <w:bCs w:val="0"/>
                <w:sz w:val="24"/>
                <w:lang w:val="en-US" w:eastAsia="zh-CN"/>
              </w:rPr>
              <w:t>t/d）；</w:t>
            </w:r>
            <w:r>
              <w:rPr>
                <w:rFonts w:hint="eastAsia" w:cs="Times New Roman"/>
                <w:b w:val="0"/>
                <w:bCs w:val="0"/>
                <w:sz w:val="24"/>
                <w:lang w:val="en-US" w:eastAsia="zh-CN"/>
              </w:rPr>
              <w:t>工业</w:t>
            </w:r>
            <w:r>
              <w:rPr>
                <w:rFonts w:hint="default" w:ascii="Times New Roman" w:hAnsi="Times New Roman" w:cs="Times New Roman"/>
                <w:b w:val="0"/>
                <w:bCs w:val="0"/>
                <w:sz w:val="24"/>
                <w:lang w:val="en-US" w:eastAsia="zh-CN"/>
              </w:rPr>
              <w:t>氮气年充装量为5332.8t/a（16</w:t>
            </w:r>
            <w:r>
              <w:rPr>
                <w:rFonts w:hint="eastAsia" w:cs="Times New Roman"/>
                <w:b w:val="0"/>
                <w:bCs w:val="0"/>
                <w:sz w:val="24"/>
                <w:lang w:val="en-US" w:eastAsia="zh-CN"/>
              </w:rPr>
              <w:t>.16</w:t>
            </w:r>
            <w:r>
              <w:rPr>
                <w:rFonts w:hint="default" w:ascii="Times New Roman" w:hAnsi="Times New Roman" w:cs="Times New Roman"/>
                <w:b w:val="0"/>
                <w:bCs w:val="0"/>
                <w:sz w:val="24"/>
                <w:lang w:val="en-US" w:eastAsia="zh-CN"/>
              </w:rPr>
              <w:t>t/d）；氩气年充装量为9207t/a（2</w:t>
            </w:r>
            <w:r>
              <w:rPr>
                <w:rFonts w:hint="eastAsia" w:cs="Times New Roman"/>
                <w:b w:val="0"/>
                <w:bCs w:val="0"/>
                <w:sz w:val="24"/>
                <w:lang w:val="en-US" w:eastAsia="zh-CN"/>
              </w:rPr>
              <w:t>7.90</w:t>
            </w:r>
            <w:r>
              <w:rPr>
                <w:rFonts w:hint="default" w:ascii="Times New Roman" w:hAnsi="Times New Roman" w:cs="Times New Roman"/>
                <w:b w:val="0"/>
                <w:bCs w:val="0"/>
                <w:sz w:val="24"/>
                <w:lang w:val="en-US" w:eastAsia="zh-CN"/>
              </w:rPr>
              <w:t>t/d）；二氧化碳气体年充装量为5082t/a（15</w:t>
            </w:r>
            <w:r>
              <w:rPr>
                <w:rFonts w:hint="eastAsia" w:cs="Times New Roman"/>
                <w:b w:val="0"/>
                <w:bCs w:val="0"/>
                <w:sz w:val="24"/>
                <w:lang w:val="en-US" w:eastAsia="zh-CN"/>
              </w:rPr>
              <w:t>.40</w:t>
            </w:r>
            <w:r>
              <w:rPr>
                <w:rFonts w:hint="default" w:ascii="Times New Roman" w:hAnsi="Times New Roman" w:cs="Times New Roman"/>
                <w:b w:val="0"/>
                <w:bCs w:val="0"/>
                <w:sz w:val="24"/>
                <w:lang w:val="en-US" w:eastAsia="zh-CN"/>
              </w:rPr>
              <w:t>t/d）</w:t>
            </w:r>
            <w:r>
              <w:rPr>
                <w:rFonts w:hint="default" w:ascii="Times New Roman" w:hAnsi="Times New Roman" w:cs="Times New Roman"/>
                <w:sz w:val="24"/>
              </w:rPr>
              <w:t>。</w:t>
            </w:r>
          </w:p>
          <w:p w14:paraId="70470D5B">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（2）医用氧气充装区</w:t>
            </w:r>
            <w:r>
              <w:rPr>
                <w:rFonts w:hint="eastAsia" w:cs="Times New Roman"/>
                <w:sz w:val="24"/>
                <w:lang w:val="en-US" w:eastAsia="zh-CN"/>
              </w:rPr>
              <w:t>：医用</w:t>
            </w:r>
            <w:r>
              <w:rPr>
                <w:rFonts w:hint="default" w:ascii="Times New Roman" w:hAnsi="Times New Roman" w:cs="Times New Roman"/>
                <w:b w:val="0"/>
                <w:bCs w:val="0"/>
                <w:sz w:val="24"/>
                <w:lang w:val="en-US" w:eastAsia="zh-CN"/>
              </w:rPr>
              <w:t>氧气年充装量为9365.4t/a（28</w:t>
            </w:r>
            <w:r>
              <w:rPr>
                <w:rFonts w:hint="eastAsia" w:cs="Times New Roman"/>
                <w:b w:val="0"/>
                <w:bCs w:val="0"/>
                <w:sz w:val="24"/>
                <w:lang w:val="en-US" w:eastAsia="zh-CN"/>
              </w:rPr>
              <w:t>.38</w:t>
            </w:r>
            <w:r>
              <w:rPr>
                <w:rFonts w:hint="default" w:ascii="Times New Roman" w:hAnsi="Times New Roman" w:cs="Times New Roman"/>
                <w:b w:val="0"/>
                <w:bCs w:val="0"/>
                <w:sz w:val="24"/>
                <w:lang w:val="en-US" w:eastAsia="zh-CN"/>
              </w:rPr>
              <w:t>t/d）</w:t>
            </w:r>
            <w:r>
              <w:rPr>
                <w:rFonts w:hint="eastAsia" w:cs="Times New Roman"/>
                <w:b w:val="0"/>
                <w:bCs w:val="0"/>
                <w:sz w:val="24"/>
                <w:lang w:val="en-US" w:eastAsia="zh-CN"/>
              </w:rPr>
              <w:t>；</w:t>
            </w:r>
          </w:p>
          <w:p w14:paraId="20B4A2FB">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（3）民用燃气灌装区（LPG）</w:t>
            </w:r>
            <w:r>
              <w:rPr>
                <w:rFonts w:hint="eastAsia" w:cs="Times New Roman"/>
                <w:sz w:val="24"/>
                <w:lang w:val="en-US" w:eastAsia="zh-CN"/>
              </w:rPr>
              <w:t>：</w:t>
            </w:r>
            <w:r>
              <w:rPr>
                <w:rFonts w:hint="default" w:ascii="Times New Roman" w:hAnsi="Times New Roman" w:cs="Times New Roman"/>
                <w:b w:val="0"/>
                <w:bCs w:val="0"/>
                <w:sz w:val="24"/>
                <w:lang w:val="en-US" w:eastAsia="zh-CN"/>
              </w:rPr>
              <w:t>LPG年充装量为3300t/a（10t/d）；</w:t>
            </w:r>
          </w:p>
          <w:p w14:paraId="35963D18">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（4）气瓶检验站</w:t>
            </w:r>
            <w:r>
              <w:rPr>
                <w:rFonts w:hint="eastAsia" w:cs="Times New Roman"/>
                <w:sz w:val="24"/>
                <w:lang w:val="en-US" w:eastAsia="zh-CN"/>
              </w:rPr>
              <w:t>：</w:t>
            </w:r>
            <w:r>
              <w:rPr>
                <w:rFonts w:hint="default" w:ascii="Times New Roman" w:hAnsi="Times New Roman" w:cs="Times New Roman"/>
                <w:sz w:val="24"/>
                <w:lang w:val="en-US" w:eastAsia="zh-CN"/>
              </w:rPr>
              <w:t>瓶检验站年计划生产300天，焊接气瓶检验线年处理LPG/丙烷钢瓶60000个（只），无缝气瓶检验线年处理其他气体（氧气、氮气、氩气、二氧化碳气体）无缝钢瓶10000个（只）</w:t>
            </w:r>
            <w:r>
              <w:rPr>
                <w:rFonts w:hint="eastAsia" w:cs="Times New Roman"/>
                <w:sz w:val="24"/>
                <w:lang w:val="en-US" w:eastAsia="zh-CN"/>
              </w:rPr>
              <w:t>；</w:t>
            </w:r>
          </w:p>
          <w:p w14:paraId="302BB9E5">
            <w:pPr>
              <w:spacing w:line="360" w:lineRule="auto"/>
              <w:ind w:firstLine="480" w:firstLineChars="200"/>
              <w:rPr>
                <w:rFonts w:hint="default" w:ascii="Times New Roman" w:hAnsi="Times New Roman" w:eastAsia="宋体" w:cs="Times New Roman"/>
                <w:sz w:val="24"/>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5</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配套公辅设施</w:t>
            </w:r>
            <w:r>
              <w:rPr>
                <w:rFonts w:hint="default" w:ascii="Times New Roman" w:hAnsi="Times New Roman" w:eastAsia="宋体" w:cs="Times New Roman"/>
                <w:sz w:val="24"/>
                <w:lang w:val="en-US" w:eastAsia="zh-CN"/>
              </w:rPr>
              <w:t>。</w:t>
            </w:r>
          </w:p>
          <w:p w14:paraId="6C9FE321">
            <w:pPr>
              <w:spacing w:line="360" w:lineRule="auto"/>
              <w:ind w:firstLine="482" w:firstLineChars="200"/>
              <w:rPr>
                <w:rFonts w:hint="default" w:ascii="Times New Roman" w:hAnsi="Times New Roman" w:cs="Times New Roman"/>
                <w:sz w:val="24"/>
              </w:rPr>
            </w:pPr>
            <w:r>
              <w:rPr>
                <w:rFonts w:hint="default" w:ascii="Times New Roman" w:hAnsi="Times New Roman" w:cs="Times New Roman"/>
                <w:b/>
                <w:bCs/>
                <w:sz w:val="24"/>
              </w:rPr>
              <w:t>建设地点：</w:t>
            </w:r>
            <w:r>
              <w:rPr>
                <w:rFonts w:hint="default" w:ascii="Times New Roman" w:hAnsi="Times New Roman" w:cs="Times New Roman"/>
                <w:sz w:val="24"/>
              </w:rPr>
              <w:t>建设项目位于</w:t>
            </w:r>
            <w:r>
              <w:rPr>
                <w:rFonts w:hint="default" w:ascii="Times New Roman" w:hAnsi="Times New Roman" w:eastAsia="宋体" w:cs="Times New Roman"/>
                <w:color w:val="auto"/>
                <w:sz w:val="24"/>
                <w:szCs w:val="24"/>
                <w:shd w:val="clear" w:color="auto" w:fill="auto"/>
                <w:lang w:val="en-US" w:eastAsia="zh-CN"/>
              </w:rPr>
              <w:t>内蒙古包头九原工业园区-</w:t>
            </w:r>
            <w:r>
              <w:rPr>
                <w:rFonts w:hint="default" w:ascii="Times New Roman" w:hAnsi="Times New Roman" w:cs="Times New Roman"/>
                <w:b w:val="0"/>
                <w:bCs w:val="0"/>
                <w:sz w:val="24"/>
                <w:lang w:val="en-US" w:eastAsia="zh-CN"/>
              </w:rPr>
              <w:t>新型化工及高分子材料产业区</w:t>
            </w:r>
            <w:r>
              <w:rPr>
                <w:rFonts w:hint="default" w:ascii="Times New Roman" w:hAnsi="Times New Roman" w:cs="Times New Roman"/>
                <w:sz w:val="24"/>
              </w:rPr>
              <w:t>。项目中心地理坐标为：东经</w:t>
            </w:r>
            <w:r>
              <w:rPr>
                <w:rFonts w:hint="default" w:ascii="Times New Roman" w:hAnsi="Times New Roman" w:eastAsia="宋体" w:cs="Times New Roman"/>
                <w:sz w:val="24"/>
                <w:lang w:val="en-US" w:eastAsia="zh-CN"/>
              </w:rPr>
              <w:t>110°39'2.819"</w:t>
            </w:r>
            <w:r>
              <w:rPr>
                <w:rFonts w:hint="default" w:ascii="Times New Roman" w:hAnsi="Times New Roman" w:cs="Times New Roman"/>
                <w:sz w:val="24"/>
              </w:rPr>
              <w:t xml:space="preserve">，北纬 </w:t>
            </w:r>
            <w:r>
              <w:rPr>
                <w:rFonts w:hint="default" w:ascii="Times New Roman" w:hAnsi="Times New Roman" w:cs="Times New Roman"/>
                <w:sz w:val="24"/>
                <w:lang w:val="en-US" w:eastAsia="zh-CN"/>
              </w:rPr>
              <w:t>40</w:t>
            </w:r>
            <w:r>
              <w:rPr>
                <w:rFonts w:hint="default" w:ascii="Times New Roman" w:hAnsi="Times New Roman" w:cs="Times New Roman"/>
                <w:sz w:val="24"/>
              </w:rPr>
              <w:t>°</w:t>
            </w:r>
            <w:r>
              <w:rPr>
                <w:rFonts w:hint="default" w:ascii="Times New Roman" w:hAnsi="Times New Roman" w:cs="Times New Roman"/>
                <w:sz w:val="24"/>
                <w:lang w:val="en-US" w:eastAsia="zh-CN"/>
              </w:rPr>
              <w:t>34</w:t>
            </w:r>
            <w:r>
              <w:rPr>
                <w:rFonts w:hint="default" w:ascii="Times New Roman" w:hAnsi="Times New Roman" w:cs="Times New Roman"/>
                <w:sz w:val="24"/>
              </w:rPr>
              <w:t>'55.892"，项目东侧为正望新材料（包头）有限公司，北侧为</w:t>
            </w:r>
            <w:r>
              <w:rPr>
                <w:rFonts w:hint="default" w:ascii="Times New Roman" w:hAnsi="Times New Roman" w:cs="Times New Roman"/>
                <w:sz w:val="24"/>
                <w:lang w:val="en-US" w:eastAsia="zh-CN"/>
              </w:rPr>
              <w:t>园区空地</w:t>
            </w:r>
            <w:r>
              <w:rPr>
                <w:rFonts w:hint="default" w:ascii="Times New Roman" w:hAnsi="Times New Roman" w:cs="Times New Roman"/>
                <w:sz w:val="24"/>
              </w:rPr>
              <w:t>，西侧</w:t>
            </w:r>
            <w:r>
              <w:rPr>
                <w:rFonts w:hint="default" w:ascii="Times New Roman" w:hAnsi="Times New Roman" w:cs="Times New Roman"/>
                <w:sz w:val="24"/>
                <w:lang w:val="en-US" w:eastAsia="zh-CN"/>
              </w:rPr>
              <w:t>紧邻园区道路（九昌路），路西为园区空地，</w:t>
            </w:r>
            <w:r>
              <w:rPr>
                <w:rFonts w:hint="default" w:ascii="Times New Roman" w:hAnsi="Times New Roman" w:cs="Times New Roman"/>
                <w:sz w:val="24"/>
              </w:rPr>
              <w:t>南侧大连大特气体</w:t>
            </w:r>
            <w:r>
              <w:rPr>
                <w:rFonts w:hint="default" w:ascii="Times New Roman" w:hAnsi="Times New Roman" w:cs="Times New Roman"/>
                <w:sz w:val="24"/>
                <w:lang w:eastAsia="zh-CN"/>
              </w:rPr>
              <w:t>（</w:t>
            </w:r>
            <w:r>
              <w:rPr>
                <w:rFonts w:hint="default" w:ascii="Times New Roman" w:hAnsi="Times New Roman" w:cs="Times New Roman"/>
                <w:sz w:val="24"/>
              </w:rPr>
              <w:t>包头</w:t>
            </w:r>
            <w:r>
              <w:rPr>
                <w:rFonts w:hint="default" w:ascii="Times New Roman" w:hAnsi="Times New Roman" w:cs="Times New Roman"/>
                <w:sz w:val="24"/>
                <w:lang w:eastAsia="zh-CN"/>
              </w:rPr>
              <w:t>）</w:t>
            </w:r>
            <w:r>
              <w:rPr>
                <w:rFonts w:hint="default" w:ascii="Times New Roman" w:hAnsi="Times New Roman" w:cs="Times New Roman"/>
                <w:sz w:val="24"/>
              </w:rPr>
              <w:t>有限公司。项目具体地理位置见附图</w:t>
            </w:r>
            <w:r>
              <w:rPr>
                <w:rFonts w:hint="default" w:ascii="Times New Roman" w:hAnsi="Times New Roman" w:cs="Times New Roman"/>
                <w:sz w:val="24"/>
                <w:lang w:val="en-US" w:eastAsia="zh-CN"/>
              </w:rPr>
              <w:t>3</w:t>
            </w:r>
            <w:r>
              <w:rPr>
                <w:rFonts w:hint="default" w:ascii="Times New Roman" w:hAnsi="Times New Roman" w:cs="Times New Roman"/>
                <w:sz w:val="24"/>
              </w:rPr>
              <w:t>、外环境关系见附图</w:t>
            </w:r>
            <w:r>
              <w:rPr>
                <w:rFonts w:hint="default" w:ascii="Times New Roman" w:hAnsi="Times New Roman" w:cs="Times New Roman"/>
                <w:sz w:val="24"/>
                <w:lang w:val="en-US" w:eastAsia="zh-CN"/>
              </w:rPr>
              <w:t>4、项目在园区中的位置见附图5</w:t>
            </w:r>
            <w:r>
              <w:rPr>
                <w:rFonts w:hint="default" w:ascii="Times New Roman" w:hAnsi="Times New Roman" w:cs="Times New Roman"/>
                <w:sz w:val="24"/>
              </w:rPr>
              <w:t>。</w:t>
            </w:r>
          </w:p>
          <w:p w14:paraId="5D5DA237">
            <w:pPr>
              <w:pStyle w:val="31"/>
              <w:tabs>
                <w:tab w:val="left" w:pos="0"/>
              </w:tabs>
              <w:spacing w:after="0"/>
              <w:ind w:left="0" w:leftChars="0" w:firstLine="482"/>
              <w:rPr>
                <w:rFonts w:hint="default" w:ascii="Times New Roman" w:hAnsi="Times New Roman" w:cs="Times New Roman"/>
                <w:sz w:val="24"/>
                <w:szCs w:val="24"/>
                <w:lang w:val="en-US" w:eastAsia="zh-CN"/>
              </w:rPr>
            </w:pPr>
            <w:r>
              <w:rPr>
                <w:rFonts w:hint="default" w:ascii="Times New Roman" w:hAnsi="Times New Roman" w:cs="Times New Roman"/>
                <w:b/>
                <w:bCs/>
                <w:sz w:val="24"/>
                <w:lang w:val="en-US" w:eastAsia="zh-CN"/>
              </w:rPr>
              <w:t>劳动定员及工作制度：</w:t>
            </w:r>
            <w:r>
              <w:rPr>
                <w:rFonts w:hint="default" w:ascii="Times New Roman" w:hAnsi="Times New Roman" w:cs="Times New Roman"/>
                <w:b w:val="0"/>
                <w:bCs w:val="0"/>
                <w:color w:val="auto"/>
                <w:sz w:val="24"/>
                <w:lang w:val="en-US" w:eastAsia="zh-CN"/>
              </w:rPr>
              <w:t>本项目</w:t>
            </w:r>
            <w:r>
              <w:rPr>
                <w:rFonts w:hint="default" w:ascii="Times New Roman" w:hAnsi="Times New Roman" w:cs="Times New Roman"/>
                <w:sz w:val="24"/>
                <w:lang w:val="en-US" w:eastAsia="zh-CN"/>
              </w:rPr>
              <w:t>全厂定员30人，其中气体灌（充）装生产16人，</w:t>
            </w:r>
            <w:r>
              <w:rPr>
                <w:rFonts w:hint="default" w:ascii="Times New Roman" w:hAnsi="Times New Roman" w:cs="Times New Roman"/>
                <w:sz w:val="24"/>
                <w:szCs w:val="24"/>
                <w:lang w:val="en-US" w:eastAsia="zh-CN"/>
              </w:rPr>
              <w:t>全年工作330天，三班制，每班工作8h，年工作7920h。</w:t>
            </w:r>
            <w:r>
              <w:rPr>
                <w:rFonts w:hint="default" w:ascii="Times New Roman" w:hAnsi="Times New Roman" w:cs="Times New Roman"/>
                <w:sz w:val="24"/>
                <w:lang w:val="en-US" w:eastAsia="zh-CN"/>
              </w:rPr>
              <w:t>气瓶检验站14人，年工作300天，轮班制，每天工作12h，年工作3600h。</w:t>
            </w:r>
          </w:p>
          <w:p w14:paraId="5A70ECAD">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0" w:leftChars="0" w:right="0" w:rightChars="0"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3、工程建设内容</w:t>
            </w:r>
          </w:p>
          <w:p w14:paraId="47B52C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项目建设内容包括：</w:t>
            </w:r>
          </w:p>
          <w:p w14:paraId="07B6795C">
            <w:pPr>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1</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工业用气灌装/充装区：</w:t>
            </w:r>
          </w:p>
          <w:p w14:paraId="38BF830C">
            <w:pPr>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1）包括改性</w:t>
            </w:r>
            <w:r>
              <w:rPr>
                <w:rFonts w:hint="default" w:ascii="Times New Roman" w:hAnsi="Times New Roman" w:eastAsia="宋体" w:cs="Times New Roman"/>
                <w:sz w:val="24"/>
              </w:rPr>
              <w:t>丙烷罐区</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含混合装置</w:t>
            </w:r>
            <w:r>
              <w:rPr>
                <w:rFonts w:hint="default" w:ascii="Times New Roman" w:hAnsi="Times New Roman" w:cs="Times New Roman"/>
                <w:sz w:val="24"/>
                <w:lang w:eastAsia="zh-CN"/>
              </w:rPr>
              <w:t>），</w:t>
            </w:r>
            <w:r>
              <w:rPr>
                <w:rFonts w:hint="default" w:ascii="Times New Roman" w:hAnsi="Times New Roman" w:eastAsia="宋体" w:cs="Times New Roman"/>
                <w:b w:val="0"/>
                <w:bCs w:val="0"/>
                <w:color w:val="auto"/>
                <w:sz w:val="24"/>
                <w:szCs w:val="24"/>
                <w:highlight w:val="none"/>
                <w:lang w:val="en-US" w:eastAsia="zh-CN"/>
              </w:rPr>
              <w:t>罐区设3座50m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的储罐</w:t>
            </w:r>
            <w:r>
              <w:rPr>
                <w:rFonts w:hint="default" w:ascii="Times New Roman" w:hAnsi="Times New Roman" w:cs="Times New Roman"/>
                <w:b w:val="0"/>
                <w:bCs w:val="0"/>
                <w:color w:val="auto"/>
                <w:sz w:val="24"/>
                <w:szCs w:val="24"/>
                <w:highlight w:val="none"/>
                <w:lang w:val="en-US" w:eastAsia="zh-CN"/>
              </w:rPr>
              <w:t>（2用1备</w:t>
            </w:r>
            <w:r>
              <w:rPr>
                <w:rFonts w:hint="default" w:ascii="Times New Roman" w:hAnsi="Times New Roman" w:eastAsia="宋体" w:cs="Times New Roman"/>
                <w:b w:val="0"/>
                <w:bCs w:val="0"/>
                <w:color w:val="auto"/>
                <w:sz w:val="24"/>
                <w:szCs w:val="24"/>
                <w:highlight w:val="none"/>
                <w:lang w:val="en-US" w:eastAsia="zh-CN"/>
              </w:rPr>
              <w:t>），卧式储罐地</w:t>
            </w:r>
            <w:r>
              <w:rPr>
                <w:rFonts w:hint="default" w:ascii="Times New Roman" w:hAnsi="Times New Roman" w:cs="Times New Roman"/>
                <w:b w:val="0"/>
                <w:bCs w:val="0"/>
                <w:color w:val="auto"/>
                <w:sz w:val="24"/>
                <w:szCs w:val="24"/>
                <w:highlight w:val="none"/>
                <w:lang w:val="en-US" w:eastAsia="zh-CN"/>
              </w:rPr>
              <w:t>下</w:t>
            </w:r>
            <w:r>
              <w:rPr>
                <w:rFonts w:hint="default" w:ascii="Times New Roman" w:hAnsi="Times New Roman" w:eastAsia="宋体" w:cs="Times New Roman"/>
                <w:b w:val="0"/>
                <w:bCs w:val="0"/>
                <w:color w:val="auto"/>
                <w:sz w:val="24"/>
                <w:szCs w:val="24"/>
                <w:highlight w:val="none"/>
                <w:lang w:val="en-US" w:eastAsia="zh-CN"/>
              </w:rPr>
              <w:t>布设</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改性</w:t>
            </w:r>
            <w:r>
              <w:rPr>
                <w:rFonts w:hint="default" w:ascii="Times New Roman" w:hAnsi="Times New Roman" w:eastAsia="宋体" w:cs="Times New Roman"/>
                <w:sz w:val="24"/>
              </w:rPr>
              <w:t>丙烷灌瓶间</w:t>
            </w:r>
            <w:r>
              <w:rPr>
                <w:rFonts w:hint="default" w:ascii="Times New Roman" w:hAnsi="Times New Roman" w:eastAsia="宋体" w:cs="Times New Roman"/>
                <w:sz w:val="24"/>
                <w:lang w:val="en-US" w:eastAsia="zh-CN"/>
              </w:rPr>
              <w:t>1座</w:t>
            </w:r>
            <w:r>
              <w:rPr>
                <w:rFonts w:hint="default" w:ascii="Times New Roman" w:hAnsi="Times New Roman" w:cs="Times New Roman"/>
                <w:sz w:val="24"/>
                <w:lang w:val="en-US" w:eastAsia="zh-CN"/>
              </w:rPr>
              <w:t>（含压缩机房）；卸车台（与LPG共用）</w:t>
            </w:r>
            <w:r>
              <w:rPr>
                <w:rFonts w:hint="default" w:ascii="Times New Roman" w:hAnsi="Times New Roman" w:eastAsia="宋体" w:cs="Times New Roman"/>
                <w:sz w:val="24"/>
                <w:lang w:val="en-US" w:eastAsia="zh-CN"/>
              </w:rPr>
              <w:t>；</w:t>
            </w:r>
          </w:p>
          <w:p w14:paraId="2C020247">
            <w:pPr>
              <w:spacing w:line="360" w:lineRule="auto"/>
              <w:ind w:firstLine="480" w:firstLineChars="200"/>
              <w:rPr>
                <w:rFonts w:hint="default" w:ascii="Times New Roman" w:hAnsi="Times New Roman" w:eastAsia="宋体" w:cs="Times New Roman"/>
                <w:sz w:val="24"/>
                <w:lang w:eastAsia="zh-CN"/>
              </w:rPr>
            </w:pPr>
            <w:r>
              <w:rPr>
                <w:rFonts w:hint="default" w:ascii="Times New Roman" w:hAnsi="Times New Roman" w:eastAsia="宋体" w:cs="Times New Roman"/>
                <w:sz w:val="24"/>
                <w:lang w:val="en-US" w:eastAsia="zh-CN"/>
              </w:rPr>
              <w:t>2）其他工业</w:t>
            </w:r>
            <w:r>
              <w:rPr>
                <w:rFonts w:hint="default" w:ascii="Times New Roman" w:hAnsi="Times New Roman" w:eastAsia="宋体" w:cs="Times New Roman"/>
                <w:sz w:val="24"/>
              </w:rPr>
              <w:t>气体充装区</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包括气体</w:t>
            </w:r>
            <w:r>
              <w:rPr>
                <w:rFonts w:hint="default" w:ascii="Times New Roman" w:hAnsi="Times New Roman" w:eastAsia="宋体" w:cs="Times New Roman"/>
                <w:sz w:val="24"/>
              </w:rPr>
              <w:t>储罐区</w:t>
            </w:r>
            <w:r>
              <w:rPr>
                <w:rFonts w:hint="default" w:ascii="Times New Roman" w:hAnsi="Times New Roman" w:eastAsia="宋体" w:cs="Times New Roman"/>
                <w:sz w:val="24"/>
                <w:lang w:eastAsia="zh-CN"/>
              </w:rPr>
              <w:t>，</w:t>
            </w:r>
            <w:r>
              <w:rPr>
                <w:rFonts w:hint="default" w:ascii="Times New Roman" w:hAnsi="Times New Roman" w:eastAsia="宋体" w:cs="Times New Roman"/>
                <w:b w:val="0"/>
                <w:bCs w:val="0"/>
                <w:color w:val="000000"/>
                <w:kern w:val="0"/>
                <w:sz w:val="24"/>
                <w:szCs w:val="24"/>
                <w:lang w:val="en-US" w:eastAsia="zh-CN" w:bidi="ar"/>
              </w:rPr>
              <w:t>储罐区设4座50m</w:t>
            </w:r>
            <w:r>
              <w:rPr>
                <w:rFonts w:hint="default" w:ascii="Times New Roman" w:hAnsi="Times New Roman" w:eastAsia="宋体" w:cs="Times New Roman"/>
                <w:b w:val="0"/>
                <w:bCs w:val="0"/>
                <w:color w:val="000000"/>
                <w:kern w:val="0"/>
                <w:sz w:val="24"/>
                <w:szCs w:val="24"/>
                <w:vertAlign w:val="superscript"/>
                <w:lang w:val="en-US" w:eastAsia="zh-CN" w:bidi="ar"/>
              </w:rPr>
              <w:t>3</w:t>
            </w:r>
            <w:r>
              <w:rPr>
                <w:rFonts w:hint="default" w:ascii="Times New Roman" w:hAnsi="Times New Roman" w:eastAsia="宋体" w:cs="Times New Roman"/>
                <w:b w:val="0"/>
                <w:bCs w:val="0"/>
                <w:color w:val="000000"/>
                <w:kern w:val="0"/>
                <w:sz w:val="24"/>
                <w:szCs w:val="24"/>
                <w:lang w:val="en-US" w:eastAsia="zh-CN" w:bidi="ar"/>
              </w:rPr>
              <w:t>的储罐，包括液氧储罐1座，液氮储罐1座，液氩储罐1座，液态二氧化碳储罐1座，立式储罐地上布设；</w:t>
            </w:r>
            <w:r>
              <w:rPr>
                <w:rFonts w:hint="default" w:ascii="Times New Roman" w:hAnsi="Times New Roman" w:eastAsia="宋体" w:cs="Times New Roman"/>
                <w:sz w:val="24"/>
              </w:rPr>
              <w:t>气体</w:t>
            </w:r>
            <w:r>
              <w:rPr>
                <w:rFonts w:hint="default" w:ascii="Times New Roman" w:hAnsi="Times New Roman" w:cs="Times New Roman"/>
                <w:sz w:val="24"/>
                <w:lang w:val="en-US" w:eastAsia="zh-CN"/>
              </w:rPr>
              <w:t>充装</w:t>
            </w:r>
            <w:r>
              <w:rPr>
                <w:rFonts w:hint="default" w:ascii="Times New Roman" w:hAnsi="Times New Roman" w:eastAsia="宋体" w:cs="Times New Roman"/>
                <w:sz w:val="24"/>
              </w:rPr>
              <w:t>间</w:t>
            </w:r>
            <w:r>
              <w:rPr>
                <w:rFonts w:hint="default" w:ascii="Times New Roman" w:hAnsi="Times New Roman" w:eastAsia="宋体" w:cs="Times New Roman"/>
                <w:sz w:val="24"/>
                <w:lang w:val="en-US" w:eastAsia="zh-CN"/>
              </w:rPr>
              <w:t>1</w:t>
            </w:r>
            <w:r>
              <w:rPr>
                <w:rFonts w:hint="default" w:ascii="Times New Roman" w:hAnsi="Times New Roman" w:eastAsia="宋体" w:cs="Times New Roman"/>
                <w:sz w:val="24"/>
              </w:rPr>
              <w:t>座</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布置配套的气化及充装设备。</w:t>
            </w:r>
          </w:p>
          <w:p w14:paraId="7BB028B9">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（2）医用氧气充装区：</w:t>
            </w:r>
          </w:p>
          <w:p w14:paraId="503E61A5">
            <w:pPr>
              <w:spacing w:line="360" w:lineRule="auto"/>
              <w:ind w:firstLine="480" w:firstLineChars="200"/>
              <w:rPr>
                <w:rFonts w:hint="default" w:ascii="Times New Roman" w:hAnsi="Times New Roman" w:eastAsia="宋体" w:cs="Times New Roman"/>
                <w:sz w:val="24"/>
                <w:lang w:eastAsia="zh-CN"/>
              </w:rPr>
            </w:pPr>
            <w:r>
              <w:rPr>
                <w:rFonts w:hint="default" w:ascii="Times New Roman" w:hAnsi="Times New Roman" w:eastAsia="宋体" w:cs="Times New Roman"/>
                <w:sz w:val="24"/>
                <w:lang w:val="en-US" w:eastAsia="zh-CN"/>
              </w:rPr>
              <w:t>包括医用氧气（液）储罐区，</w:t>
            </w:r>
            <w:r>
              <w:rPr>
                <w:rFonts w:hint="default" w:ascii="Times New Roman" w:hAnsi="Times New Roman" w:eastAsia="宋体" w:cs="Times New Roman"/>
                <w:b w:val="0"/>
                <w:bCs w:val="0"/>
                <w:color w:val="000000"/>
                <w:kern w:val="0"/>
                <w:sz w:val="24"/>
                <w:szCs w:val="24"/>
                <w:lang w:val="en-US" w:eastAsia="zh-CN" w:bidi="ar"/>
              </w:rPr>
              <w:t>储罐区设1座50m</w:t>
            </w:r>
            <w:r>
              <w:rPr>
                <w:rFonts w:hint="default" w:ascii="Times New Roman" w:hAnsi="Times New Roman" w:eastAsia="宋体" w:cs="Times New Roman"/>
                <w:b w:val="0"/>
                <w:bCs w:val="0"/>
                <w:color w:val="000000"/>
                <w:kern w:val="0"/>
                <w:sz w:val="24"/>
                <w:szCs w:val="24"/>
                <w:vertAlign w:val="superscript"/>
                <w:lang w:val="en-US" w:eastAsia="zh-CN" w:bidi="ar"/>
              </w:rPr>
              <w:t>3</w:t>
            </w:r>
            <w:r>
              <w:rPr>
                <w:rFonts w:hint="default" w:ascii="Times New Roman" w:hAnsi="Times New Roman" w:eastAsia="宋体" w:cs="Times New Roman"/>
                <w:b w:val="0"/>
                <w:bCs w:val="0"/>
                <w:color w:val="000000"/>
                <w:kern w:val="0"/>
                <w:sz w:val="24"/>
                <w:szCs w:val="24"/>
                <w:lang w:val="en-US" w:eastAsia="zh-CN" w:bidi="ar"/>
              </w:rPr>
              <w:t>的医用氧气储罐；</w:t>
            </w:r>
            <w:r>
              <w:rPr>
                <w:rFonts w:hint="default" w:ascii="Times New Roman" w:hAnsi="Times New Roman" w:eastAsia="宋体" w:cs="Times New Roman"/>
                <w:sz w:val="24"/>
                <w:lang w:val="en-US" w:eastAsia="zh-CN"/>
              </w:rPr>
              <w:t>医用氧气灌装间1座</w:t>
            </w:r>
            <w:r>
              <w:rPr>
                <w:rFonts w:hint="default" w:ascii="Times New Roman" w:hAnsi="Times New Roman" w:cs="Times New Roman"/>
                <w:sz w:val="24"/>
                <w:lang w:val="en-US" w:eastAsia="zh-CN"/>
              </w:rPr>
              <w:t>（与其他工业气体共用）</w:t>
            </w:r>
            <w:r>
              <w:rPr>
                <w:rFonts w:hint="default" w:ascii="Times New Roman" w:hAnsi="Times New Roman" w:eastAsia="宋体" w:cs="Times New Roman"/>
                <w:sz w:val="24"/>
                <w:lang w:val="en-US" w:eastAsia="zh-CN"/>
              </w:rPr>
              <w:t>，布置配套的气化及充装设备。</w:t>
            </w:r>
          </w:p>
          <w:p w14:paraId="712A3624">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（3）民用燃气灌装区（LPG）：</w:t>
            </w:r>
          </w:p>
          <w:p w14:paraId="1B14C41D">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color w:val="0000FF"/>
                <w:sz w:val="24"/>
                <w:lang w:val="en-US" w:eastAsia="zh-CN"/>
              </w:rPr>
              <w:t>包括</w:t>
            </w:r>
            <w:r>
              <w:rPr>
                <w:rFonts w:hint="default" w:ascii="Times New Roman" w:hAnsi="Times New Roman" w:eastAsia="宋体" w:cs="Times New Roman"/>
                <w:color w:val="0000FF"/>
                <w:sz w:val="24"/>
              </w:rPr>
              <w:t>LPG</w:t>
            </w:r>
            <w:r>
              <w:rPr>
                <w:rFonts w:hint="default" w:ascii="Times New Roman" w:hAnsi="Times New Roman" w:eastAsia="宋体" w:cs="Times New Roman"/>
                <w:color w:val="0000FF"/>
                <w:sz w:val="24"/>
                <w:lang w:eastAsia="zh-CN"/>
              </w:rPr>
              <w:t>（</w:t>
            </w:r>
            <w:r>
              <w:rPr>
                <w:rFonts w:hint="default" w:ascii="Times New Roman" w:hAnsi="Times New Roman" w:eastAsia="宋体" w:cs="Times New Roman"/>
                <w:color w:val="0000FF"/>
                <w:sz w:val="24"/>
                <w:lang w:val="en-US" w:eastAsia="zh-CN"/>
              </w:rPr>
              <w:t>液化</w:t>
            </w:r>
            <w:r>
              <w:rPr>
                <w:rFonts w:hint="default" w:ascii="Times New Roman" w:hAnsi="Times New Roman" w:cs="Times New Roman"/>
                <w:color w:val="0000FF"/>
                <w:sz w:val="24"/>
                <w:lang w:val="en-US" w:eastAsia="zh-CN"/>
              </w:rPr>
              <w:t>石油</w:t>
            </w:r>
            <w:r>
              <w:rPr>
                <w:rFonts w:hint="default" w:ascii="Times New Roman" w:hAnsi="Times New Roman" w:eastAsia="宋体" w:cs="Times New Roman"/>
                <w:color w:val="0000FF"/>
                <w:sz w:val="24"/>
                <w:lang w:val="en-US" w:eastAsia="zh-CN"/>
              </w:rPr>
              <w:t>气</w:t>
            </w:r>
            <w:r>
              <w:rPr>
                <w:rFonts w:hint="default" w:ascii="Times New Roman" w:hAnsi="Times New Roman" w:eastAsia="宋体" w:cs="Times New Roman"/>
                <w:color w:val="0000FF"/>
                <w:sz w:val="24"/>
                <w:lang w:eastAsia="zh-CN"/>
              </w:rPr>
              <w:t>）</w:t>
            </w:r>
            <w:r>
              <w:rPr>
                <w:rFonts w:hint="default" w:ascii="Times New Roman" w:hAnsi="Times New Roman" w:eastAsia="宋体" w:cs="Times New Roman"/>
                <w:color w:val="0000FF"/>
                <w:sz w:val="24"/>
              </w:rPr>
              <w:t>储罐区</w:t>
            </w:r>
            <w:r>
              <w:rPr>
                <w:rFonts w:hint="default" w:ascii="Times New Roman" w:hAnsi="Times New Roman" w:eastAsia="宋体" w:cs="Times New Roman"/>
                <w:color w:val="0000FF"/>
                <w:sz w:val="24"/>
                <w:lang w:eastAsia="zh-CN"/>
              </w:rPr>
              <w:t>，</w:t>
            </w:r>
            <w:r>
              <w:rPr>
                <w:rFonts w:hint="default" w:ascii="Times New Roman" w:hAnsi="Times New Roman" w:eastAsia="宋体" w:cs="Times New Roman"/>
                <w:color w:val="0000FF"/>
                <w:sz w:val="24"/>
                <w:lang w:val="en-US" w:eastAsia="zh-CN"/>
              </w:rPr>
              <w:t>储罐区</w:t>
            </w:r>
            <w:r>
              <w:rPr>
                <w:rFonts w:hint="default" w:ascii="Times New Roman" w:hAnsi="Times New Roman" w:eastAsia="宋体" w:cs="Times New Roman"/>
                <w:b w:val="0"/>
                <w:bCs w:val="0"/>
                <w:color w:val="0000FF"/>
                <w:sz w:val="24"/>
                <w:szCs w:val="24"/>
                <w:highlight w:val="none"/>
                <w:lang w:val="en-US" w:eastAsia="zh-CN"/>
              </w:rPr>
              <w:t>建设3座50m</w:t>
            </w:r>
            <w:r>
              <w:rPr>
                <w:rFonts w:hint="default" w:ascii="Times New Roman" w:hAnsi="Times New Roman" w:eastAsia="宋体" w:cs="Times New Roman"/>
                <w:b w:val="0"/>
                <w:bCs w:val="0"/>
                <w:color w:val="0000FF"/>
                <w:sz w:val="24"/>
                <w:szCs w:val="24"/>
                <w:highlight w:val="none"/>
                <w:vertAlign w:val="superscript"/>
                <w:lang w:val="en-US" w:eastAsia="zh-CN"/>
              </w:rPr>
              <w:t>3</w:t>
            </w:r>
            <w:r>
              <w:rPr>
                <w:rFonts w:hint="default" w:ascii="Times New Roman" w:hAnsi="Times New Roman" w:eastAsia="宋体" w:cs="Times New Roman"/>
                <w:b w:val="0"/>
                <w:bCs w:val="0"/>
                <w:color w:val="0000FF"/>
                <w:sz w:val="24"/>
                <w:szCs w:val="24"/>
                <w:highlight w:val="none"/>
                <w:lang w:val="en-US" w:eastAsia="zh-CN"/>
              </w:rPr>
              <w:t>的储罐（</w:t>
            </w:r>
            <w:r>
              <w:rPr>
                <w:rFonts w:hint="eastAsia" w:cs="Times New Roman"/>
                <w:b w:val="0"/>
                <w:bCs w:val="0"/>
                <w:color w:val="0000FF"/>
                <w:sz w:val="24"/>
                <w:szCs w:val="24"/>
                <w:lang w:val="en-US" w:eastAsia="zh-CN"/>
              </w:rPr>
              <w:t>2用1备</w:t>
            </w:r>
            <w:r>
              <w:rPr>
                <w:rFonts w:hint="default" w:ascii="Times New Roman" w:hAnsi="Times New Roman" w:eastAsia="宋体" w:cs="Times New Roman"/>
                <w:b w:val="0"/>
                <w:bCs w:val="0"/>
                <w:color w:val="0000FF"/>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卧式储罐地</w:t>
            </w:r>
            <w:r>
              <w:rPr>
                <w:rFonts w:hint="default" w:ascii="Times New Roman" w:hAnsi="Times New Roman" w:cs="Times New Roman"/>
                <w:b w:val="0"/>
                <w:bCs w:val="0"/>
                <w:color w:val="auto"/>
                <w:sz w:val="24"/>
                <w:szCs w:val="24"/>
                <w:highlight w:val="none"/>
                <w:lang w:val="en-US" w:eastAsia="zh-CN"/>
              </w:rPr>
              <w:t>下</w:t>
            </w:r>
            <w:r>
              <w:rPr>
                <w:rFonts w:hint="default" w:ascii="Times New Roman" w:hAnsi="Times New Roman" w:eastAsia="宋体" w:cs="Times New Roman"/>
                <w:b w:val="0"/>
                <w:bCs w:val="0"/>
                <w:color w:val="auto"/>
                <w:sz w:val="24"/>
                <w:szCs w:val="24"/>
                <w:highlight w:val="none"/>
                <w:lang w:val="en-US" w:eastAsia="zh-CN"/>
              </w:rPr>
              <w:t>布设</w:t>
            </w:r>
            <w:r>
              <w:rPr>
                <w:rFonts w:hint="default" w:ascii="Times New Roman" w:hAnsi="Times New Roman" w:eastAsia="宋体" w:cs="Times New Roman"/>
                <w:sz w:val="24"/>
              </w:rPr>
              <w:t>LPG灌瓶间</w:t>
            </w:r>
            <w:r>
              <w:rPr>
                <w:rFonts w:hint="default" w:ascii="Times New Roman" w:hAnsi="Times New Roman" w:eastAsia="宋体" w:cs="Times New Roman"/>
                <w:sz w:val="24"/>
                <w:lang w:val="en-US" w:eastAsia="zh-CN"/>
              </w:rPr>
              <w:t>1座</w:t>
            </w:r>
            <w:r>
              <w:rPr>
                <w:rFonts w:hint="default" w:ascii="Times New Roman" w:hAnsi="Times New Roman" w:eastAsia="宋体" w:cs="Times New Roman"/>
                <w:sz w:val="24"/>
              </w:rPr>
              <w:t>（含压缩机房）和卸车台</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灌装间布置配套的灌装泵、压缩机、灌装机等设备。</w:t>
            </w:r>
          </w:p>
          <w:p w14:paraId="4AF20D1D">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val="en-US" w:eastAsia="zh-CN"/>
              </w:rPr>
              <w:t>（4）气瓶检验站：</w:t>
            </w:r>
          </w:p>
          <w:p w14:paraId="599B05B2">
            <w:pPr>
              <w:spacing w:line="360" w:lineRule="auto"/>
              <w:ind w:firstLine="480" w:firstLineChars="200"/>
              <w:rPr>
                <w:rFonts w:hint="default" w:ascii="Times New Roman" w:hAnsi="Times New Roman" w:cs="Times New Roman"/>
                <w:sz w:val="24"/>
                <w:lang w:val="en-US" w:eastAsia="zh-CN"/>
              </w:rPr>
            </w:pPr>
            <w:r>
              <w:rPr>
                <w:rFonts w:hint="eastAsia" w:cs="Times New Roman"/>
                <w:sz w:val="24"/>
                <w:lang w:val="en-US" w:eastAsia="zh-CN"/>
              </w:rPr>
              <w:t>1）</w:t>
            </w:r>
            <w:r>
              <w:rPr>
                <w:rFonts w:hint="default" w:ascii="Times New Roman" w:hAnsi="Times New Roman" w:cs="Times New Roman"/>
                <w:sz w:val="24"/>
                <w:lang w:val="en-US" w:eastAsia="zh-CN"/>
              </w:rPr>
              <w:t>焊接气瓶检验线1条，检验LPG/丙烷钢瓶，包括残液回收、气瓶装卸、钢瓶除锈（抛丸）、链式焚烧炉、静电喷涂、气密检测等主要设备；</w:t>
            </w:r>
          </w:p>
          <w:p w14:paraId="139899D4">
            <w:pPr>
              <w:spacing w:line="360" w:lineRule="auto"/>
              <w:ind w:firstLine="480" w:firstLineChars="200"/>
              <w:rPr>
                <w:rFonts w:hint="default" w:ascii="Times New Roman" w:hAnsi="Times New Roman" w:eastAsia="宋体" w:cs="Times New Roman"/>
                <w:sz w:val="24"/>
                <w:lang w:val="en-US" w:eastAsia="zh-CN"/>
              </w:rPr>
            </w:pPr>
            <w:r>
              <w:rPr>
                <w:rFonts w:hint="eastAsia" w:cs="Times New Roman"/>
                <w:sz w:val="24"/>
                <w:lang w:val="en-US" w:eastAsia="zh-CN"/>
              </w:rPr>
              <w:t>2）</w:t>
            </w:r>
            <w:r>
              <w:rPr>
                <w:rFonts w:hint="default" w:ascii="Times New Roman" w:hAnsi="Times New Roman" w:cs="Times New Roman"/>
                <w:sz w:val="24"/>
                <w:lang w:val="en-US" w:eastAsia="zh-CN"/>
              </w:rPr>
              <w:t>无缝气瓶检验线1条，检验其他气体（氧气、氮气、氩气、二氧化碳气体）无缝钢瓶，包括氮气置换、钢瓶除锈（抛丸）、气密检测等主要设备。</w:t>
            </w:r>
          </w:p>
          <w:p w14:paraId="7FD16C10">
            <w:pPr>
              <w:spacing w:line="360" w:lineRule="auto"/>
              <w:ind w:firstLine="480" w:firstLineChars="200"/>
              <w:rPr>
                <w:rFonts w:hint="default" w:ascii="Times New Roman" w:hAnsi="Times New Roman" w:eastAsia="宋体" w:cs="Times New Roman"/>
                <w:sz w:val="24"/>
                <w:lang w:val="en-US" w:eastAsia="zh-CN"/>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5</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配套公辅设施：</w:t>
            </w:r>
          </w:p>
          <w:p w14:paraId="0CEC21B1">
            <w:pPr>
              <w:pStyle w:val="10"/>
              <w:keepNext w:val="0"/>
              <w:keepLines w:val="0"/>
              <w:pageBreakBefore w:val="0"/>
              <w:kinsoku/>
              <w:wordWrap/>
              <w:overflowPunct/>
              <w:topLinePunct w:val="0"/>
              <w:autoSpaceDE/>
              <w:autoSpaceDN/>
              <w:bidi w:val="0"/>
              <w:adjustRightInd/>
              <w:spacing w:before="0" w:after="0" w:line="360" w:lineRule="auto"/>
              <w:ind w:left="0" w:right="0" w:firstLine="480" w:firstLineChars="200"/>
              <w:textAlignment w:val="auto"/>
              <w:rPr>
                <w:rFonts w:hint="default" w:ascii="Times New Roman" w:hAnsi="Times New Roman" w:eastAsia="宋体" w:cs="Times New Roman"/>
                <w:sz w:val="24"/>
                <w:lang w:val="en-US" w:eastAsia="zh-CN"/>
              </w:rPr>
            </w:pPr>
            <w:r>
              <w:rPr>
                <w:rFonts w:hint="default" w:ascii="Times New Roman" w:hAnsi="Times New Roman" w:eastAsia="宋体" w:cs="Times New Roman"/>
                <w:sz w:val="24"/>
              </w:rPr>
              <w:t>作为整个厂区的办公及运营区域，设置辅助用房、控制室、消防泵房、配件库、门卫、消防水池</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事故水池等。</w:t>
            </w:r>
          </w:p>
          <w:p w14:paraId="2ECF6039">
            <w:pPr>
              <w:pStyle w:val="10"/>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b w:val="0"/>
                <w:bCs w:val="0"/>
                <w:color w:val="000000"/>
                <w:kern w:val="0"/>
                <w:sz w:val="24"/>
                <w:szCs w:val="24"/>
                <w:lang w:val="en-US" w:eastAsia="zh-CN" w:bidi="ar"/>
              </w:rPr>
            </w:pPr>
            <w:r>
              <w:rPr>
                <w:rFonts w:hint="default" w:ascii="Times New Roman" w:hAnsi="Times New Roman" w:eastAsia="宋体" w:cs="Times New Roman"/>
                <w:b w:val="0"/>
                <w:bCs w:val="0"/>
                <w:color w:val="000000"/>
                <w:kern w:val="0"/>
                <w:sz w:val="24"/>
                <w:szCs w:val="24"/>
                <w:lang w:val="en-US" w:eastAsia="zh-CN" w:bidi="ar"/>
              </w:rPr>
              <w:t>项目工程组成见表2</w:t>
            </w:r>
            <w:r>
              <w:rPr>
                <w:rFonts w:hint="default" w:ascii="Times New Roman" w:hAnsi="Times New Roman" w:cs="Times New Roman"/>
                <w:b w:val="0"/>
                <w:bCs w:val="0"/>
                <w:color w:val="000000"/>
                <w:kern w:val="0"/>
                <w:sz w:val="24"/>
                <w:szCs w:val="24"/>
                <w:lang w:val="en-US" w:eastAsia="zh-CN" w:bidi="ar"/>
              </w:rPr>
              <w:t>.3</w:t>
            </w:r>
            <w:r>
              <w:rPr>
                <w:rFonts w:hint="default" w:ascii="Times New Roman" w:hAnsi="Times New Roman" w:eastAsia="宋体" w:cs="Times New Roman"/>
                <w:b w:val="0"/>
                <w:bCs w:val="0"/>
                <w:color w:val="000000"/>
                <w:kern w:val="0"/>
                <w:sz w:val="24"/>
                <w:szCs w:val="24"/>
                <w:lang w:val="en-US" w:eastAsia="zh-CN" w:bidi="ar"/>
              </w:rPr>
              <w:t>-1。</w:t>
            </w:r>
          </w:p>
          <w:p w14:paraId="597036AF">
            <w:pPr>
              <w:pStyle w:val="10"/>
              <w:keepNext w:val="0"/>
              <w:keepLines w:val="0"/>
              <w:pageBreakBefore w:val="0"/>
              <w:widowControl/>
              <w:kinsoku/>
              <w:wordWrap/>
              <w:overflowPunct/>
              <w:topLinePunct w:val="0"/>
              <w:autoSpaceDE/>
              <w:autoSpaceDN/>
              <w:bidi w:val="0"/>
              <w:adjustRightInd/>
              <w:snapToGrid w:val="0"/>
              <w:spacing w:before="0" w:after="0" w:line="360" w:lineRule="auto"/>
              <w:ind w:right="0" w:firstLine="422" w:firstLineChars="200"/>
              <w:jc w:val="center"/>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表2</w:t>
            </w:r>
            <w:r>
              <w:rPr>
                <w:rFonts w:hint="default" w:ascii="Times New Roman" w:hAnsi="Times New Roman" w:cs="Times New Roman"/>
                <w:b/>
                <w:bCs/>
                <w:color w:val="000000"/>
                <w:kern w:val="0"/>
                <w:sz w:val="21"/>
                <w:szCs w:val="21"/>
                <w:lang w:val="en-US" w:eastAsia="zh-CN" w:bidi="ar"/>
              </w:rPr>
              <w:t>.3</w:t>
            </w:r>
            <w:r>
              <w:rPr>
                <w:rFonts w:hint="default" w:ascii="Times New Roman" w:hAnsi="Times New Roman" w:eastAsia="宋体" w:cs="Times New Roman"/>
                <w:b/>
                <w:bCs/>
                <w:color w:val="000000"/>
                <w:kern w:val="0"/>
                <w:sz w:val="21"/>
                <w:szCs w:val="21"/>
                <w:lang w:val="en-US" w:eastAsia="zh-CN" w:bidi="ar"/>
              </w:rPr>
              <w:t>-1  项目工程组成一览表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1"/>
              <w:gridCol w:w="522"/>
              <w:gridCol w:w="278"/>
              <w:gridCol w:w="93"/>
              <w:gridCol w:w="795"/>
              <w:gridCol w:w="1580"/>
              <w:gridCol w:w="4245"/>
            </w:tblGrid>
            <w:tr w14:paraId="2FA92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5" w:type="pct"/>
                  <w:noWrap w:val="0"/>
                  <w:vAlign w:val="center"/>
                </w:tcPr>
                <w:p w14:paraId="4C4C154F">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b/>
                      <w:bCs/>
                      <w:color w:val="0000FF"/>
                      <w:sz w:val="21"/>
                      <w:szCs w:val="21"/>
                    </w:rPr>
                  </w:pPr>
                  <w:r>
                    <w:rPr>
                      <w:rFonts w:hint="default" w:ascii="Times New Roman" w:hAnsi="Times New Roman" w:cs="Times New Roman"/>
                      <w:b/>
                      <w:bCs/>
                      <w:color w:val="0000FF"/>
                      <w:sz w:val="21"/>
                      <w:szCs w:val="21"/>
                    </w:rPr>
                    <w:t>类别</w:t>
                  </w:r>
                </w:p>
              </w:tc>
              <w:tc>
                <w:tcPr>
                  <w:tcW w:w="1057" w:type="pct"/>
                  <w:gridSpan w:val="4"/>
                  <w:noWrap w:val="0"/>
                  <w:vAlign w:val="center"/>
                </w:tcPr>
                <w:p w14:paraId="5CB16F21">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b/>
                      <w:bCs/>
                      <w:color w:val="0000FF"/>
                      <w:sz w:val="21"/>
                      <w:szCs w:val="21"/>
                    </w:rPr>
                  </w:pPr>
                  <w:r>
                    <w:rPr>
                      <w:rFonts w:hint="default" w:ascii="Times New Roman" w:hAnsi="Times New Roman" w:cs="Times New Roman"/>
                      <w:b/>
                      <w:bCs/>
                      <w:color w:val="0000FF"/>
                      <w:sz w:val="21"/>
                      <w:szCs w:val="21"/>
                    </w:rPr>
                    <w:t>名称</w:t>
                  </w:r>
                </w:p>
              </w:tc>
              <w:tc>
                <w:tcPr>
                  <w:tcW w:w="3647" w:type="pct"/>
                  <w:gridSpan w:val="2"/>
                  <w:noWrap w:val="0"/>
                  <w:vAlign w:val="center"/>
                </w:tcPr>
                <w:p w14:paraId="32EA3755">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b/>
                      <w:bCs/>
                      <w:color w:val="0000FF"/>
                      <w:sz w:val="21"/>
                      <w:szCs w:val="21"/>
                    </w:rPr>
                  </w:pPr>
                  <w:r>
                    <w:rPr>
                      <w:rFonts w:hint="default" w:ascii="Times New Roman" w:hAnsi="Times New Roman" w:cs="Times New Roman"/>
                      <w:b/>
                      <w:bCs/>
                      <w:color w:val="0000FF"/>
                      <w:sz w:val="21"/>
                      <w:szCs w:val="21"/>
                      <w:lang w:val="en-US" w:eastAsia="zh-CN"/>
                    </w:rPr>
                    <w:t>建设</w:t>
                  </w:r>
                  <w:r>
                    <w:rPr>
                      <w:rFonts w:hint="default" w:ascii="Times New Roman" w:hAnsi="Times New Roman" w:cs="Times New Roman"/>
                      <w:b/>
                      <w:bCs/>
                      <w:color w:val="0000FF"/>
                      <w:sz w:val="21"/>
                      <w:szCs w:val="21"/>
                    </w:rPr>
                    <w:t>内容</w:t>
                  </w:r>
                </w:p>
              </w:tc>
            </w:tr>
            <w:tr w14:paraId="26436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95" w:type="pct"/>
                  <w:vMerge w:val="restart"/>
                  <w:noWrap w:val="0"/>
                  <w:vAlign w:val="center"/>
                </w:tcPr>
                <w:p w14:paraId="06690637">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w:t>
                  </w:r>
                </w:p>
                <w:p w14:paraId="7C674992">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体</w:t>
                  </w:r>
                </w:p>
                <w:p w14:paraId="20AD8076">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工</w:t>
                  </w:r>
                </w:p>
                <w:p w14:paraId="12F7AE7D">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w:t>
                  </w:r>
                </w:p>
              </w:tc>
              <w:tc>
                <w:tcPr>
                  <w:tcW w:w="559" w:type="pct"/>
                  <w:gridSpan w:val="3"/>
                  <w:vMerge w:val="restart"/>
                  <w:noWrap w:val="0"/>
                  <w:vAlign w:val="center"/>
                </w:tcPr>
                <w:p w14:paraId="0391CC3E">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工业气体灌（充）装站</w:t>
                  </w:r>
                </w:p>
              </w:tc>
              <w:tc>
                <w:tcPr>
                  <w:tcW w:w="497" w:type="pct"/>
                  <w:noWrap w:val="0"/>
                  <w:vAlign w:val="center"/>
                </w:tcPr>
                <w:p w14:paraId="02ACD678">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改性丙烷</w:t>
                  </w:r>
                </w:p>
              </w:tc>
              <w:tc>
                <w:tcPr>
                  <w:tcW w:w="3647" w:type="pct"/>
                  <w:gridSpan w:val="2"/>
                  <w:noWrap w:val="0"/>
                  <w:vAlign w:val="center"/>
                </w:tcPr>
                <w:p w14:paraId="740CDEB8">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cs="Times New Roman"/>
                      <w:color w:val="0000FF"/>
                      <w:sz w:val="21"/>
                      <w:szCs w:val="21"/>
                      <w:lang w:val="en-US" w:eastAsia="zh-CN"/>
                    </w:rPr>
                    <w:t>改性丙烷气灌装站1座，灌装站包括改性丙烷罐区（含混合装置）和改性丙烷灌瓶间1座，卸车台与LPG共用，储罐区设3座50m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lang w:val="en-US" w:eastAsia="zh-CN"/>
                    </w:rPr>
                    <w:t>的储罐，（2用1备），卧式储罐地下布设</w:t>
                  </w:r>
                </w:p>
              </w:tc>
            </w:tr>
            <w:tr w14:paraId="28665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95" w:type="pct"/>
                  <w:vMerge w:val="continue"/>
                  <w:noWrap w:val="0"/>
                  <w:vAlign w:val="center"/>
                </w:tcPr>
                <w:p w14:paraId="752E661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0000FF"/>
                    </w:rPr>
                  </w:pPr>
                </w:p>
              </w:tc>
              <w:tc>
                <w:tcPr>
                  <w:tcW w:w="559" w:type="pct"/>
                  <w:gridSpan w:val="3"/>
                  <w:vMerge w:val="continue"/>
                  <w:noWrap w:val="0"/>
                  <w:vAlign w:val="center"/>
                </w:tcPr>
                <w:p w14:paraId="4783EA67">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0000FF"/>
                    </w:rPr>
                  </w:pPr>
                </w:p>
              </w:tc>
              <w:tc>
                <w:tcPr>
                  <w:tcW w:w="497" w:type="pct"/>
                  <w:noWrap w:val="0"/>
                  <w:vAlign w:val="center"/>
                </w:tcPr>
                <w:p w14:paraId="0E76E469">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eastAsia="宋体" w:cs="Times New Roman"/>
                      <w:b w:val="0"/>
                      <w:bCs w:val="0"/>
                      <w:color w:val="0000FF"/>
                      <w:sz w:val="21"/>
                      <w:szCs w:val="21"/>
                      <w:lang w:val="en-US" w:eastAsia="zh-CN"/>
                    </w:rPr>
                    <w:t>其他工业气体</w:t>
                  </w:r>
                </w:p>
              </w:tc>
              <w:tc>
                <w:tcPr>
                  <w:tcW w:w="3647" w:type="pct"/>
                  <w:gridSpan w:val="2"/>
                  <w:noWrap w:val="0"/>
                  <w:vAlign w:val="center"/>
                </w:tcPr>
                <w:p w14:paraId="2C14BB4C">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eastAsia="宋体" w:cs="Times New Roman"/>
                      <w:b w:val="0"/>
                      <w:bCs w:val="0"/>
                      <w:color w:val="0000FF"/>
                      <w:sz w:val="21"/>
                      <w:szCs w:val="21"/>
                      <w:lang w:val="en-US" w:eastAsia="zh-CN"/>
                    </w:rPr>
                  </w:pPr>
                  <w:r>
                    <w:rPr>
                      <w:rFonts w:hint="default" w:ascii="Times New Roman" w:hAnsi="Times New Roman" w:cs="Times New Roman"/>
                      <w:color w:val="0000FF"/>
                      <w:sz w:val="21"/>
                      <w:szCs w:val="21"/>
                      <w:lang w:val="en-US" w:eastAsia="zh-CN"/>
                    </w:rPr>
                    <w:t>其他工业气体充装站，包括储罐区和气体灌瓶间1座，储罐区设4座50m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lang w:val="en-US" w:eastAsia="zh-CN"/>
                    </w:rPr>
                    <w:t>的储罐，包括液氧储罐1座，液氮储罐1座，液氩储罐1座，液态二氧化碳储罐1座，立式储罐地上布设</w:t>
                  </w:r>
                </w:p>
              </w:tc>
            </w:tr>
            <w:tr w14:paraId="0D899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295" w:type="pct"/>
                  <w:vMerge w:val="continue"/>
                  <w:noWrap w:val="0"/>
                  <w:vAlign w:val="center"/>
                </w:tcPr>
                <w:p w14:paraId="092F0651">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noWrap w:val="0"/>
                  <w:vAlign w:val="center"/>
                </w:tcPr>
                <w:p w14:paraId="6FD5C7E7">
                  <w:pPr>
                    <w:pStyle w:val="75"/>
                    <w:keepNext w:val="0"/>
                    <w:keepLines w:val="0"/>
                    <w:pageBreakBefore w:val="0"/>
                    <w:widowControl w:val="0"/>
                    <w:kinsoku/>
                    <w:wordWrap/>
                    <w:overflowPunct/>
                    <w:topLinePunct w:val="0"/>
                    <w:bidi w:val="0"/>
                    <w:snapToGrid/>
                    <w:spacing w:line="240" w:lineRule="auto"/>
                    <w:ind w:left="0" w:leftChars="0"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医用氧气充装站</w:t>
                  </w:r>
                </w:p>
              </w:tc>
              <w:tc>
                <w:tcPr>
                  <w:tcW w:w="3647" w:type="pct"/>
                  <w:gridSpan w:val="2"/>
                  <w:noWrap w:val="0"/>
                  <w:vAlign w:val="center"/>
                </w:tcPr>
                <w:p w14:paraId="1ED95810">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医用氧气充装站1座，灌装站包括医用氧气（液）储罐区、医用氧气灌瓶间1座（与其他工业气体共用），储罐区设</w:t>
                  </w:r>
                  <w:r>
                    <w:rPr>
                      <w:rFonts w:hint="default" w:ascii="Times New Roman" w:hAnsi="Times New Roman" w:eastAsia="宋体" w:cs="Times New Roman"/>
                      <w:b w:val="0"/>
                      <w:bCs w:val="0"/>
                      <w:color w:val="0000FF"/>
                      <w:sz w:val="21"/>
                      <w:szCs w:val="21"/>
                      <w:highlight w:val="none"/>
                      <w:lang w:val="en-US" w:eastAsia="zh-CN"/>
                    </w:rPr>
                    <w:t>1座50m</w:t>
                  </w:r>
                  <w:r>
                    <w:rPr>
                      <w:rFonts w:hint="default" w:ascii="Times New Roman" w:hAnsi="Times New Roman" w:eastAsia="宋体" w:cs="Times New Roman"/>
                      <w:b w:val="0"/>
                      <w:bCs w:val="0"/>
                      <w:color w:val="0000FF"/>
                      <w:sz w:val="21"/>
                      <w:szCs w:val="21"/>
                      <w:highlight w:val="none"/>
                      <w:vertAlign w:val="superscript"/>
                      <w:lang w:val="en-US" w:eastAsia="zh-CN"/>
                    </w:rPr>
                    <w:t>3</w:t>
                  </w:r>
                  <w:r>
                    <w:rPr>
                      <w:rFonts w:hint="default" w:ascii="Times New Roman" w:hAnsi="Times New Roman" w:eastAsia="宋体" w:cs="Times New Roman"/>
                      <w:b w:val="0"/>
                      <w:bCs w:val="0"/>
                      <w:color w:val="0000FF"/>
                      <w:sz w:val="21"/>
                      <w:szCs w:val="21"/>
                      <w:highlight w:val="none"/>
                      <w:lang w:val="en-US" w:eastAsia="zh-CN"/>
                    </w:rPr>
                    <w:t>的储罐，</w:t>
                  </w:r>
                  <w:r>
                    <w:rPr>
                      <w:rFonts w:hint="default" w:ascii="Times New Roman" w:hAnsi="Times New Roman" w:cs="Times New Roman"/>
                      <w:color w:val="0000FF"/>
                      <w:sz w:val="21"/>
                      <w:szCs w:val="21"/>
                      <w:lang w:val="en-US" w:eastAsia="zh-CN"/>
                    </w:rPr>
                    <w:t>立式储罐地上布设</w:t>
                  </w:r>
                </w:p>
              </w:tc>
            </w:tr>
            <w:tr w14:paraId="2DF87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295" w:type="pct"/>
                  <w:vMerge w:val="continue"/>
                  <w:noWrap w:val="0"/>
                  <w:vAlign w:val="center"/>
                </w:tcPr>
                <w:p w14:paraId="43C19B10">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noWrap w:val="0"/>
                  <w:vAlign w:val="center"/>
                </w:tcPr>
                <w:p w14:paraId="6D4A5AA5">
                  <w:pPr>
                    <w:pStyle w:val="75"/>
                    <w:keepNext w:val="0"/>
                    <w:keepLines w:val="0"/>
                    <w:pageBreakBefore w:val="0"/>
                    <w:widowControl w:val="0"/>
                    <w:kinsoku/>
                    <w:wordWrap/>
                    <w:overflowPunct/>
                    <w:topLinePunct w:val="0"/>
                    <w:bidi w:val="0"/>
                    <w:snapToGrid/>
                    <w:spacing w:line="240" w:lineRule="auto"/>
                    <w:ind w:left="0" w:leftChars="0" w:firstLine="0" w:firstLineChars="0"/>
                    <w:jc w:val="center"/>
                    <w:textAlignment w:val="auto"/>
                    <w:rPr>
                      <w:rFonts w:hint="default" w:ascii="Times New Roman" w:hAnsi="Times New Roman" w:cs="Times New Roman"/>
                      <w:color w:val="0000FF"/>
                      <w:lang w:eastAsia="zh-CN"/>
                    </w:rPr>
                  </w:pPr>
                  <w:r>
                    <w:rPr>
                      <w:rFonts w:hint="default" w:ascii="Times New Roman" w:hAnsi="Times New Roman" w:cs="Times New Roman"/>
                      <w:color w:val="0000FF"/>
                      <w:sz w:val="21"/>
                      <w:szCs w:val="21"/>
                      <w:lang w:val="en-US" w:eastAsia="zh-CN"/>
                    </w:rPr>
                    <w:t>民用气体（液化石油气）灌装站</w:t>
                  </w:r>
                </w:p>
              </w:tc>
              <w:tc>
                <w:tcPr>
                  <w:tcW w:w="3647" w:type="pct"/>
                  <w:gridSpan w:val="2"/>
                  <w:noWrap w:val="0"/>
                  <w:vAlign w:val="center"/>
                </w:tcPr>
                <w:p w14:paraId="4CF001B6">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液化石油气灌装站1座，灌装站包括LPG储罐区、LPG灌瓶间（含压缩机房）和LPG卸车台，储罐区设</w:t>
                  </w:r>
                  <w:r>
                    <w:rPr>
                      <w:rFonts w:hint="default" w:ascii="Times New Roman" w:hAnsi="Times New Roman" w:eastAsia="宋体" w:cs="Times New Roman"/>
                      <w:b w:val="0"/>
                      <w:bCs w:val="0"/>
                      <w:color w:val="0000FF"/>
                      <w:sz w:val="21"/>
                      <w:szCs w:val="21"/>
                      <w:highlight w:val="none"/>
                      <w:lang w:val="en-US" w:eastAsia="zh-CN"/>
                    </w:rPr>
                    <w:t>3座50m</w:t>
                  </w:r>
                  <w:r>
                    <w:rPr>
                      <w:rFonts w:hint="default" w:ascii="Times New Roman" w:hAnsi="Times New Roman" w:eastAsia="宋体" w:cs="Times New Roman"/>
                      <w:b w:val="0"/>
                      <w:bCs w:val="0"/>
                      <w:color w:val="0000FF"/>
                      <w:sz w:val="21"/>
                      <w:szCs w:val="21"/>
                      <w:highlight w:val="none"/>
                      <w:vertAlign w:val="superscript"/>
                      <w:lang w:val="en-US" w:eastAsia="zh-CN"/>
                    </w:rPr>
                    <w:t>3</w:t>
                  </w:r>
                  <w:r>
                    <w:rPr>
                      <w:rFonts w:hint="default" w:ascii="Times New Roman" w:hAnsi="Times New Roman" w:eastAsia="宋体" w:cs="Times New Roman"/>
                      <w:b w:val="0"/>
                      <w:bCs w:val="0"/>
                      <w:color w:val="0000FF"/>
                      <w:sz w:val="21"/>
                      <w:szCs w:val="21"/>
                      <w:highlight w:val="none"/>
                      <w:lang w:val="en-US" w:eastAsia="zh-CN"/>
                    </w:rPr>
                    <w:t>的储罐（</w:t>
                  </w:r>
                  <w:r>
                    <w:rPr>
                      <w:rFonts w:hint="eastAsia" w:cs="Times New Roman"/>
                      <w:b w:val="0"/>
                      <w:bCs w:val="0"/>
                      <w:color w:val="0000FF"/>
                      <w:sz w:val="21"/>
                      <w:szCs w:val="21"/>
                      <w:lang w:val="en-US" w:eastAsia="zh-CN"/>
                    </w:rPr>
                    <w:t>2用1备</w:t>
                  </w:r>
                  <w:r>
                    <w:rPr>
                      <w:rFonts w:hint="default" w:ascii="Times New Roman" w:hAnsi="Times New Roman" w:eastAsia="宋体" w:cs="Times New Roman"/>
                      <w:b w:val="0"/>
                      <w:bCs w:val="0"/>
                      <w:color w:val="0000FF"/>
                      <w:sz w:val="21"/>
                      <w:szCs w:val="21"/>
                      <w:highlight w:val="none"/>
                      <w:lang w:val="en-US" w:eastAsia="zh-CN"/>
                    </w:rPr>
                    <w:t>），卧式储罐</w:t>
                  </w:r>
                  <w:r>
                    <w:rPr>
                      <w:rFonts w:hint="default" w:ascii="Times New Roman" w:hAnsi="Times New Roman" w:cs="Times New Roman"/>
                      <w:b w:val="0"/>
                      <w:bCs w:val="0"/>
                      <w:color w:val="0000FF"/>
                      <w:sz w:val="21"/>
                      <w:szCs w:val="21"/>
                      <w:highlight w:val="none"/>
                      <w:lang w:val="en-US" w:eastAsia="zh-CN"/>
                    </w:rPr>
                    <w:t>地下</w:t>
                  </w:r>
                  <w:r>
                    <w:rPr>
                      <w:rFonts w:hint="default" w:ascii="Times New Roman" w:hAnsi="Times New Roman" w:eastAsia="宋体" w:cs="Times New Roman"/>
                      <w:b w:val="0"/>
                      <w:bCs w:val="0"/>
                      <w:color w:val="0000FF"/>
                      <w:sz w:val="21"/>
                      <w:szCs w:val="21"/>
                      <w:highlight w:val="none"/>
                      <w:lang w:val="en-US" w:eastAsia="zh-CN"/>
                    </w:rPr>
                    <w:t>布设</w:t>
                  </w:r>
                </w:p>
              </w:tc>
            </w:tr>
            <w:tr w14:paraId="46899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95" w:type="pct"/>
                  <w:vMerge w:val="continue"/>
                  <w:noWrap w:val="0"/>
                  <w:vAlign w:val="center"/>
                </w:tcPr>
                <w:p w14:paraId="42AAE088">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501" w:type="pct"/>
                  <w:gridSpan w:val="2"/>
                  <w:vMerge w:val="restart"/>
                  <w:noWrap w:val="0"/>
                  <w:vAlign w:val="center"/>
                </w:tcPr>
                <w:p w14:paraId="4E5C73E4">
                  <w:pPr>
                    <w:pStyle w:val="75"/>
                    <w:keepNext w:val="0"/>
                    <w:keepLines w:val="0"/>
                    <w:pageBreakBefore w:val="0"/>
                    <w:widowControl w:val="0"/>
                    <w:kinsoku/>
                    <w:wordWrap/>
                    <w:overflowPunct/>
                    <w:topLinePunct w:val="0"/>
                    <w:bidi w:val="0"/>
                    <w:snapToGrid/>
                    <w:spacing w:line="240" w:lineRule="auto"/>
                    <w:ind w:left="0"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气瓶检测站</w:t>
                  </w:r>
                </w:p>
              </w:tc>
              <w:tc>
                <w:tcPr>
                  <w:tcW w:w="555" w:type="pct"/>
                  <w:gridSpan w:val="2"/>
                  <w:noWrap w:val="0"/>
                  <w:vAlign w:val="center"/>
                </w:tcPr>
                <w:p w14:paraId="341289E0">
                  <w:pPr>
                    <w:pStyle w:val="75"/>
                    <w:keepNext w:val="0"/>
                    <w:keepLines w:val="0"/>
                    <w:pageBreakBefore w:val="0"/>
                    <w:widowControl w:val="0"/>
                    <w:kinsoku/>
                    <w:wordWrap/>
                    <w:overflowPunct/>
                    <w:topLinePunct w:val="0"/>
                    <w:bidi w:val="0"/>
                    <w:snapToGrid/>
                    <w:spacing w:line="240" w:lineRule="auto"/>
                    <w:ind w:left="0"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焊接钢瓶</w:t>
                  </w:r>
                </w:p>
              </w:tc>
              <w:tc>
                <w:tcPr>
                  <w:tcW w:w="3647" w:type="pct"/>
                  <w:gridSpan w:val="2"/>
                  <w:noWrap w:val="0"/>
                  <w:vAlign w:val="center"/>
                </w:tcPr>
                <w:p w14:paraId="26A7F8A1">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焊接气瓶检验线1条，检验LPG/丙烷钢瓶，包括残液回收、气瓶装卸、钢瓶除锈（抛丸）、链式焚烧炉、静电喷涂、气密检测等主要设备</w:t>
                  </w:r>
                </w:p>
              </w:tc>
            </w:tr>
            <w:tr w14:paraId="57B68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95" w:type="pct"/>
                  <w:vMerge w:val="continue"/>
                  <w:noWrap w:val="0"/>
                  <w:vAlign w:val="center"/>
                </w:tcPr>
                <w:p w14:paraId="6A5BCB24">
                  <w:pPr>
                    <w:pStyle w:val="75"/>
                    <w:keepNext w:val="0"/>
                    <w:keepLines w:val="0"/>
                    <w:pageBreakBefore w:val="0"/>
                    <w:widowControl w:val="0"/>
                    <w:kinsoku/>
                    <w:wordWrap/>
                    <w:overflowPunct/>
                    <w:topLinePunct w:val="0"/>
                    <w:bidi w:val="0"/>
                    <w:snapToGrid/>
                    <w:spacing w:line="240" w:lineRule="auto"/>
                    <w:ind w:left="0" w:firstLine="0" w:firstLineChars="0"/>
                    <w:jc w:val="center"/>
                    <w:textAlignment w:val="auto"/>
                    <w:rPr>
                      <w:rFonts w:hint="default" w:ascii="Times New Roman" w:hAnsi="Times New Roman" w:cs="Times New Roman"/>
                      <w:color w:val="0000FF"/>
                    </w:rPr>
                  </w:pPr>
                </w:p>
              </w:tc>
              <w:tc>
                <w:tcPr>
                  <w:tcW w:w="501" w:type="pct"/>
                  <w:gridSpan w:val="2"/>
                  <w:vMerge w:val="continue"/>
                  <w:noWrap w:val="0"/>
                  <w:vAlign w:val="center"/>
                </w:tcPr>
                <w:p w14:paraId="015BB905">
                  <w:pPr>
                    <w:pStyle w:val="75"/>
                    <w:keepNext w:val="0"/>
                    <w:keepLines w:val="0"/>
                    <w:pageBreakBefore w:val="0"/>
                    <w:widowControl w:val="0"/>
                    <w:kinsoku/>
                    <w:wordWrap/>
                    <w:overflowPunct/>
                    <w:topLinePunct w:val="0"/>
                    <w:bidi w:val="0"/>
                    <w:snapToGrid/>
                    <w:spacing w:line="240" w:lineRule="auto"/>
                    <w:ind w:left="0" w:firstLine="0" w:firstLineChars="0"/>
                    <w:jc w:val="center"/>
                    <w:textAlignment w:val="auto"/>
                    <w:rPr>
                      <w:rFonts w:hint="default" w:ascii="Times New Roman" w:hAnsi="Times New Roman" w:cs="Times New Roman"/>
                      <w:color w:val="0000FF"/>
                    </w:rPr>
                  </w:pPr>
                </w:p>
              </w:tc>
              <w:tc>
                <w:tcPr>
                  <w:tcW w:w="555" w:type="pct"/>
                  <w:gridSpan w:val="2"/>
                  <w:noWrap w:val="0"/>
                  <w:vAlign w:val="center"/>
                </w:tcPr>
                <w:p w14:paraId="1079A14C">
                  <w:pPr>
                    <w:pStyle w:val="75"/>
                    <w:keepNext w:val="0"/>
                    <w:keepLines w:val="0"/>
                    <w:pageBreakBefore w:val="0"/>
                    <w:widowControl w:val="0"/>
                    <w:kinsoku/>
                    <w:wordWrap/>
                    <w:overflowPunct/>
                    <w:topLinePunct w:val="0"/>
                    <w:bidi w:val="0"/>
                    <w:snapToGrid/>
                    <w:spacing w:line="240" w:lineRule="auto"/>
                    <w:ind w:left="0"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无缝钢瓶</w:t>
                  </w:r>
                </w:p>
              </w:tc>
              <w:tc>
                <w:tcPr>
                  <w:tcW w:w="3647" w:type="pct"/>
                  <w:gridSpan w:val="2"/>
                  <w:noWrap w:val="0"/>
                  <w:vAlign w:val="center"/>
                </w:tcPr>
                <w:p w14:paraId="37CAFA3F">
                  <w:pPr>
                    <w:pStyle w:val="75"/>
                    <w:keepNext w:val="0"/>
                    <w:keepLines w:val="0"/>
                    <w:pageBreakBefore w:val="0"/>
                    <w:widowControl w:val="0"/>
                    <w:kinsoku/>
                    <w:wordWrap/>
                    <w:overflowPunct/>
                    <w:topLinePunct w:val="0"/>
                    <w:bidi w:val="0"/>
                    <w:snapToGrid/>
                    <w:spacing w:line="240" w:lineRule="auto"/>
                    <w:ind w:left="0" w:firstLine="0" w:firstLineChars="0"/>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无缝气瓶检验线1条，检验其他气体（氧气、氮气、氩气、二氧化碳气体）无缝钢瓶，包括氮气置换、钢瓶除锈（抛丸）、气密检测等主要设备</w:t>
                  </w:r>
                </w:p>
              </w:tc>
            </w:tr>
            <w:tr w14:paraId="660C1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5" w:type="pct"/>
                  <w:vMerge w:val="restart"/>
                  <w:noWrap w:val="0"/>
                  <w:vAlign w:val="center"/>
                </w:tcPr>
                <w:p w14:paraId="51A2C334">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lang w:val="en-US" w:eastAsia="zh-CN"/>
                    </w:rPr>
                    <w:t>储运</w:t>
                  </w:r>
                  <w:r>
                    <w:rPr>
                      <w:rFonts w:hint="default" w:ascii="Times New Roman" w:hAnsi="Times New Roman" w:cs="Times New Roman"/>
                      <w:color w:val="0000FF"/>
                      <w:sz w:val="21"/>
                      <w:szCs w:val="21"/>
                    </w:rPr>
                    <w:t>工程</w:t>
                  </w:r>
                </w:p>
              </w:tc>
              <w:tc>
                <w:tcPr>
                  <w:tcW w:w="1057" w:type="pct"/>
                  <w:gridSpan w:val="4"/>
                  <w:noWrap w:val="0"/>
                  <w:vAlign w:val="center"/>
                </w:tcPr>
                <w:p w14:paraId="40F089CD">
                  <w:pPr>
                    <w:pStyle w:val="75"/>
                    <w:keepNext w:val="0"/>
                    <w:keepLines w:val="0"/>
                    <w:pageBreakBefore w:val="0"/>
                    <w:widowControl w:val="0"/>
                    <w:kinsoku/>
                    <w:wordWrap/>
                    <w:overflowPunct/>
                    <w:topLinePunct w:val="0"/>
                    <w:bidi w:val="0"/>
                    <w:snapToGrid/>
                    <w:spacing w:line="240" w:lineRule="auto"/>
                    <w:ind w:left="0" w:leftChars="0"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配件库</w:t>
                  </w:r>
                </w:p>
              </w:tc>
              <w:tc>
                <w:tcPr>
                  <w:tcW w:w="3647" w:type="pct"/>
                  <w:gridSpan w:val="2"/>
                  <w:noWrap w:val="0"/>
                  <w:vAlign w:val="center"/>
                </w:tcPr>
                <w:p w14:paraId="2C3A2693">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新建配件库1座，单层框架结构，面积719.15m</w:t>
                  </w:r>
                  <w:r>
                    <w:rPr>
                      <w:rFonts w:hint="default" w:ascii="Times New Roman" w:hAnsi="Times New Roman" w:cs="Times New Roman"/>
                      <w:color w:val="0000FF"/>
                      <w:sz w:val="21"/>
                      <w:szCs w:val="21"/>
                      <w:vertAlign w:val="superscript"/>
                      <w:lang w:val="en-US" w:eastAsia="zh-CN"/>
                    </w:rPr>
                    <w:t>2</w:t>
                  </w:r>
                  <w:r>
                    <w:rPr>
                      <w:rFonts w:hint="default" w:ascii="Times New Roman" w:hAnsi="Times New Roman" w:cs="Times New Roman"/>
                      <w:color w:val="0000FF"/>
                      <w:sz w:val="21"/>
                      <w:szCs w:val="21"/>
                      <w:lang w:val="en-US" w:eastAsia="zh-CN"/>
                    </w:rPr>
                    <w:t>，用于存放配件</w:t>
                  </w:r>
                </w:p>
              </w:tc>
            </w:tr>
            <w:tr w14:paraId="1C823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295" w:type="pct"/>
                  <w:vMerge w:val="continue"/>
                  <w:noWrap w:val="0"/>
                  <w:vAlign w:val="center"/>
                </w:tcPr>
                <w:p w14:paraId="19A1ECDE">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057" w:type="pct"/>
                  <w:gridSpan w:val="4"/>
                  <w:noWrap w:val="0"/>
                  <w:vAlign w:val="center"/>
                </w:tcPr>
                <w:p w14:paraId="02DDBA1F">
                  <w:pPr>
                    <w:pStyle w:val="75"/>
                    <w:keepNext w:val="0"/>
                    <w:keepLines w:val="0"/>
                    <w:pageBreakBefore w:val="0"/>
                    <w:widowControl w:val="0"/>
                    <w:kinsoku/>
                    <w:wordWrap/>
                    <w:overflowPunct/>
                    <w:topLinePunct w:val="0"/>
                    <w:bidi w:val="0"/>
                    <w:snapToGrid/>
                    <w:spacing w:line="240" w:lineRule="auto"/>
                    <w:ind w:left="0" w:leftChars="0" w:firstLine="0" w:firstLine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新瓶库</w:t>
                  </w:r>
                </w:p>
              </w:tc>
              <w:tc>
                <w:tcPr>
                  <w:tcW w:w="3647" w:type="pct"/>
                  <w:gridSpan w:val="2"/>
                  <w:noWrap w:val="0"/>
                  <w:vAlign w:val="center"/>
                </w:tcPr>
                <w:p w14:paraId="23E5CC56">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cs="Times New Roman"/>
                      <w:color w:val="0000FF"/>
                      <w:sz w:val="21"/>
                      <w:szCs w:val="21"/>
                      <w:vertAlign w:val="baseline"/>
                      <w:lang w:val="en-US" w:eastAsia="zh-CN"/>
                    </w:rPr>
                  </w:pPr>
                  <w:r>
                    <w:rPr>
                      <w:rFonts w:hint="default" w:ascii="Times New Roman" w:hAnsi="Times New Roman" w:cs="Times New Roman"/>
                      <w:color w:val="0000FF"/>
                      <w:sz w:val="21"/>
                      <w:szCs w:val="21"/>
                      <w:lang w:val="en-US" w:eastAsia="zh-CN"/>
                    </w:rPr>
                    <w:t>新建新瓶库1座，单层框架结构，面积317.39m</w:t>
                  </w:r>
                  <w:r>
                    <w:rPr>
                      <w:rFonts w:hint="default" w:ascii="Times New Roman" w:hAnsi="Times New Roman" w:cs="Times New Roman"/>
                      <w:color w:val="0000FF"/>
                      <w:sz w:val="21"/>
                      <w:szCs w:val="21"/>
                      <w:vertAlign w:val="superscript"/>
                      <w:lang w:val="en-US" w:eastAsia="zh-CN"/>
                    </w:rPr>
                    <w:t>2</w:t>
                  </w:r>
                  <w:r>
                    <w:rPr>
                      <w:rFonts w:hint="default" w:ascii="Times New Roman" w:hAnsi="Times New Roman" w:cs="Times New Roman"/>
                      <w:color w:val="0000FF"/>
                      <w:sz w:val="21"/>
                      <w:szCs w:val="21"/>
                      <w:lang w:val="en-US" w:eastAsia="zh-CN"/>
                    </w:rPr>
                    <w:t>，用于存放待灌装气瓶</w:t>
                  </w:r>
                </w:p>
              </w:tc>
            </w:tr>
            <w:tr w14:paraId="5630A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295" w:type="pct"/>
                  <w:vMerge w:val="continue"/>
                  <w:noWrap w:val="0"/>
                  <w:vAlign w:val="center"/>
                </w:tcPr>
                <w:p w14:paraId="218913C9">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057" w:type="pct"/>
                  <w:gridSpan w:val="4"/>
                  <w:shd w:val="clear" w:color="auto" w:fill="auto"/>
                  <w:noWrap w:val="0"/>
                  <w:vAlign w:val="center"/>
                </w:tcPr>
                <w:p w14:paraId="49E1A29F">
                  <w:pPr>
                    <w:pStyle w:val="75"/>
                    <w:keepNext w:val="0"/>
                    <w:keepLines w:val="0"/>
                    <w:pageBreakBefore w:val="0"/>
                    <w:widowControl w:val="0"/>
                    <w:kinsoku/>
                    <w:wordWrap/>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液态改性丙烷储罐区</w:t>
                  </w:r>
                </w:p>
              </w:tc>
              <w:tc>
                <w:tcPr>
                  <w:tcW w:w="3647" w:type="pct"/>
                  <w:gridSpan w:val="2"/>
                  <w:shd w:val="clear" w:color="auto" w:fill="auto"/>
                  <w:noWrap w:val="0"/>
                  <w:vAlign w:val="center"/>
                </w:tcPr>
                <w:p w14:paraId="21846A30">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cs="Times New Roman"/>
                      <w:color w:val="0000FF"/>
                      <w:sz w:val="21"/>
                      <w:szCs w:val="21"/>
                      <w:lang w:val="en-US" w:eastAsia="zh-CN"/>
                    </w:rPr>
                    <w:t>储罐区设3座50m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lang w:val="en-US" w:eastAsia="zh-CN"/>
                    </w:rPr>
                    <w:t>的储罐</w:t>
                  </w:r>
                  <w:r>
                    <w:rPr>
                      <w:rFonts w:hint="default" w:ascii="Times New Roman" w:hAnsi="Times New Roman" w:eastAsia="宋体" w:cs="Times New Roman"/>
                      <w:b w:val="0"/>
                      <w:bCs w:val="0"/>
                      <w:color w:val="0000FF"/>
                      <w:sz w:val="21"/>
                      <w:szCs w:val="21"/>
                      <w:highlight w:val="none"/>
                      <w:lang w:val="en-US" w:eastAsia="zh-CN"/>
                    </w:rPr>
                    <w:t>（</w:t>
                  </w:r>
                  <w:r>
                    <w:rPr>
                      <w:rFonts w:hint="default" w:ascii="Times New Roman" w:hAnsi="Times New Roman" w:cs="Times New Roman"/>
                      <w:b w:val="0"/>
                      <w:bCs w:val="0"/>
                      <w:color w:val="0000FF"/>
                      <w:sz w:val="21"/>
                      <w:szCs w:val="21"/>
                      <w:highlight w:val="none"/>
                      <w:lang w:val="en-US" w:eastAsia="zh-CN"/>
                    </w:rPr>
                    <w:t>2用1备</w:t>
                  </w:r>
                  <w:r>
                    <w:rPr>
                      <w:rFonts w:hint="default" w:ascii="Times New Roman" w:hAnsi="Times New Roman" w:eastAsia="宋体" w:cs="Times New Roman"/>
                      <w:b w:val="0"/>
                      <w:bCs w:val="0"/>
                      <w:color w:val="0000FF"/>
                      <w:sz w:val="21"/>
                      <w:szCs w:val="21"/>
                      <w:highlight w:val="none"/>
                      <w:lang w:val="en-US" w:eastAsia="zh-CN"/>
                    </w:rPr>
                    <w:t>）</w:t>
                  </w:r>
                  <w:r>
                    <w:rPr>
                      <w:rFonts w:hint="default" w:ascii="Times New Roman" w:hAnsi="Times New Roman" w:cs="Times New Roman"/>
                      <w:b w:val="0"/>
                      <w:bCs w:val="0"/>
                      <w:color w:val="0000FF"/>
                      <w:sz w:val="21"/>
                      <w:szCs w:val="21"/>
                      <w:highlight w:val="none"/>
                      <w:lang w:val="en-US" w:eastAsia="zh-CN"/>
                    </w:rPr>
                    <w:t>，</w:t>
                  </w:r>
                  <w:r>
                    <w:rPr>
                      <w:rFonts w:hint="default" w:ascii="Times New Roman" w:hAnsi="Times New Roman" w:eastAsia="宋体" w:cs="Times New Roman"/>
                      <w:b w:val="0"/>
                      <w:bCs w:val="0"/>
                      <w:color w:val="0000FF"/>
                      <w:sz w:val="21"/>
                      <w:szCs w:val="21"/>
                      <w:highlight w:val="none"/>
                      <w:lang w:val="en-US" w:eastAsia="zh-CN"/>
                    </w:rPr>
                    <w:t>卧式储罐</w:t>
                  </w:r>
                  <w:r>
                    <w:rPr>
                      <w:rFonts w:hint="default" w:ascii="Times New Roman" w:hAnsi="Times New Roman" w:cs="Times New Roman"/>
                      <w:b w:val="0"/>
                      <w:bCs w:val="0"/>
                      <w:color w:val="0000FF"/>
                      <w:sz w:val="21"/>
                      <w:szCs w:val="21"/>
                      <w:highlight w:val="none"/>
                      <w:lang w:val="en-US" w:eastAsia="zh-CN"/>
                    </w:rPr>
                    <w:t>地下</w:t>
                  </w:r>
                  <w:r>
                    <w:rPr>
                      <w:rFonts w:hint="default" w:ascii="Times New Roman" w:hAnsi="Times New Roman" w:eastAsia="宋体" w:cs="Times New Roman"/>
                      <w:b w:val="0"/>
                      <w:bCs w:val="0"/>
                      <w:color w:val="0000FF"/>
                      <w:sz w:val="21"/>
                      <w:szCs w:val="21"/>
                      <w:highlight w:val="none"/>
                      <w:lang w:val="en-US" w:eastAsia="zh-CN"/>
                    </w:rPr>
                    <w:t>布设</w:t>
                  </w:r>
                </w:p>
              </w:tc>
            </w:tr>
            <w:tr w14:paraId="0D2E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295" w:type="pct"/>
                  <w:vMerge w:val="continue"/>
                  <w:noWrap w:val="0"/>
                  <w:vAlign w:val="center"/>
                </w:tcPr>
                <w:p w14:paraId="739A987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057" w:type="pct"/>
                  <w:gridSpan w:val="4"/>
                  <w:shd w:val="clear" w:color="auto" w:fill="auto"/>
                  <w:noWrap w:val="0"/>
                  <w:vAlign w:val="center"/>
                </w:tcPr>
                <w:p w14:paraId="4F9DDA93">
                  <w:pPr>
                    <w:pStyle w:val="75"/>
                    <w:keepNext w:val="0"/>
                    <w:keepLines w:val="0"/>
                    <w:pageBreakBefore w:val="0"/>
                    <w:widowControl w:val="0"/>
                    <w:kinsoku/>
                    <w:wordWrap/>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其他工业气体储罐区</w:t>
                  </w:r>
                </w:p>
              </w:tc>
              <w:tc>
                <w:tcPr>
                  <w:tcW w:w="3647" w:type="pct"/>
                  <w:gridSpan w:val="2"/>
                  <w:shd w:val="clear" w:color="auto" w:fill="auto"/>
                  <w:noWrap w:val="0"/>
                  <w:vAlign w:val="center"/>
                </w:tcPr>
                <w:p w14:paraId="38730AAC">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eastAsia="宋体" w:cs="Times New Roman"/>
                      <w:color w:val="0000FF"/>
                      <w:kern w:val="2"/>
                      <w:sz w:val="21"/>
                      <w:szCs w:val="21"/>
                      <w:highlight w:val="none"/>
                      <w:lang w:val="en-US" w:eastAsia="zh-CN" w:bidi="ar-SA"/>
                    </w:rPr>
                  </w:pPr>
                  <w:r>
                    <w:rPr>
                      <w:rFonts w:hint="default" w:ascii="Times New Roman" w:hAnsi="Times New Roman" w:cs="Times New Roman"/>
                      <w:color w:val="0000FF"/>
                      <w:sz w:val="21"/>
                      <w:szCs w:val="21"/>
                      <w:lang w:val="en-US" w:eastAsia="zh-CN"/>
                    </w:rPr>
                    <w:t>储罐区设4座50m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lang w:val="en-US" w:eastAsia="zh-CN"/>
                    </w:rPr>
                    <w:t>的储罐，包括液氧储罐1座，液氮储罐1座，液氩储罐1座，液态二氧化碳储罐1座，立式储罐地上布设</w:t>
                  </w:r>
                </w:p>
              </w:tc>
            </w:tr>
            <w:tr w14:paraId="144A4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295" w:type="pct"/>
                  <w:vMerge w:val="continue"/>
                  <w:noWrap w:val="0"/>
                  <w:vAlign w:val="center"/>
                </w:tcPr>
                <w:p w14:paraId="0FA17248">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057" w:type="pct"/>
                  <w:gridSpan w:val="4"/>
                  <w:shd w:val="clear" w:color="auto" w:fill="auto"/>
                  <w:noWrap w:val="0"/>
                  <w:vAlign w:val="center"/>
                </w:tcPr>
                <w:p w14:paraId="1020A1C8">
                  <w:pPr>
                    <w:pStyle w:val="75"/>
                    <w:keepNext w:val="0"/>
                    <w:keepLines w:val="0"/>
                    <w:pageBreakBefore w:val="0"/>
                    <w:widowControl w:val="0"/>
                    <w:kinsoku/>
                    <w:wordWrap/>
                    <w:overflowPunct/>
                    <w:topLinePunct w:val="0"/>
                    <w:bidi w:val="0"/>
                    <w:snapToGrid/>
                    <w:spacing w:line="240" w:lineRule="auto"/>
                    <w:ind w:left="0" w:leftChars="0" w:firstLine="0" w:firstLineChars="0"/>
                    <w:jc w:val="center"/>
                    <w:textAlignment w:val="auto"/>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医用氧气储罐区</w:t>
                  </w:r>
                </w:p>
              </w:tc>
              <w:tc>
                <w:tcPr>
                  <w:tcW w:w="3647" w:type="pct"/>
                  <w:gridSpan w:val="2"/>
                  <w:shd w:val="clear" w:color="auto" w:fill="auto"/>
                  <w:noWrap w:val="0"/>
                  <w:vAlign w:val="center"/>
                </w:tcPr>
                <w:p w14:paraId="1497582D">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储罐区设1座50m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lang w:val="en-US" w:eastAsia="zh-CN"/>
                    </w:rPr>
                    <w:t>的医用氧气储罐，立式储罐地上布设</w:t>
                  </w:r>
                </w:p>
              </w:tc>
            </w:tr>
            <w:tr w14:paraId="6AD7C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5" w:type="pct"/>
                  <w:vMerge w:val="continue"/>
                  <w:noWrap w:val="0"/>
                  <w:vAlign w:val="center"/>
                </w:tcPr>
                <w:p w14:paraId="2CE4F15B">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057" w:type="pct"/>
                  <w:gridSpan w:val="4"/>
                  <w:noWrap w:val="0"/>
                  <w:vAlign w:val="center"/>
                </w:tcPr>
                <w:p w14:paraId="0AB2BF4A">
                  <w:pPr>
                    <w:pStyle w:val="75"/>
                    <w:keepNext w:val="0"/>
                    <w:keepLines w:val="0"/>
                    <w:pageBreakBefore w:val="0"/>
                    <w:widowControl w:val="0"/>
                    <w:kinsoku/>
                    <w:wordWrap/>
                    <w:overflowPunct/>
                    <w:topLinePunct w:val="0"/>
                    <w:bidi w:val="0"/>
                    <w:snapToGrid/>
                    <w:spacing w:line="240" w:lineRule="auto"/>
                    <w:ind w:left="0" w:leftChars="0" w:firstLine="0" w:firstLineChars="0"/>
                    <w:jc w:val="center"/>
                    <w:textAlignment w:val="auto"/>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液化石油气储罐区</w:t>
                  </w:r>
                </w:p>
              </w:tc>
              <w:tc>
                <w:tcPr>
                  <w:tcW w:w="3647" w:type="pct"/>
                  <w:gridSpan w:val="2"/>
                  <w:noWrap w:val="0"/>
                  <w:vAlign w:val="center"/>
                </w:tcPr>
                <w:p w14:paraId="38347447">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lang w:val="en-US" w:eastAsia="zh-CN"/>
                    </w:rPr>
                    <w:t>储罐区设</w:t>
                  </w:r>
                  <w:r>
                    <w:rPr>
                      <w:rFonts w:hint="default" w:ascii="Times New Roman" w:hAnsi="Times New Roman" w:eastAsia="宋体" w:cs="Times New Roman"/>
                      <w:b w:val="0"/>
                      <w:bCs w:val="0"/>
                      <w:color w:val="0000FF"/>
                      <w:sz w:val="21"/>
                      <w:szCs w:val="21"/>
                      <w:highlight w:val="none"/>
                      <w:lang w:val="en-US" w:eastAsia="zh-CN"/>
                    </w:rPr>
                    <w:t>3座50m</w:t>
                  </w:r>
                  <w:r>
                    <w:rPr>
                      <w:rFonts w:hint="default" w:ascii="Times New Roman" w:hAnsi="Times New Roman" w:eastAsia="宋体" w:cs="Times New Roman"/>
                      <w:b w:val="0"/>
                      <w:bCs w:val="0"/>
                      <w:color w:val="0000FF"/>
                      <w:sz w:val="21"/>
                      <w:szCs w:val="21"/>
                      <w:highlight w:val="none"/>
                      <w:vertAlign w:val="superscript"/>
                      <w:lang w:val="en-US" w:eastAsia="zh-CN"/>
                    </w:rPr>
                    <w:t>3</w:t>
                  </w:r>
                  <w:r>
                    <w:rPr>
                      <w:rFonts w:hint="default" w:ascii="Times New Roman" w:hAnsi="Times New Roman" w:eastAsia="宋体" w:cs="Times New Roman"/>
                      <w:b w:val="0"/>
                      <w:bCs w:val="0"/>
                      <w:color w:val="0000FF"/>
                      <w:sz w:val="21"/>
                      <w:szCs w:val="21"/>
                      <w:highlight w:val="none"/>
                      <w:lang w:val="en-US" w:eastAsia="zh-CN"/>
                    </w:rPr>
                    <w:t>的储罐（</w:t>
                  </w:r>
                  <w:r>
                    <w:rPr>
                      <w:rFonts w:hint="eastAsia" w:cs="Times New Roman"/>
                      <w:b w:val="0"/>
                      <w:bCs w:val="0"/>
                      <w:color w:val="0000FF"/>
                      <w:sz w:val="21"/>
                      <w:szCs w:val="21"/>
                      <w:highlight w:val="none"/>
                      <w:lang w:val="en-US" w:eastAsia="zh-CN"/>
                    </w:rPr>
                    <w:t>2用1备</w:t>
                  </w:r>
                  <w:r>
                    <w:rPr>
                      <w:rFonts w:hint="default" w:ascii="Times New Roman" w:hAnsi="Times New Roman" w:eastAsia="宋体" w:cs="Times New Roman"/>
                      <w:b w:val="0"/>
                      <w:bCs w:val="0"/>
                      <w:color w:val="0000FF"/>
                      <w:sz w:val="21"/>
                      <w:szCs w:val="21"/>
                      <w:highlight w:val="none"/>
                      <w:lang w:val="en-US" w:eastAsia="zh-CN"/>
                    </w:rPr>
                    <w:t>），卧式储罐</w:t>
                  </w:r>
                  <w:r>
                    <w:rPr>
                      <w:rFonts w:hint="default" w:ascii="Times New Roman" w:hAnsi="Times New Roman" w:cs="Times New Roman"/>
                      <w:b w:val="0"/>
                      <w:bCs w:val="0"/>
                      <w:color w:val="0000FF"/>
                      <w:sz w:val="21"/>
                      <w:szCs w:val="21"/>
                      <w:highlight w:val="none"/>
                      <w:lang w:val="en-US" w:eastAsia="zh-CN"/>
                    </w:rPr>
                    <w:t>地下</w:t>
                  </w:r>
                  <w:r>
                    <w:rPr>
                      <w:rFonts w:hint="default" w:ascii="Times New Roman" w:hAnsi="Times New Roman" w:eastAsia="宋体" w:cs="Times New Roman"/>
                      <w:b w:val="0"/>
                      <w:bCs w:val="0"/>
                      <w:color w:val="0000FF"/>
                      <w:sz w:val="21"/>
                      <w:szCs w:val="21"/>
                      <w:highlight w:val="none"/>
                      <w:lang w:val="en-US" w:eastAsia="zh-CN"/>
                    </w:rPr>
                    <w:t>布设</w:t>
                  </w:r>
                </w:p>
              </w:tc>
            </w:tr>
            <w:tr w14:paraId="282D6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5" w:type="pct"/>
                  <w:vMerge w:val="restart"/>
                  <w:noWrap w:val="0"/>
                  <w:vAlign w:val="center"/>
                </w:tcPr>
                <w:p w14:paraId="61AFE16E">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辅助工程</w:t>
                  </w:r>
                </w:p>
              </w:tc>
              <w:tc>
                <w:tcPr>
                  <w:tcW w:w="1057" w:type="pct"/>
                  <w:gridSpan w:val="4"/>
                  <w:noWrap w:val="0"/>
                  <w:vAlign w:val="center"/>
                </w:tcPr>
                <w:p w14:paraId="185C6DC4">
                  <w:pPr>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控制室</w:t>
                  </w:r>
                </w:p>
              </w:tc>
              <w:tc>
                <w:tcPr>
                  <w:tcW w:w="3647" w:type="pct"/>
                  <w:gridSpan w:val="2"/>
                  <w:noWrap w:val="0"/>
                  <w:vAlign w:val="center"/>
                </w:tcPr>
                <w:p w14:paraId="42B2BF31">
                  <w:pPr>
                    <w:keepNext w:val="0"/>
                    <w:keepLines w:val="0"/>
                    <w:pageBreakBefore w:val="0"/>
                    <w:widowControl w:val="0"/>
                    <w:kinsoku/>
                    <w:wordWrap/>
                    <w:overflowPunct/>
                    <w:topLinePunct w:val="0"/>
                    <w:bidi w:val="0"/>
                    <w:snapToGrid/>
                    <w:spacing w:line="240" w:lineRule="auto"/>
                    <w:jc w:val="both"/>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地上1层，建筑高度5.10m，建筑面积156.75m</w:t>
                  </w:r>
                  <w:r>
                    <w:rPr>
                      <w:rFonts w:hint="default" w:ascii="Times New Roman" w:hAnsi="Times New Roman" w:eastAsia="宋体" w:cs="Times New Roman"/>
                      <w:color w:val="0000FF"/>
                      <w:sz w:val="21"/>
                      <w:szCs w:val="21"/>
                      <w:vertAlign w:val="superscript"/>
                      <w:lang w:val="en-US" w:eastAsia="zh-CN"/>
                    </w:rPr>
                    <w:t>2</w:t>
                  </w:r>
                  <w:r>
                    <w:rPr>
                      <w:rFonts w:hint="default" w:ascii="Times New Roman" w:hAnsi="Times New Roman" w:eastAsia="宋体" w:cs="Times New Roman"/>
                      <w:color w:val="0000FF"/>
                      <w:sz w:val="21"/>
                      <w:szCs w:val="21"/>
                      <w:lang w:val="en-US" w:eastAsia="zh-CN"/>
                    </w:rPr>
                    <w:t>，占地面框架-抗爆墙结构。内设空调机房、控制操作室、UPS及机柜间、隔离前室。</w:t>
                  </w:r>
                </w:p>
              </w:tc>
            </w:tr>
            <w:tr w14:paraId="0BDC3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5" w:type="pct"/>
                  <w:vMerge w:val="continue"/>
                  <w:noWrap w:val="0"/>
                  <w:vAlign w:val="center"/>
                </w:tcPr>
                <w:p w14:paraId="06267D9E">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noWrap w:val="0"/>
                  <w:vAlign w:val="center"/>
                </w:tcPr>
                <w:p w14:paraId="3D3864A9">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cs="Times New Roman"/>
                      <w:color w:val="0000FF"/>
                      <w:sz w:val="21"/>
                      <w:szCs w:val="21"/>
                      <w:lang w:val="en-US" w:eastAsia="zh-CN"/>
                    </w:rPr>
                    <w:t>辅助用房</w:t>
                  </w:r>
                </w:p>
              </w:tc>
              <w:tc>
                <w:tcPr>
                  <w:tcW w:w="3647" w:type="pct"/>
                  <w:gridSpan w:val="2"/>
                  <w:noWrap w:val="0"/>
                  <w:vAlign w:val="center"/>
                </w:tcPr>
                <w:p w14:paraId="711510A3">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eastAsia="宋体" w:cs="Times New Roman"/>
                      <w:color w:val="0000FF"/>
                      <w:sz w:val="21"/>
                      <w:szCs w:val="21"/>
                      <w:vertAlign w:val="baseline"/>
                      <w:lang w:val="en-US" w:eastAsia="zh-CN"/>
                    </w:rPr>
                  </w:pPr>
                  <w:r>
                    <w:rPr>
                      <w:rFonts w:hint="default" w:ascii="Times New Roman" w:hAnsi="Times New Roman" w:eastAsia="宋体" w:cs="Times New Roman"/>
                      <w:color w:val="0000FF"/>
                      <w:sz w:val="21"/>
                      <w:szCs w:val="21"/>
                      <w:lang w:val="en-US" w:eastAsia="zh-CN"/>
                    </w:rPr>
                    <w:t>位于项目区西北侧，二层混凝土框架结构，占地面积2</w:t>
                  </w:r>
                  <w:r>
                    <w:rPr>
                      <w:rFonts w:hint="default" w:ascii="Times New Roman" w:hAnsi="Times New Roman" w:cs="Times New Roman"/>
                      <w:color w:val="0000FF"/>
                      <w:sz w:val="21"/>
                      <w:szCs w:val="21"/>
                      <w:lang w:val="en-US" w:eastAsia="zh-CN"/>
                    </w:rPr>
                    <w:t>67.08</w:t>
                  </w:r>
                  <w:r>
                    <w:rPr>
                      <w:rFonts w:hint="default" w:ascii="Times New Roman" w:hAnsi="Times New Roman" w:eastAsia="宋体" w:cs="Times New Roman"/>
                      <w:color w:val="0000FF"/>
                      <w:sz w:val="21"/>
                      <w:szCs w:val="21"/>
                      <w:lang w:val="en-US" w:eastAsia="zh-CN"/>
                    </w:rPr>
                    <w:t>m</w:t>
                  </w:r>
                  <w:r>
                    <w:rPr>
                      <w:rFonts w:hint="default" w:ascii="Times New Roman" w:hAnsi="Times New Roman" w:eastAsia="宋体" w:cs="Times New Roman"/>
                      <w:color w:val="0000FF"/>
                      <w:sz w:val="21"/>
                      <w:szCs w:val="21"/>
                      <w:vertAlign w:val="superscript"/>
                      <w:lang w:val="en-US" w:eastAsia="zh-CN"/>
                    </w:rPr>
                    <w:t>2</w:t>
                  </w:r>
                  <w:r>
                    <w:rPr>
                      <w:rFonts w:hint="default" w:ascii="Times New Roman" w:hAnsi="Times New Roman" w:eastAsia="宋体" w:cs="Times New Roman"/>
                      <w:color w:val="0000FF"/>
                      <w:sz w:val="21"/>
                      <w:szCs w:val="21"/>
                      <w:lang w:val="en-US" w:eastAsia="zh-CN"/>
                    </w:rPr>
                    <w:t>，建筑面积为</w:t>
                  </w:r>
                  <w:r>
                    <w:rPr>
                      <w:rFonts w:hint="default" w:ascii="Times New Roman" w:hAnsi="Times New Roman" w:cs="Times New Roman"/>
                      <w:color w:val="0000FF"/>
                      <w:sz w:val="21"/>
                      <w:szCs w:val="21"/>
                      <w:lang w:val="en-US" w:eastAsia="zh-CN"/>
                    </w:rPr>
                    <w:t>516.34</w:t>
                  </w:r>
                  <w:r>
                    <w:rPr>
                      <w:rFonts w:hint="default" w:ascii="Times New Roman" w:hAnsi="Times New Roman" w:eastAsia="宋体" w:cs="Times New Roman"/>
                      <w:color w:val="0000FF"/>
                      <w:sz w:val="21"/>
                      <w:szCs w:val="21"/>
                      <w:lang w:val="en-US" w:eastAsia="zh-CN"/>
                    </w:rPr>
                    <w:t>m</w:t>
                  </w:r>
                  <w:r>
                    <w:rPr>
                      <w:rFonts w:hint="default" w:ascii="Times New Roman" w:hAnsi="Times New Roman" w:eastAsia="宋体" w:cs="Times New Roman"/>
                      <w:color w:val="0000FF"/>
                      <w:sz w:val="21"/>
                      <w:szCs w:val="21"/>
                      <w:vertAlign w:val="superscript"/>
                      <w:lang w:val="en-US" w:eastAsia="zh-CN"/>
                    </w:rPr>
                    <w:t>2</w:t>
                  </w:r>
                  <w:r>
                    <w:rPr>
                      <w:rFonts w:hint="default" w:ascii="Times New Roman" w:hAnsi="Times New Roman" w:eastAsia="宋体" w:cs="Times New Roman"/>
                      <w:color w:val="0000FF"/>
                      <w:sz w:val="21"/>
                      <w:szCs w:val="21"/>
                      <w:vertAlign w:val="baseline"/>
                      <w:lang w:val="en-US" w:eastAsia="zh-CN"/>
                    </w:rPr>
                    <w:t>，高度9.2m</w:t>
                  </w:r>
                </w:p>
              </w:tc>
            </w:tr>
            <w:tr w14:paraId="4DD4B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5" w:type="pct"/>
                  <w:vMerge w:val="continue"/>
                  <w:noWrap w:val="0"/>
                  <w:vAlign w:val="center"/>
                </w:tcPr>
                <w:p w14:paraId="6DC8CF64">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noWrap w:val="0"/>
                  <w:vAlign w:val="center"/>
                </w:tcPr>
                <w:p w14:paraId="6BEEB879">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门卫室</w:t>
                  </w:r>
                </w:p>
              </w:tc>
              <w:tc>
                <w:tcPr>
                  <w:tcW w:w="3647" w:type="pct"/>
                  <w:gridSpan w:val="2"/>
                  <w:noWrap w:val="0"/>
                  <w:vAlign w:val="center"/>
                </w:tcPr>
                <w:p w14:paraId="143A1008">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建设门卫室1间，单层钢筋混凝土结构，48.45m</w:t>
                  </w:r>
                  <w:r>
                    <w:rPr>
                      <w:rFonts w:hint="default" w:ascii="Times New Roman" w:hAnsi="Times New Roman" w:eastAsia="宋体" w:cs="Times New Roman"/>
                      <w:color w:val="0000FF"/>
                      <w:sz w:val="21"/>
                      <w:szCs w:val="21"/>
                      <w:vertAlign w:val="superscript"/>
                      <w:lang w:val="en-US" w:eastAsia="zh-CN"/>
                    </w:rPr>
                    <w:t>2</w:t>
                  </w:r>
                  <w:r>
                    <w:rPr>
                      <w:rFonts w:hint="default" w:ascii="Times New Roman" w:hAnsi="Times New Roman" w:eastAsia="宋体" w:cs="Times New Roman"/>
                      <w:color w:val="0000FF"/>
                      <w:sz w:val="21"/>
                      <w:szCs w:val="21"/>
                      <w:lang w:val="en-US" w:eastAsia="zh-CN"/>
                    </w:rPr>
                    <w:t>，高度4.2m</w:t>
                  </w:r>
                </w:p>
              </w:tc>
            </w:tr>
            <w:tr w14:paraId="0266A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5" w:type="pct"/>
                  <w:vMerge w:val="restart"/>
                  <w:noWrap w:val="0"/>
                  <w:vAlign w:val="center"/>
                </w:tcPr>
                <w:p w14:paraId="672E106E">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公</w:t>
                  </w:r>
                </w:p>
                <w:p w14:paraId="38B4B702">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用</w:t>
                  </w:r>
                </w:p>
                <w:p w14:paraId="5AECF9B5">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工</w:t>
                  </w:r>
                </w:p>
                <w:p w14:paraId="14F61FA4">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w:t>
                  </w:r>
                </w:p>
              </w:tc>
              <w:tc>
                <w:tcPr>
                  <w:tcW w:w="1057" w:type="pct"/>
                  <w:gridSpan w:val="4"/>
                  <w:vMerge w:val="restart"/>
                  <w:noWrap w:val="0"/>
                  <w:vAlign w:val="center"/>
                </w:tcPr>
                <w:p w14:paraId="0F90976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cs="Times New Roman"/>
                      <w:color w:val="0000FF"/>
                      <w:sz w:val="21"/>
                      <w:szCs w:val="21"/>
                      <w:lang w:val="en-US" w:eastAsia="zh-CN"/>
                    </w:rPr>
                    <w:t>供水</w:t>
                  </w:r>
                </w:p>
              </w:tc>
              <w:tc>
                <w:tcPr>
                  <w:tcW w:w="3647" w:type="pct"/>
                  <w:gridSpan w:val="2"/>
                  <w:noWrap w:val="0"/>
                  <w:vAlign w:val="center"/>
                </w:tcPr>
                <w:p w14:paraId="28B0233F">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本项目生产用水水源为园区供水管网</w:t>
                  </w:r>
                </w:p>
              </w:tc>
            </w:tr>
            <w:tr w14:paraId="2568B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5" w:type="pct"/>
                  <w:vMerge w:val="continue"/>
                  <w:noWrap w:val="0"/>
                  <w:vAlign w:val="center"/>
                </w:tcPr>
                <w:p w14:paraId="369BE999">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vMerge w:val="continue"/>
                  <w:noWrap w:val="0"/>
                  <w:vAlign w:val="center"/>
                </w:tcPr>
                <w:p w14:paraId="15F06076">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3647" w:type="pct"/>
                  <w:gridSpan w:val="2"/>
                  <w:noWrap w:val="0"/>
                  <w:vAlign w:val="center"/>
                </w:tcPr>
                <w:p w14:paraId="41C62195">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生活用水水源为园区供水管网</w:t>
                  </w:r>
                </w:p>
              </w:tc>
            </w:tr>
            <w:tr w14:paraId="7209D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95" w:type="pct"/>
                  <w:vMerge w:val="continue"/>
                  <w:noWrap w:val="0"/>
                  <w:vAlign w:val="center"/>
                </w:tcPr>
                <w:p w14:paraId="1476D3C6">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noWrap w:val="0"/>
                  <w:vAlign w:val="center"/>
                </w:tcPr>
                <w:p w14:paraId="3AB0FE6B">
                  <w:pPr>
                    <w:ind w:left="0" w:leftChars="0" w:right="0" w:rightChars="0"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供电</w:t>
                  </w:r>
                </w:p>
              </w:tc>
              <w:tc>
                <w:tcPr>
                  <w:tcW w:w="3647" w:type="pct"/>
                  <w:gridSpan w:val="2"/>
                  <w:noWrap w:val="0"/>
                  <w:vAlign w:val="center"/>
                </w:tcPr>
                <w:p w14:paraId="264C6C08">
                  <w:pPr>
                    <w:pStyle w:val="22"/>
                    <w:bidi w:val="0"/>
                    <w:ind w:left="0" w:leftChars="0" w:firstLine="0" w:firstLineChars="0"/>
                    <w:jc w:val="both"/>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供电来源于园区供电管网</w:t>
                  </w:r>
                </w:p>
              </w:tc>
            </w:tr>
            <w:tr w14:paraId="50610A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95" w:type="pct"/>
                  <w:vMerge w:val="continue"/>
                  <w:noWrap w:val="0"/>
                  <w:vAlign w:val="center"/>
                </w:tcPr>
                <w:p w14:paraId="44F493D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noWrap w:val="0"/>
                  <w:vAlign w:val="center"/>
                </w:tcPr>
                <w:p w14:paraId="034E33AB">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cs="Times New Roman"/>
                      <w:color w:val="0000FF"/>
                      <w:sz w:val="21"/>
                      <w:szCs w:val="21"/>
                      <w:lang w:val="en-US" w:eastAsia="zh-CN"/>
                    </w:rPr>
                    <w:t>排水</w:t>
                  </w:r>
                </w:p>
              </w:tc>
              <w:tc>
                <w:tcPr>
                  <w:tcW w:w="3647" w:type="pct"/>
                  <w:gridSpan w:val="2"/>
                  <w:noWrap w:val="0"/>
                  <w:vAlign w:val="center"/>
                </w:tcPr>
                <w:p w14:paraId="235945E8">
                  <w:pPr>
                    <w:keepNext w:val="0"/>
                    <w:keepLines w:val="0"/>
                    <w:pageBreakBefore w:val="0"/>
                    <w:widowControl w:val="0"/>
                    <w:kinsoku/>
                    <w:wordWrap/>
                    <w:overflowPunct/>
                    <w:topLinePunct w:val="0"/>
                    <w:autoSpaceDE w:val="0"/>
                    <w:autoSpaceDN w:val="0"/>
                    <w:bidi w:val="0"/>
                    <w:adjustRightInd w:val="0"/>
                    <w:snapToGrid/>
                    <w:spacing w:line="240" w:lineRule="auto"/>
                    <w:ind w:left="0"/>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本项目外排废水主要为生活污水，排至园区污水管网，最终进入九原水质净化厂处理，厂区设雨水管网，雨水排入园区雨水管网</w:t>
                  </w:r>
                </w:p>
              </w:tc>
            </w:tr>
            <w:tr w14:paraId="4CF41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1CD78E9C">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noWrap w:val="0"/>
                  <w:vAlign w:val="center"/>
                </w:tcPr>
                <w:p w14:paraId="0E70F004">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cs="Times New Roman"/>
                      <w:color w:val="0000FF"/>
                      <w:sz w:val="21"/>
                      <w:szCs w:val="21"/>
                      <w:lang w:val="en-US" w:eastAsia="zh-CN"/>
                    </w:rPr>
                    <w:t>供暖</w:t>
                  </w:r>
                </w:p>
              </w:tc>
              <w:tc>
                <w:tcPr>
                  <w:tcW w:w="3647" w:type="pct"/>
                  <w:gridSpan w:val="2"/>
                  <w:noWrap w:val="0"/>
                  <w:vAlign w:val="center"/>
                </w:tcPr>
                <w:p w14:paraId="2E644C8B">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由园区集中供暖</w:t>
                  </w:r>
                </w:p>
              </w:tc>
            </w:tr>
            <w:tr w14:paraId="672C9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7C52E77B">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rPr>
                  </w:pPr>
                </w:p>
              </w:tc>
              <w:tc>
                <w:tcPr>
                  <w:tcW w:w="1057" w:type="pct"/>
                  <w:gridSpan w:val="4"/>
                  <w:noWrap w:val="0"/>
                  <w:vAlign w:val="center"/>
                </w:tcPr>
                <w:p w14:paraId="68C1B1DD">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消防</w:t>
                  </w:r>
                </w:p>
              </w:tc>
              <w:tc>
                <w:tcPr>
                  <w:tcW w:w="3647" w:type="pct"/>
                  <w:gridSpan w:val="2"/>
                  <w:noWrap w:val="0"/>
                  <w:vAlign w:val="center"/>
                </w:tcPr>
                <w:p w14:paraId="1551575E">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本项目建设2座消防水池，容积各为350m</w:t>
                  </w:r>
                  <w:r>
                    <w:rPr>
                      <w:rFonts w:hint="default" w:ascii="Times New Roman" w:hAnsi="Times New Roman" w:cs="Times New Roman"/>
                      <w:color w:val="0000FF"/>
                      <w:sz w:val="21"/>
                      <w:szCs w:val="21"/>
                      <w:highlight w:val="none"/>
                      <w:vertAlign w:val="superscript"/>
                      <w:lang w:val="en-US" w:eastAsia="zh-CN"/>
                    </w:rPr>
                    <w:t>3</w:t>
                  </w:r>
                  <w:r>
                    <w:rPr>
                      <w:rFonts w:hint="default" w:ascii="Times New Roman" w:hAnsi="Times New Roman" w:cs="Times New Roman"/>
                      <w:color w:val="0000FF"/>
                      <w:sz w:val="21"/>
                      <w:szCs w:val="21"/>
                      <w:highlight w:val="none"/>
                      <w:lang w:val="en-US" w:eastAsia="zh-CN"/>
                    </w:rPr>
                    <w:t>，可供项目发生火灾事故时消防废水收集需求</w:t>
                  </w:r>
                </w:p>
              </w:tc>
            </w:tr>
            <w:tr w14:paraId="03DADE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restart"/>
                  <w:noWrap w:val="0"/>
                  <w:vAlign w:val="center"/>
                </w:tcPr>
                <w:p w14:paraId="5ED63FE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cs="Times New Roman"/>
                      <w:color w:val="0000FF"/>
                      <w:sz w:val="21"/>
                      <w:szCs w:val="21"/>
                      <w:lang w:val="en-US" w:eastAsia="zh-CN"/>
                    </w:rPr>
                    <w:t>环保工程</w:t>
                  </w:r>
                </w:p>
              </w:tc>
              <w:tc>
                <w:tcPr>
                  <w:tcW w:w="501" w:type="pct"/>
                  <w:gridSpan w:val="2"/>
                  <w:vMerge w:val="restart"/>
                  <w:noWrap w:val="0"/>
                  <w:vAlign w:val="center"/>
                </w:tcPr>
                <w:p w14:paraId="6594D961">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废气</w:t>
                  </w:r>
                </w:p>
              </w:tc>
              <w:tc>
                <w:tcPr>
                  <w:tcW w:w="555" w:type="pct"/>
                  <w:gridSpan w:val="2"/>
                  <w:vMerge w:val="restart"/>
                  <w:noWrap w:val="0"/>
                  <w:vAlign w:val="center"/>
                </w:tcPr>
                <w:p w14:paraId="37046577">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钢瓶检验站</w:t>
                  </w:r>
                </w:p>
              </w:tc>
              <w:tc>
                <w:tcPr>
                  <w:tcW w:w="989" w:type="pct"/>
                  <w:shd w:val="clear" w:color="auto" w:fill="auto"/>
                  <w:noWrap w:val="0"/>
                  <w:vAlign w:val="center"/>
                </w:tcPr>
                <w:p w14:paraId="45EACF3C">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lang w:val="en-US" w:eastAsia="zh-CN"/>
                    </w:rPr>
                    <w:t>焚烧废气</w:t>
                  </w:r>
                </w:p>
              </w:tc>
              <w:tc>
                <w:tcPr>
                  <w:tcW w:w="2658" w:type="pct"/>
                  <w:shd w:val="clear" w:color="auto" w:fill="auto"/>
                  <w:noWrap w:val="0"/>
                  <w:vAlign w:val="center"/>
                </w:tcPr>
                <w:p w14:paraId="4810FCDE">
                  <w:pPr>
                    <w:keepNext w:val="0"/>
                    <w:keepLines w:val="0"/>
                    <w:pageBreakBefore w:val="0"/>
                    <w:widowControl w:val="0"/>
                    <w:kinsoku/>
                    <w:wordWrap/>
                    <w:overflowPunct/>
                    <w:topLinePunct w:val="0"/>
                    <w:bidi w:val="0"/>
                    <w:snapToGrid/>
                    <w:spacing w:line="240" w:lineRule="auto"/>
                    <w:ind w:left="0" w:leftChars="0"/>
                    <w:jc w:val="both"/>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lang w:val="en-US" w:eastAsia="zh-CN"/>
                    </w:rPr>
                    <w:t>焊接钢瓶检验线钢瓶焚烧废气采用低氮燃烧+水喷淋处理后通过15m高排气筒（DA001）排放</w:t>
                  </w:r>
                </w:p>
              </w:tc>
            </w:tr>
            <w:tr w14:paraId="52D1C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6CDC894B">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501" w:type="pct"/>
                  <w:gridSpan w:val="2"/>
                  <w:vMerge w:val="continue"/>
                  <w:noWrap w:val="0"/>
                  <w:vAlign w:val="center"/>
                </w:tcPr>
                <w:p w14:paraId="4E3030EC">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555" w:type="pct"/>
                  <w:gridSpan w:val="2"/>
                  <w:vMerge w:val="continue"/>
                  <w:noWrap w:val="0"/>
                  <w:vAlign w:val="center"/>
                </w:tcPr>
                <w:p w14:paraId="544167EF">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989" w:type="pct"/>
                  <w:shd w:val="clear" w:color="auto" w:fill="auto"/>
                  <w:noWrap w:val="0"/>
                  <w:vAlign w:val="center"/>
                </w:tcPr>
                <w:p w14:paraId="55E4A04F">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lang w:val="en-US" w:eastAsia="zh-CN"/>
                    </w:rPr>
                    <w:t>抛丸废气</w:t>
                  </w:r>
                </w:p>
              </w:tc>
              <w:tc>
                <w:tcPr>
                  <w:tcW w:w="2658" w:type="pct"/>
                  <w:shd w:val="clear" w:color="auto" w:fill="auto"/>
                  <w:noWrap w:val="0"/>
                  <w:vAlign w:val="center"/>
                </w:tcPr>
                <w:p w14:paraId="48637A06">
                  <w:pPr>
                    <w:keepNext w:val="0"/>
                    <w:keepLines w:val="0"/>
                    <w:pageBreakBefore w:val="0"/>
                    <w:widowControl w:val="0"/>
                    <w:kinsoku/>
                    <w:wordWrap/>
                    <w:overflowPunct/>
                    <w:topLinePunct w:val="0"/>
                    <w:bidi w:val="0"/>
                    <w:snapToGrid/>
                    <w:spacing w:line="240" w:lineRule="auto"/>
                    <w:ind w:left="0" w:leftChars="0"/>
                    <w:jc w:val="both"/>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lang w:val="en-US" w:eastAsia="zh-CN"/>
                    </w:rPr>
                    <w:t>抛丸废气经设备自带的布袋除尘器处理后通过15m高排气筒（DA00</w:t>
                  </w:r>
                  <w:r>
                    <w:rPr>
                      <w:rFonts w:hint="eastAsia" w:cs="Times New Roman"/>
                      <w:color w:val="0000FF"/>
                      <w:sz w:val="21"/>
                      <w:szCs w:val="21"/>
                      <w:lang w:val="en-US" w:eastAsia="zh-CN"/>
                    </w:rPr>
                    <w:t>1</w:t>
                  </w:r>
                  <w:r>
                    <w:rPr>
                      <w:rFonts w:hint="default" w:ascii="Times New Roman" w:hAnsi="Times New Roman" w:cs="Times New Roman"/>
                      <w:color w:val="0000FF"/>
                      <w:sz w:val="21"/>
                      <w:szCs w:val="21"/>
                      <w:lang w:val="en-US" w:eastAsia="zh-CN"/>
                    </w:rPr>
                    <w:t>）排放</w:t>
                  </w:r>
                </w:p>
              </w:tc>
            </w:tr>
            <w:tr w14:paraId="2B476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2819E475">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501" w:type="pct"/>
                  <w:gridSpan w:val="2"/>
                  <w:vMerge w:val="continue"/>
                  <w:noWrap w:val="0"/>
                  <w:vAlign w:val="center"/>
                </w:tcPr>
                <w:p w14:paraId="64851BC2">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555" w:type="pct"/>
                  <w:gridSpan w:val="2"/>
                  <w:vMerge w:val="continue"/>
                  <w:noWrap w:val="0"/>
                  <w:vAlign w:val="center"/>
                </w:tcPr>
                <w:p w14:paraId="10778C7B">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989" w:type="pct"/>
                  <w:shd w:val="clear" w:color="auto" w:fill="auto"/>
                  <w:noWrap w:val="0"/>
                  <w:vAlign w:val="center"/>
                </w:tcPr>
                <w:p w14:paraId="599BF9A5">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lang w:val="en-US" w:eastAsia="zh-CN"/>
                    </w:rPr>
                    <w:t>喷塑废气</w:t>
                  </w:r>
                </w:p>
              </w:tc>
              <w:tc>
                <w:tcPr>
                  <w:tcW w:w="2658" w:type="pct"/>
                  <w:shd w:val="clear" w:color="auto" w:fill="auto"/>
                  <w:noWrap w:val="0"/>
                  <w:vAlign w:val="center"/>
                </w:tcPr>
                <w:p w14:paraId="06809DD8">
                  <w:pPr>
                    <w:keepNext w:val="0"/>
                    <w:keepLines w:val="0"/>
                    <w:pageBreakBefore w:val="0"/>
                    <w:widowControl w:val="0"/>
                    <w:kinsoku/>
                    <w:wordWrap/>
                    <w:overflowPunct/>
                    <w:topLinePunct w:val="0"/>
                    <w:bidi w:val="0"/>
                    <w:snapToGrid/>
                    <w:spacing w:line="240" w:lineRule="auto"/>
                    <w:ind w:left="0" w:leftChars="0"/>
                    <w:jc w:val="both"/>
                    <w:textAlignment w:val="auto"/>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lang w:val="en-US" w:eastAsia="zh-CN"/>
                    </w:rPr>
                    <w:t>喷塑废气经滤筒式</w:t>
                  </w:r>
                  <w:r>
                    <w:rPr>
                      <w:rFonts w:hint="eastAsia" w:cs="Times New Roman"/>
                      <w:color w:val="0000FF"/>
                      <w:sz w:val="21"/>
                      <w:szCs w:val="21"/>
                      <w:lang w:val="en-US" w:eastAsia="zh-CN"/>
                    </w:rPr>
                    <w:t>除尘器</w:t>
                  </w:r>
                  <w:r>
                    <w:rPr>
                      <w:rFonts w:hint="default" w:ascii="Times New Roman" w:hAnsi="Times New Roman" w:cs="Times New Roman"/>
                      <w:color w:val="0000FF"/>
                      <w:sz w:val="21"/>
                      <w:szCs w:val="21"/>
                      <w:lang w:val="en-US" w:eastAsia="zh-CN"/>
                    </w:rPr>
                    <w:t>回收</w:t>
                  </w:r>
                  <w:r>
                    <w:rPr>
                      <w:rFonts w:hint="eastAsia" w:cs="Times New Roman"/>
                      <w:color w:val="0000FF"/>
                      <w:sz w:val="21"/>
                      <w:szCs w:val="21"/>
                      <w:lang w:val="en-US" w:eastAsia="zh-CN"/>
                    </w:rPr>
                    <w:t>塑粉</w:t>
                  </w:r>
                  <w:r>
                    <w:rPr>
                      <w:rFonts w:hint="default" w:ascii="Times New Roman" w:hAnsi="Times New Roman" w:cs="Times New Roman"/>
                      <w:color w:val="0000FF"/>
                      <w:sz w:val="21"/>
                      <w:szCs w:val="21"/>
                      <w:lang w:val="en-US" w:eastAsia="zh-CN"/>
                    </w:rPr>
                    <w:t>后，</w:t>
                  </w:r>
                  <w:r>
                    <w:rPr>
                      <w:rFonts w:hint="eastAsia" w:cs="Times New Roman"/>
                      <w:color w:val="0000FF"/>
                      <w:sz w:val="21"/>
                      <w:szCs w:val="21"/>
                      <w:lang w:val="en-US" w:eastAsia="zh-CN"/>
                    </w:rPr>
                    <w:t>尾气</w:t>
                  </w:r>
                  <w:r>
                    <w:rPr>
                      <w:rFonts w:hint="default" w:ascii="Times New Roman" w:hAnsi="Times New Roman" w:cs="Times New Roman"/>
                      <w:color w:val="0000FF"/>
                      <w:sz w:val="21"/>
                      <w:szCs w:val="21"/>
                      <w:lang w:val="en-US" w:eastAsia="zh-CN"/>
                    </w:rPr>
                    <w:t>通过15m高排气筒（DA00</w:t>
                  </w:r>
                  <w:r>
                    <w:rPr>
                      <w:rFonts w:hint="eastAsia" w:cs="Times New Roman"/>
                      <w:color w:val="0000FF"/>
                      <w:sz w:val="21"/>
                      <w:szCs w:val="21"/>
                      <w:lang w:val="en-US" w:eastAsia="zh-CN"/>
                    </w:rPr>
                    <w:t>1</w:t>
                  </w:r>
                  <w:r>
                    <w:rPr>
                      <w:rFonts w:hint="default" w:ascii="Times New Roman" w:hAnsi="Times New Roman" w:cs="Times New Roman"/>
                      <w:color w:val="0000FF"/>
                      <w:sz w:val="21"/>
                      <w:szCs w:val="21"/>
                      <w:lang w:val="en-US" w:eastAsia="zh-CN"/>
                    </w:rPr>
                    <w:t>）排放</w:t>
                  </w:r>
                </w:p>
              </w:tc>
            </w:tr>
            <w:tr w14:paraId="3B6C9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6EC6FD69">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501" w:type="pct"/>
                  <w:gridSpan w:val="2"/>
                  <w:vMerge w:val="continue"/>
                  <w:noWrap w:val="0"/>
                  <w:vAlign w:val="center"/>
                </w:tcPr>
                <w:p w14:paraId="55038FC5">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555" w:type="pct"/>
                  <w:gridSpan w:val="2"/>
                  <w:vMerge w:val="continue"/>
                  <w:noWrap w:val="0"/>
                  <w:vAlign w:val="center"/>
                </w:tcPr>
                <w:p w14:paraId="7E9E7432">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989" w:type="pct"/>
                  <w:shd w:val="clear" w:color="auto" w:fill="auto"/>
                  <w:noWrap w:val="0"/>
                  <w:vAlign w:val="center"/>
                </w:tcPr>
                <w:p w14:paraId="3697A954">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固化丝印废气</w:t>
                  </w:r>
                </w:p>
              </w:tc>
              <w:tc>
                <w:tcPr>
                  <w:tcW w:w="2658" w:type="pct"/>
                  <w:shd w:val="clear" w:color="auto" w:fill="auto"/>
                  <w:noWrap w:val="0"/>
                  <w:vAlign w:val="center"/>
                </w:tcPr>
                <w:p w14:paraId="2DE8BC4A">
                  <w:pPr>
                    <w:keepNext w:val="0"/>
                    <w:keepLines w:val="0"/>
                    <w:pageBreakBefore w:val="0"/>
                    <w:widowControl w:val="0"/>
                    <w:kinsoku/>
                    <w:wordWrap/>
                    <w:overflowPunct/>
                    <w:topLinePunct w:val="0"/>
                    <w:bidi w:val="0"/>
                    <w:snapToGrid/>
                    <w:spacing w:line="240" w:lineRule="auto"/>
                    <w:ind w:left="0" w:leftChars="0"/>
                    <w:jc w:val="both"/>
                    <w:textAlignment w:val="auto"/>
                    <w:rPr>
                      <w:rFonts w:hint="default" w:ascii="Times New Roman" w:hAnsi="Times New Roman" w:cs="Times New Roman"/>
                      <w:color w:val="0000FF"/>
                      <w:sz w:val="21"/>
                      <w:szCs w:val="21"/>
                      <w:lang w:val="en-US" w:eastAsia="zh-CN"/>
                    </w:rPr>
                  </w:pPr>
                  <w:r>
                    <w:rPr>
                      <w:rFonts w:hint="eastAsia" w:cs="Times New Roman"/>
                      <w:color w:val="0000FF"/>
                      <w:sz w:val="21"/>
                      <w:szCs w:val="21"/>
                      <w:lang w:val="en-US" w:eastAsia="zh-CN"/>
                    </w:rPr>
                    <w:t>集气罩收集后</w:t>
                  </w:r>
                  <w:r>
                    <w:rPr>
                      <w:rFonts w:hint="default" w:ascii="Times New Roman" w:hAnsi="Times New Roman" w:cs="Times New Roman"/>
                      <w:color w:val="0000FF"/>
                      <w:sz w:val="21"/>
                      <w:szCs w:val="21"/>
                      <w:lang w:val="en-US" w:eastAsia="zh-CN"/>
                    </w:rPr>
                    <w:t>通过15m高排气筒（DA00</w:t>
                  </w:r>
                  <w:r>
                    <w:rPr>
                      <w:rFonts w:hint="eastAsia" w:cs="Times New Roman"/>
                      <w:color w:val="0000FF"/>
                      <w:sz w:val="21"/>
                      <w:szCs w:val="21"/>
                      <w:lang w:val="en-US" w:eastAsia="zh-CN"/>
                    </w:rPr>
                    <w:t>1</w:t>
                  </w:r>
                  <w:r>
                    <w:rPr>
                      <w:rFonts w:hint="default" w:ascii="Times New Roman" w:hAnsi="Times New Roman" w:cs="Times New Roman"/>
                      <w:color w:val="0000FF"/>
                      <w:sz w:val="21"/>
                      <w:szCs w:val="21"/>
                      <w:lang w:val="en-US" w:eastAsia="zh-CN"/>
                    </w:rPr>
                    <w:t>）排放</w:t>
                  </w:r>
                </w:p>
              </w:tc>
            </w:tr>
            <w:tr w14:paraId="28046E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295" w:type="pct"/>
                  <w:vMerge w:val="continue"/>
                  <w:noWrap w:val="0"/>
                  <w:vAlign w:val="center"/>
                </w:tcPr>
                <w:p w14:paraId="75CC649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057" w:type="pct"/>
                  <w:gridSpan w:val="4"/>
                  <w:vMerge w:val="restart"/>
                  <w:noWrap w:val="0"/>
                  <w:vAlign w:val="center"/>
                </w:tcPr>
                <w:p w14:paraId="3B79FFD9">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废水</w:t>
                  </w:r>
                </w:p>
              </w:tc>
              <w:tc>
                <w:tcPr>
                  <w:tcW w:w="989" w:type="pct"/>
                  <w:noWrap w:val="0"/>
                  <w:vAlign w:val="center"/>
                </w:tcPr>
                <w:p w14:paraId="24CCBD2B">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生产废水</w:t>
                  </w:r>
                </w:p>
              </w:tc>
              <w:tc>
                <w:tcPr>
                  <w:tcW w:w="2658" w:type="pct"/>
                  <w:noWrap w:val="0"/>
                  <w:vAlign w:val="center"/>
                </w:tcPr>
                <w:p w14:paraId="2B01670F">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cs="Times New Roman"/>
                      <w:color w:val="0000FF"/>
                    </w:rPr>
                    <w:t>项目</w:t>
                  </w:r>
                  <w:r>
                    <w:rPr>
                      <w:rFonts w:hint="eastAsia" w:cs="Times New Roman"/>
                      <w:color w:val="0000FF"/>
                      <w:lang w:val="en-US" w:eastAsia="zh-CN"/>
                    </w:rPr>
                    <w:t>无生产废水排放</w:t>
                  </w:r>
                </w:p>
              </w:tc>
            </w:tr>
            <w:tr w14:paraId="17668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330A3800">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057" w:type="pct"/>
                  <w:gridSpan w:val="4"/>
                  <w:vMerge w:val="continue"/>
                  <w:noWrap w:val="0"/>
                  <w:vAlign w:val="center"/>
                </w:tcPr>
                <w:p w14:paraId="2AF2CD7C">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989" w:type="pct"/>
                  <w:noWrap w:val="0"/>
                  <w:vAlign w:val="center"/>
                </w:tcPr>
                <w:p w14:paraId="06DD7F6B">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生活污水</w:t>
                  </w:r>
                </w:p>
              </w:tc>
              <w:tc>
                <w:tcPr>
                  <w:tcW w:w="2658" w:type="pct"/>
                  <w:noWrap w:val="0"/>
                  <w:vAlign w:val="center"/>
                </w:tcPr>
                <w:p w14:paraId="73FA2B8D">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生活污水排至园区污水管网，最终进入九原水质净化厂</w:t>
                  </w:r>
                </w:p>
              </w:tc>
            </w:tr>
            <w:tr w14:paraId="421BE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295" w:type="pct"/>
                  <w:vMerge w:val="continue"/>
                  <w:noWrap w:val="0"/>
                  <w:vAlign w:val="center"/>
                </w:tcPr>
                <w:p w14:paraId="606AA0B7">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057" w:type="pct"/>
                  <w:gridSpan w:val="4"/>
                  <w:noWrap w:val="0"/>
                  <w:vAlign w:val="center"/>
                </w:tcPr>
                <w:p w14:paraId="47671D4C">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噪声</w:t>
                  </w:r>
                </w:p>
              </w:tc>
              <w:tc>
                <w:tcPr>
                  <w:tcW w:w="989" w:type="pct"/>
                  <w:noWrap w:val="0"/>
                  <w:vAlign w:val="center"/>
                </w:tcPr>
                <w:p w14:paraId="6DCEB4E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设备噪声</w:t>
                  </w:r>
                </w:p>
              </w:tc>
              <w:tc>
                <w:tcPr>
                  <w:tcW w:w="2658" w:type="pct"/>
                  <w:noWrap w:val="0"/>
                  <w:vAlign w:val="center"/>
                </w:tcPr>
                <w:p w14:paraId="5C87FB7F">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采取基础减震和厂房#隔声等降噪措施</w:t>
                  </w:r>
                </w:p>
              </w:tc>
            </w:tr>
            <w:tr w14:paraId="673CE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6" w:hRule="atLeast"/>
                <w:jc w:val="center"/>
              </w:trPr>
              <w:tc>
                <w:tcPr>
                  <w:tcW w:w="295" w:type="pct"/>
                  <w:vMerge w:val="continue"/>
                  <w:noWrap w:val="0"/>
                  <w:vAlign w:val="center"/>
                </w:tcPr>
                <w:p w14:paraId="2EDDFEE2">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327" w:type="pct"/>
                  <w:vMerge w:val="restart"/>
                  <w:noWrap w:val="0"/>
                  <w:vAlign w:val="center"/>
                </w:tcPr>
                <w:p w14:paraId="14248700">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固废</w:t>
                  </w:r>
                </w:p>
              </w:tc>
              <w:tc>
                <w:tcPr>
                  <w:tcW w:w="1718" w:type="pct"/>
                  <w:gridSpan w:val="4"/>
                  <w:noWrap w:val="0"/>
                  <w:vAlign w:val="center"/>
                </w:tcPr>
                <w:p w14:paraId="5B4FF598">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ascii="Times New Roman" w:hAnsi="Times New Roman" w:cs="Times New Roman"/>
                      <w:color w:val="0000FF"/>
                      <w:kern w:val="2"/>
                      <w:sz w:val="21"/>
                      <w:szCs w:val="21"/>
                      <w:lang w:val="en-US" w:eastAsia="zh-CN" w:bidi="ar-SA"/>
                    </w:rPr>
                  </w:pPr>
                  <w:r>
                    <w:rPr>
                      <w:rFonts w:hint="default" w:ascii="Times New Roman" w:hAnsi="Times New Roman" w:cs="Times New Roman"/>
                      <w:color w:val="0000FF"/>
                      <w:kern w:val="2"/>
                      <w:sz w:val="21"/>
                      <w:szCs w:val="21"/>
                      <w:lang w:val="en-US" w:eastAsia="zh-CN" w:bidi="ar-SA"/>
                    </w:rPr>
                    <w:t>危废暂存间</w:t>
                  </w:r>
                </w:p>
              </w:tc>
              <w:tc>
                <w:tcPr>
                  <w:tcW w:w="2658" w:type="pct"/>
                  <w:shd w:val="clear" w:color="auto" w:fill="auto"/>
                  <w:noWrap w:val="0"/>
                  <w:vAlign w:val="center"/>
                </w:tcPr>
                <w:p w14:paraId="5DD31B6C">
                  <w:pPr>
                    <w:keepNext w:val="0"/>
                    <w:keepLines w:val="0"/>
                    <w:pageBreakBefore w:val="0"/>
                    <w:widowControl w:val="0"/>
                    <w:kinsoku/>
                    <w:wordWrap/>
                    <w:overflowPunct/>
                    <w:topLinePunct w:val="0"/>
                    <w:bidi w:val="0"/>
                    <w:snapToGrid/>
                    <w:spacing w:line="240" w:lineRule="auto"/>
                    <w:ind w:left="0" w:leftChars="0"/>
                    <w:jc w:val="both"/>
                    <w:textAlignment w:val="auto"/>
                    <w:rPr>
                      <w:rFonts w:hint="default" w:ascii="Times New Roman" w:hAnsi="Times New Roman" w:cs="Times New Roman"/>
                      <w:color w:val="0000FF"/>
                      <w:kern w:val="2"/>
                      <w:sz w:val="21"/>
                      <w:szCs w:val="21"/>
                      <w:highlight w:val="none"/>
                      <w:lang w:val="en-US" w:eastAsia="zh-CN" w:bidi="ar-SA"/>
                    </w:rPr>
                  </w:pPr>
                  <w:r>
                    <w:rPr>
                      <w:rFonts w:hint="default" w:ascii="Times New Roman" w:hAnsi="Times New Roman" w:cs="Times New Roman"/>
                      <w:color w:val="0000FF"/>
                      <w:sz w:val="21"/>
                      <w:szCs w:val="21"/>
                      <w:highlight w:val="none"/>
                      <w:lang w:val="en-US" w:eastAsia="zh-CN"/>
                    </w:rPr>
                    <w:t>新建1座为危废暂存间，位于厂区新瓶库东南角，建筑面积为20</w:t>
                  </w:r>
                  <w:r>
                    <w:rPr>
                      <w:rFonts w:hint="default" w:ascii="Times New Roman" w:hAnsi="Times New Roman" w:cs="Times New Roman"/>
                      <w:color w:val="0000FF"/>
                      <w:sz w:val="21"/>
                      <w:szCs w:val="21"/>
                      <w:highlight w:val="none"/>
                      <w:vertAlign w:val="baseline"/>
                      <w:lang w:val="en-US" w:eastAsia="zh-CN"/>
                    </w:rPr>
                    <w:t>m</w:t>
                  </w:r>
                  <w:r>
                    <w:rPr>
                      <w:rFonts w:hint="default" w:ascii="Times New Roman" w:hAnsi="Times New Roman" w:cs="Times New Roman"/>
                      <w:color w:val="0000FF"/>
                      <w:sz w:val="21"/>
                      <w:szCs w:val="21"/>
                      <w:highlight w:val="none"/>
                      <w:vertAlign w:val="superscript"/>
                      <w:lang w:val="en-US" w:eastAsia="zh-CN"/>
                    </w:rPr>
                    <w:t>2</w:t>
                  </w:r>
                  <w:r>
                    <w:rPr>
                      <w:rFonts w:hint="default" w:ascii="Times New Roman" w:hAnsi="Times New Roman" w:cs="Times New Roman"/>
                      <w:color w:val="0000FF"/>
                      <w:sz w:val="21"/>
                      <w:szCs w:val="21"/>
                      <w:highlight w:val="none"/>
                      <w:lang w:val="en-US" w:eastAsia="zh-CN"/>
                    </w:rPr>
                    <w:t>，</w:t>
                  </w:r>
                  <w:r>
                    <w:rPr>
                      <w:rFonts w:hint="default" w:ascii="Times New Roman" w:hAnsi="Times New Roman" w:cs="Times New Roman"/>
                      <w:color w:val="0000FF"/>
                      <w:sz w:val="21"/>
                      <w:szCs w:val="21"/>
                      <w:highlight w:val="none"/>
                      <w:lang w:eastAsia="zh-CN"/>
                    </w:rPr>
                    <w:t>危废间</w:t>
                  </w:r>
                  <w:r>
                    <w:rPr>
                      <w:rFonts w:hint="default" w:ascii="Times New Roman" w:hAnsi="Times New Roman" w:cs="Times New Roman"/>
                      <w:color w:val="0000FF"/>
                      <w:sz w:val="21"/>
                      <w:szCs w:val="21"/>
                      <w:highlight w:val="none"/>
                      <w:lang w:val="en-US" w:eastAsia="zh-CN"/>
                    </w:rPr>
                    <w:t>按照</w:t>
                  </w:r>
                  <w:r>
                    <w:rPr>
                      <w:rFonts w:hint="default" w:ascii="Times New Roman" w:hAnsi="Times New Roman" w:eastAsia="宋体" w:cs="Times New Roman"/>
                      <w:color w:val="0000FF"/>
                      <w:sz w:val="21"/>
                      <w:szCs w:val="21"/>
                      <w:highlight w:val="none"/>
                      <w:lang w:val="en-US" w:eastAsia="zh-CN"/>
                    </w:rPr>
                    <w:t>《危险废物贮存污染控制标准》（GB18597－20</w:t>
                  </w:r>
                  <w:r>
                    <w:rPr>
                      <w:rFonts w:hint="default" w:ascii="Times New Roman" w:hAnsi="Times New Roman" w:cs="Times New Roman"/>
                      <w:color w:val="0000FF"/>
                      <w:sz w:val="21"/>
                      <w:szCs w:val="21"/>
                      <w:highlight w:val="none"/>
                      <w:lang w:val="en-US" w:eastAsia="zh-CN"/>
                    </w:rPr>
                    <w:t>23</w:t>
                  </w:r>
                  <w:r>
                    <w:rPr>
                      <w:rFonts w:hint="default" w:ascii="Times New Roman" w:hAnsi="Times New Roman" w:eastAsia="宋体" w:cs="Times New Roman"/>
                      <w:color w:val="0000FF"/>
                      <w:sz w:val="21"/>
                      <w:szCs w:val="21"/>
                      <w:highlight w:val="none"/>
                      <w:lang w:val="en-US" w:eastAsia="zh-CN"/>
                    </w:rPr>
                    <w:t>）要求建设，基础必须防渗，</w:t>
                  </w:r>
                  <w:r>
                    <w:rPr>
                      <w:rFonts w:hint="default" w:ascii="Times New Roman" w:hAnsi="Times New Roman" w:cs="Times New Roman"/>
                      <w:color w:val="0000FF"/>
                      <w:sz w:val="21"/>
                      <w:szCs w:val="21"/>
                      <w:highlight w:val="none"/>
                      <w:lang w:val="en-US" w:eastAsia="zh-CN"/>
                    </w:rPr>
                    <w:t>防渗层采用2mm厚高密度聚乙烯或至少2mm厚的其它人工材料，渗透系数≤10</w:t>
                  </w:r>
                  <w:r>
                    <w:rPr>
                      <w:rFonts w:hint="default" w:ascii="Times New Roman" w:hAnsi="Times New Roman" w:cs="Times New Roman"/>
                      <w:color w:val="0000FF"/>
                      <w:sz w:val="21"/>
                      <w:szCs w:val="21"/>
                      <w:highlight w:val="none"/>
                      <w:vertAlign w:val="superscript"/>
                      <w:lang w:val="en-US" w:eastAsia="zh-CN"/>
                    </w:rPr>
                    <w:t>-10</w:t>
                  </w:r>
                  <w:r>
                    <w:rPr>
                      <w:rFonts w:hint="default" w:ascii="Times New Roman" w:hAnsi="Times New Roman" w:cs="Times New Roman"/>
                      <w:color w:val="0000FF"/>
                      <w:sz w:val="21"/>
                      <w:szCs w:val="21"/>
                      <w:highlight w:val="none"/>
                      <w:lang w:val="en-US" w:eastAsia="zh-CN"/>
                    </w:rPr>
                    <w:t>cm/s，设置导流渠、围堰以及收集池，其中围堰高度为10cm，导流渠宽度为10cm，导流渠内按1％坡度向集液池汇集，集液池高度为1m，占地面积为1m</w:t>
                  </w:r>
                  <w:r>
                    <w:rPr>
                      <w:rFonts w:hint="default" w:ascii="Times New Roman" w:hAnsi="Times New Roman" w:cs="Times New Roman"/>
                      <w:color w:val="0000FF"/>
                      <w:sz w:val="21"/>
                      <w:szCs w:val="21"/>
                      <w:highlight w:val="none"/>
                      <w:vertAlign w:val="superscript"/>
                      <w:lang w:val="en-US" w:eastAsia="zh-CN"/>
                    </w:rPr>
                    <w:t>2</w:t>
                  </w:r>
                  <w:r>
                    <w:rPr>
                      <w:rFonts w:hint="default" w:ascii="Times New Roman" w:hAnsi="Times New Roman" w:cs="Times New Roman"/>
                      <w:color w:val="0000FF"/>
                      <w:sz w:val="21"/>
                      <w:szCs w:val="21"/>
                      <w:highlight w:val="none"/>
                      <w:lang w:val="en-US" w:eastAsia="zh-CN"/>
                    </w:rPr>
                    <w:t>。收集池容积不小于最大单体包装物容积，设置危废标识定期委托有资质单位回收处理</w:t>
                  </w:r>
                </w:p>
              </w:tc>
            </w:tr>
            <w:tr w14:paraId="26DFD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022259C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327" w:type="pct"/>
                  <w:vMerge w:val="continue"/>
                  <w:noWrap w:val="0"/>
                  <w:vAlign w:val="center"/>
                </w:tcPr>
                <w:p w14:paraId="6B150F0E">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718" w:type="pct"/>
                  <w:gridSpan w:val="4"/>
                  <w:noWrap w:val="0"/>
                  <w:vAlign w:val="center"/>
                </w:tcPr>
                <w:p w14:paraId="2E83B603">
                  <w:pPr>
                    <w:keepNext w:val="0"/>
                    <w:keepLines w:val="0"/>
                    <w:pageBreakBefore w:val="0"/>
                    <w:widowControl w:val="0"/>
                    <w:kinsoku/>
                    <w:wordWrap/>
                    <w:overflowPunct/>
                    <w:topLinePunct w:val="0"/>
                    <w:bidi w:val="0"/>
                    <w:snapToGrid/>
                    <w:spacing w:line="240" w:lineRule="auto"/>
                    <w:ind w:left="0" w:leftChars="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一般固废暂存间</w:t>
                  </w:r>
                </w:p>
              </w:tc>
              <w:tc>
                <w:tcPr>
                  <w:tcW w:w="2658" w:type="pct"/>
                  <w:shd w:val="clear" w:color="auto" w:fill="auto"/>
                  <w:noWrap w:val="0"/>
                  <w:vAlign w:val="center"/>
                </w:tcPr>
                <w:p w14:paraId="22BFDF1C">
                  <w:pPr>
                    <w:keepNext w:val="0"/>
                    <w:keepLines w:val="0"/>
                    <w:pageBreakBefore w:val="0"/>
                    <w:widowControl w:val="0"/>
                    <w:kinsoku/>
                    <w:wordWrap/>
                    <w:overflowPunct/>
                    <w:topLinePunct w:val="0"/>
                    <w:bidi w:val="0"/>
                    <w:snapToGrid/>
                    <w:spacing w:line="240" w:lineRule="auto"/>
                    <w:ind w:left="0" w:leftChars="0"/>
                    <w:jc w:val="both"/>
                    <w:textAlignment w:val="auto"/>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建设1座一般固废间，面积为</w:t>
                  </w:r>
                  <w:r>
                    <w:rPr>
                      <w:rFonts w:hint="eastAsia" w:cs="Times New Roman"/>
                      <w:color w:val="0000FF"/>
                      <w:sz w:val="21"/>
                      <w:szCs w:val="21"/>
                      <w:highlight w:val="none"/>
                      <w:lang w:val="en-US" w:eastAsia="zh-CN"/>
                    </w:rPr>
                    <w:t>2</w:t>
                  </w:r>
                  <w:r>
                    <w:rPr>
                      <w:rFonts w:hint="default" w:ascii="Times New Roman" w:hAnsi="Times New Roman" w:cs="Times New Roman"/>
                      <w:color w:val="0000FF"/>
                      <w:sz w:val="21"/>
                      <w:szCs w:val="21"/>
                      <w:highlight w:val="none"/>
                      <w:lang w:val="en-US" w:eastAsia="zh-CN"/>
                    </w:rPr>
                    <w:t>0m</w:t>
                  </w:r>
                  <w:r>
                    <w:rPr>
                      <w:rFonts w:hint="default" w:ascii="Times New Roman" w:hAnsi="Times New Roman" w:cs="Times New Roman"/>
                      <w:color w:val="0000FF"/>
                      <w:sz w:val="21"/>
                      <w:szCs w:val="21"/>
                      <w:highlight w:val="none"/>
                      <w:vertAlign w:val="superscript"/>
                      <w:lang w:val="en-US" w:eastAsia="zh-CN"/>
                    </w:rPr>
                    <w:t>2</w:t>
                  </w:r>
                  <w:r>
                    <w:rPr>
                      <w:rFonts w:hint="default" w:ascii="Times New Roman" w:hAnsi="Times New Roman" w:cs="Times New Roman"/>
                      <w:color w:val="0000FF"/>
                      <w:sz w:val="21"/>
                      <w:szCs w:val="21"/>
                      <w:highlight w:val="none"/>
                      <w:lang w:val="en-US" w:eastAsia="zh-CN"/>
                    </w:rPr>
                    <w:t>，</w:t>
                  </w:r>
                  <w:r>
                    <w:rPr>
                      <w:rFonts w:hint="default" w:ascii="Times New Roman" w:hAnsi="Times New Roman" w:eastAsia="宋体" w:cs="Times New Roman"/>
                      <w:color w:val="0000FF"/>
                      <w:kern w:val="2"/>
                      <w:sz w:val="21"/>
                      <w:szCs w:val="21"/>
                      <w:highlight w:val="none"/>
                    </w:rPr>
                    <w:t>采取防渗措施（等效黏土防渗层Mb≥1.5m，K≤1×10</w:t>
                  </w:r>
                  <w:r>
                    <w:rPr>
                      <w:rFonts w:hint="default" w:ascii="Times New Roman" w:hAnsi="Times New Roman" w:eastAsia="宋体" w:cs="Times New Roman"/>
                      <w:color w:val="0000FF"/>
                      <w:kern w:val="2"/>
                      <w:sz w:val="21"/>
                      <w:szCs w:val="21"/>
                      <w:highlight w:val="none"/>
                      <w:vertAlign w:val="superscript"/>
                    </w:rPr>
                    <w:t>-7</w:t>
                  </w:r>
                  <w:r>
                    <w:rPr>
                      <w:rFonts w:hint="default" w:ascii="Times New Roman" w:hAnsi="Times New Roman" w:eastAsia="宋体" w:cs="Times New Roman"/>
                      <w:color w:val="0000FF"/>
                      <w:kern w:val="2"/>
                      <w:sz w:val="21"/>
                      <w:szCs w:val="21"/>
                      <w:highlight w:val="none"/>
                    </w:rPr>
                    <w:t>cm/s）</w:t>
                  </w:r>
                </w:p>
              </w:tc>
            </w:tr>
            <w:tr w14:paraId="6E887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271B77D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327" w:type="pct"/>
                  <w:vMerge w:val="continue"/>
                  <w:noWrap w:val="0"/>
                  <w:vAlign w:val="center"/>
                </w:tcPr>
                <w:p w14:paraId="67950D48">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1718" w:type="pct"/>
                  <w:gridSpan w:val="4"/>
                  <w:noWrap w:val="0"/>
                  <w:vAlign w:val="center"/>
                </w:tcPr>
                <w:p w14:paraId="5FCE282F">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生活垃圾</w:t>
                  </w:r>
                </w:p>
              </w:tc>
              <w:tc>
                <w:tcPr>
                  <w:tcW w:w="2658" w:type="pct"/>
                  <w:noWrap w:val="0"/>
                  <w:vAlign w:val="center"/>
                </w:tcPr>
                <w:p w14:paraId="4D48C65D">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委托环卫部门清运</w:t>
                  </w:r>
                </w:p>
              </w:tc>
            </w:tr>
            <w:tr w14:paraId="4997EB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784698C5">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2046" w:type="pct"/>
                  <w:gridSpan w:val="5"/>
                  <w:noWrap w:val="0"/>
                  <w:vAlign w:val="center"/>
                </w:tcPr>
                <w:p w14:paraId="0CF81439">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地下水防渗措施</w:t>
                  </w:r>
                </w:p>
              </w:tc>
              <w:tc>
                <w:tcPr>
                  <w:tcW w:w="2658" w:type="pct"/>
                  <w:noWrap w:val="0"/>
                  <w:vAlign w:val="center"/>
                </w:tcPr>
                <w:p w14:paraId="5314F2CE">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cs="Times New Roman"/>
                      <w:color w:val="0000FF"/>
                      <w:sz w:val="21"/>
                      <w:szCs w:val="21"/>
                      <w:lang w:val="en-US" w:eastAsia="zh-CN"/>
                    </w:rPr>
                  </w:pPr>
                  <w:r>
                    <w:rPr>
                      <w:rFonts w:hint="default" w:ascii="Times New Roman" w:hAnsi="Times New Roman" w:cs="Times New Roman"/>
                      <w:color w:val="0000FF"/>
                      <w:sz w:val="21"/>
                      <w:szCs w:val="21"/>
                      <w:lang w:val="en-US" w:eastAsia="zh-CN"/>
                    </w:rPr>
                    <w:t>危险废物暂存间</w:t>
                  </w:r>
                  <w:r>
                    <w:rPr>
                      <w:rFonts w:hint="default" w:ascii="Times New Roman" w:hAnsi="Times New Roman" w:cs="Times New Roman"/>
                      <w:color w:val="0000FF"/>
                      <w:sz w:val="21"/>
                      <w:szCs w:val="21"/>
                      <w:highlight w:val="none"/>
                      <w:lang w:val="en-US" w:eastAsia="zh-CN"/>
                    </w:rPr>
                    <w:t>防渗要求满足</w:t>
                  </w:r>
                  <w:r>
                    <w:rPr>
                      <w:rFonts w:hint="default" w:ascii="Times New Roman" w:hAnsi="Times New Roman" w:eastAsia="宋体" w:cs="Times New Roman"/>
                      <w:color w:val="0000FF"/>
                      <w:sz w:val="21"/>
                      <w:szCs w:val="21"/>
                      <w:highlight w:val="none"/>
                      <w:lang w:val="en-US" w:eastAsia="zh-CN"/>
                    </w:rPr>
                    <w:t>《危险废物贮存污染控制标准》（GB18597－20</w:t>
                  </w:r>
                  <w:r>
                    <w:rPr>
                      <w:rFonts w:hint="default" w:ascii="Times New Roman" w:hAnsi="Times New Roman" w:cs="Times New Roman"/>
                      <w:color w:val="0000FF"/>
                      <w:sz w:val="21"/>
                      <w:szCs w:val="21"/>
                      <w:highlight w:val="none"/>
                      <w:lang w:val="en-US" w:eastAsia="zh-CN"/>
                    </w:rPr>
                    <w:t>23</w:t>
                  </w:r>
                  <w:r>
                    <w:rPr>
                      <w:rFonts w:hint="default" w:ascii="Times New Roman" w:hAnsi="Times New Roman" w:eastAsia="宋体" w:cs="Times New Roman"/>
                      <w:color w:val="0000FF"/>
                      <w:sz w:val="21"/>
                      <w:szCs w:val="21"/>
                      <w:highlight w:val="none"/>
                      <w:lang w:val="en-US" w:eastAsia="zh-CN"/>
                    </w:rPr>
                    <w:t>）</w:t>
                  </w:r>
                  <w:r>
                    <w:rPr>
                      <w:rFonts w:hint="default" w:ascii="Times New Roman" w:hAnsi="Times New Roman" w:cs="Times New Roman"/>
                      <w:color w:val="0000FF"/>
                      <w:sz w:val="21"/>
                      <w:szCs w:val="21"/>
                      <w:highlight w:val="none"/>
                      <w:lang w:val="en-US" w:eastAsia="zh-CN"/>
                    </w:rPr>
                    <w:t>，</w:t>
                  </w:r>
                  <w:r>
                    <w:rPr>
                      <w:rFonts w:hint="eastAsia" w:cs="Times New Roman"/>
                      <w:color w:val="0000FF"/>
                      <w:sz w:val="21"/>
                      <w:szCs w:val="21"/>
                      <w:lang w:val="en-US" w:eastAsia="zh-CN"/>
                    </w:rPr>
                    <w:t>改性丙烷/LPG</w:t>
                  </w:r>
                  <w:r>
                    <w:rPr>
                      <w:rFonts w:hint="eastAsia" w:cs="Times New Roman"/>
                      <w:color w:val="0000FF"/>
                      <w:sz w:val="21"/>
                      <w:szCs w:val="21"/>
                      <w:highlight w:val="none"/>
                      <w:lang w:val="en-US" w:eastAsia="zh-CN"/>
                    </w:rPr>
                    <w:t>地下</w:t>
                  </w:r>
                  <w:r>
                    <w:rPr>
                      <w:rFonts w:hint="default" w:ascii="Times New Roman" w:hAnsi="Times New Roman" w:cs="Times New Roman"/>
                      <w:color w:val="0000FF"/>
                      <w:sz w:val="21"/>
                      <w:szCs w:val="21"/>
                      <w:lang w:val="en-US" w:eastAsia="zh-CN"/>
                    </w:rPr>
                    <w:t>气罐区、槽车卸车区、</w:t>
                  </w:r>
                  <w:r>
                    <w:rPr>
                      <w:rFonts w:hint="eastAsia" w:cs="Times New Roman"/>
                      <w:color w:val="0000FF"/>
                      <w:sz w:val="21"/>
                      <w:szCs w:val="21"/>
                      <w:lang w:val="en-US" w:eastAsia="zh-CN"/>
                    </w:rPr>
                    <w:t>改性丙烷/LPG</w:t>
                  </w:r>
                  <w:r>
                    <w:rPr>
                      <w:rFonts w:hint="default" w:ascii="Times New Roman" w:hAnsi="Times New Roman" w:cs="Times New Roman"/>
                      <w:color w:val="0000FF"/>
                      <w:sz w:val="21"/>
                      <w:szCs w:val="21"/>
                      <w:lang w:val="en-US" w:eastAsia="zh-CN"/>
                    </w:rPr>
                    <w:t>灌装用房、事故水池等为重点防渗，防渗性能等效黏土防渗层Mb≥6m，渗透系数K≤1×10</w:t>
                  </w:r>
                  <w:r>
                    <w:rPr>
                      <w:rFonts w:hint="default" w:ascii="Times New Roman" w:hAnsi="Times New Roman" w:cs="Times New Roman"/>
                      <w:color w:val="0000FF"/>
                      <w:sz w:val="21"/>
                      <w:szCs w:val="21"/>
                      <w:vertAlign w:val="superscript"/>
                      <w:lang w:val="en-US" w:eastAsia="zh-CN"/>
                    </w:rPr>
                    <w:t>-7</w:t>
                  </w:r>
                  <w:r>
                    <w:rPr>
                      <w:rFonts w:hint="default" w:ascii="Times New Roman" w:hAnsi="Times New Roman" w:cs="Times New Roman"/>
                      <w:color w:val="0000FF"/>
                      <w:sz w:val="21"/>
                      <w:szCs w:val="21"/>
                      <w:lang w:val="en-US" w:eastAsia="zh-CN"/>
                    </w:rPr>
                    <w:t>cm/s，</w:t>
                  </w:r>
                  <w:r>
                    <w:rPr>
                      <w:rFonts w:hint="eastAsia" w:cs="Times New Roman"/>
                      <w:color w:val="0000FF"/>
                      <w:sz w:val="21"/>
                      <w:szCs w:val="21"/>
                      <w:lang w:val="en-US" w:eastAsia="zh-CN"/>
                    </w:rPr>
                    <w:t>其他</w:t>
                  </w:r>
                  <w:r>
                    <w:rPr>
                      <w:rFonts w:hint="default" w:ascii="Times New Roman" w:hAnsi="Times New Roman" w:cs="Times New Roman"/>
                      <w:color w:val="0000FF"/>
                      <w:sz w:val="21"/>
                      <w:szCs w:val="21"/>
                      <w:lang w:val="en-US" w:eastAsia="zh-CN"/>
                    </w:rPr>
                    <w:t>生产厂房、压缩机房、泵房</w:t>
                  </w:r>
                  <w:r>
                    <w:rPr>
                      <w:rFonts w:hint="default" w:ascii="Times New Roman" w:hAnsi="Times New Roman" w:cs="Times New Roman"/>
                      <w:color w:val="0000FF"/>
                      <w:sz w:val="21"/>
                      <w:szCs w:val="21"/>
                      <w:highlight w:val="none"/>
                      <w:lang w:val="en-US" w:eastAsia="zh-CN"/>
                    </w:rPr>
                    <w:t>、消防水池为一</w:t>
                  </w:r>
                  <w:r>
                    <w:rPr>
                      <w:rFonts w:hint="default" w:ascii="Times New Roman" w:hAnsi="Times New Roman" w:cs="Times New Roman"/>
                      <w:color w:val="0000FF"/>
                      <w:sz w:val="21"/>
                      <w:szCs w:val="21"/>
                      <w:lang w:val="en-US" w:eastAsia="zh-CN"/>
                    </w:rPr>
                    <w:t>般防渗，防渗性能等效黏土防渗层Mb≥1.5m，渗透系数K≤1×10</w:t>
                  </w:r>
                  <w:r>
                    <w:rPr>
                      <w:rFonts w:hint="default" w:ascii="Times New Roman" w:hAnsi="Times New Roman" w:cs="Times New Roman"/>
                      <w:color w:val="0000FF"/>
                      <w:sz w:val="21"/>
                      <w:szCs w:val="21"/>
                      <w:vertAlign w:val="superscript"/>
                      <w:lang w:val="en-US" w:eastAsia="zh-CN"/>
                    </w:rPr>
                    <w:t>-7</w:t>
                  </w:r>
                  <w:r>
                    <w:rPr>
                      <w:rFonts w:hint="default" w:ascii="Times New Roman" w:hAnsi="Times New Roman" w:cs="Times New Roman"/>
                      <w:color w:val="0000FF"/>
                      <w:sz w:val="21"/>
                      <w:szCs w:val="21"/>
                      <w:lang w:val="en-US" w:eastAsia="zh-CN"/>
                    </w:rPr>
                    <w:t>cm/s，办公生活区、休息区、消防器材库库、配电室等基本上不产生污染物的非污染防治区，不采取专门针对地下水污染的防治措施，但地基处理应分层压实</w:t>
                  </w:r>
                </w:p>
              </w:tc>
            </w:tr>
            <w:tr w14:paraId="71891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jc w:val="center"/>
              </w:trPr>
              <w:tc>
                <w:tcPr>
                  <w:tcW w:w="295" w:type="pct"/>
                  <w:vMerge w:val="restart"/>
                  <w:noWrap w:val="0"/>
                  <w:vAlign w:val="center"/>
                </w:tcPr>
                <w:p w14:paraId="2073E009">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环境风险防范措施</w:t>
                  </w:r>
                </w:p>
              </w:tc>
              <w:tc>
                <w:tcPr>
                  <w:tcW w:w="2046" w:type="pct"/>
                  <w:gridSpan w:val="5"/>
                  <w:noWrap w:val="0"/>
                  <w:vAlign w:val="center"/>
                </w:tcPr>
                <w:p w14:paraId="2286A28F">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罐区风险防范措施</w:t>
                  </w:r>
                </w:p>
              </w:tc>
              <w:tc>
                <w:tcPr>
                  <w:tcW w:w="2658" w:type="pct"/>
                  <w:noWrap w:val="0"/>
                  <w:vAlign w:val="center"/>
                </w:tcPr>
                <w:p w14:paraId="72A9FFE8">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eastAsia="宋体" w:cs="Times New Roman"/>
                      <w:color w:val="0000FF"/>
                      <w:sz w:val="21"/>
                      <w:szCs w:val="21"/>
                      <w:lang w:val="en-US" w:eastAsia="zh-CN"/>
                    </w:rPr>
                  </w:pPr>
                  <w:r>
                    <w:rPr>
                      <w:rFonts w:hint="eastAsia" w:cs="Times New Roman"/>
                      <w:color w:val="0000FF"/>
                      <w:sz w:val="21"/>
                      <w:szCs w:val="21"/>
                      <w:lang w:val="en-US" w:eastAsia="zh-CN"/>
                    </w:rPr>
                    <w:t>储罐设置氮封，</w:t>
                  </w:r>
                  <w:r>
                    <w:rPr>
                      <w:rFonts w:hint="default" w:ascii="Times New Roman" w:hAnsi="Times New Roman" w:eastAsia="宋体" w:cs="Times New Roman"/>
                      <w:color w:val="0000FF"/>
                      <w:sz w:val="21"/>
                      <w:szCs w:val="21"/>
                      <w:lang w:val="en-US" w:eastAsia="zh-CN"/>
                    </w:rPr>
                    <w:t>罐区、管道等区域采用重点防渗、罐区设置</w:t>
                  </w:r>
                  <w:r>
                    <w:rPr>
                      <w:rFonts w:hint="eastAsia" w:cs="Times New Roman"/>
                      <w:color w:val="0000FF"/>
                      <w:sz w:val="21"/>
                      <w:szCs w:val="21"/>
                      <w:lang w:val="en-US" w:eastAsia="zh-CN"/>
                    </w:rPr>
                    <w:t>可燃气体</w:t>
                  </w:r>
                  <w:r>
                    <w:rPr>
                      <w:rFonts w:hint="default" w:ascii="Times New Roman" w:hAnsi="Times New Roman" w:eastAsia="宋体" w:cs="Times New Roman"/>
                      <w:color w:val="0000FF"/>
                      <w:sz w:val="21"/>
                      <w:szCs w:val="21"/>
                      <w:lang w:val="en-US" w:eastAsia="zh-CN"/>
                    </w:rPr>
                    <w:t>自动报警装置</w:t>
                  </w:r>
                  <w:r>
                    <w:rPr>
                      <w:rFonts w:hint="eastAsia" w:cs="Times New Roman"/>
                      <w:color w:val="0000FF"/>
                      <w:sz w:val="21"/>
                      <w:szCs w:val="21"/>
                      <w:lang w:val="en-US" w:eastAsia="zh-CN"/>
                    </w:rPr>
                    <w:t>，</w:t>
                  </w:r>
                  <w:r>
                    <w:rPr>
                      <w:rFonts w:hint="default" w:ascii="Times New Roman" w:hAnsi="Times New Roman" w:eastAsia="宋体" w:cs="Times New Roman"/>
                      <w:color w:val="0000FF"/>
                      <w:sz w:val="21"/>
                      <w:szCs w:val="21"/>
                      <w:lang w:val="en-US" w:eastAsia="zh-CN"/>
                    </w:rPr>
                    <w:t>厂区进行定期巡查。</w:t>
                  </w:r>
                </w:p>
              </w:tc>
            </w:tr>
            <w:tr w14:paraId="6C2C2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0DAC9857">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2046" w:type="pct"/>
                  <w:gridSpan w:val="5"/>
                  <w:noWrap w:val="0"/>
                  <w:vAlign w:val="center"/>
                </w:tcPr>
                <w:p w14:paraId="331F1DAC">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消防水池</w:t>
                  </w:r>
                </w:p>
              </w:tc>
              <w:tc>
                <w:tcPr>
                  <w:tcW w:w="2658" w:type="pct"/>
                  <w:noWrap w:val="0"/>
                  <w:vAlign w:val="center"/>
                </w:tcPr>
                <w:p w14:paraId="5D071BF1">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cs="Times New Roman"/>
                      <w:color w:val="0000FF"/>
                      <w:sz w:val="21"/>
                      <w:szCs w:val="21"/>
                      <w:highlight w:val="none"/>
                      <w:lang w:val="en-US" w:eastAsia="zh-CN"/>
                    </w:rPr>
                    <w:t>本项目建设2座消防水池，容积各为350m</w:t>
                  </w:r>
                  <w:r>
                    <w:rPr>
                      <w:rFonts w:hint="default" w:ascii="Times New Roman" w:hAnsi="Times New Roman" w:cs="Times New Roman"/>
                      <w:color w:val="0000FF"/>
                      <w:sz w:val="21"/>
                      <w:szCs w:val="21"/>
                      <w:highlight w:val="none"/>
                      <w:vertAlign w:val="superscript"/>
                      <w:lang w:val="en-US" w:eastAsia="zh-CN"/>
                    </w:rPr>
                    <w:t>3</w:t>
                  </w:r>
                  <w:r>
                    <w:rPr>
                      <w:rFonts w:hint="default" w:ascii="Times New Roman" w:hAnsi="Times New Roman" w:cs="Times New Roman"/>
                      <w:color w:val="0000FF"/>
                      <w:sz w:val="21"/>
                      <w:szCs w:val="21"/>
                      <w:highlight w:val="none"/>
                      <w:lang w:val="en-US" w:eastAsia="zh-CN"/>
                    </w:rPr>
                    <w:t>，满足项目发生火灾事故时消防用水量需求</w:t>
                  </w:r>
                </w:p>
              </w:tc>
            </w:tr>
            <w:tr w14:paraId="3E161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295" w:type="pct"/>
                  <w:vMerge w:val="continue"/>
                  <w:noWrap w:val="0"/>
                  <w:vAlign w:val="center"/>
                </w:tcPr>
                <w:p w14:paraId="179DD17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cs="Times New Roman"/>
                      <w:color w:val="0000FF"/>
                      <w:sz w:val="21"/>
                      <w:szCs w:val="21"/>
                      <w:lang w:val="en-US" w:eastAsia="zh-CN"/>
                    </w:rPr>
                  </w:pPr>
                </w:p>
              </w:tc>
              <w:tc>
                <w:tcPr>
                  <w:tcW w:w="2046" w:type="pct"/>
                  <w:gridSpan w:val="5"/>
                  <w:noWrap w:val="0"/>
                  <w:vAlign w:val="center"/>
                </w:tcPr>
                <w:p w14:paraId="7998807A">
                  <w:pPr>
                    <w:keepNext w:val="0"/>
                    <w:keepLines w:val="0"/>
                    <w:pageBreakBefore w:val="0"/>
                    <w:widowControl w:val="0"/>
                    <w:kinsoku/>
                    <w:wordWrap/>
                    <w:overflowPunct/>
                    <w:topLinePunct w:val="0"/>
                    <w:bidi w:val="0"/>
                    <w:snapToGrid/>
                    <w:spacing w:line="240" w:lineRule="auto"/>
                    <w:ind w:left="0"/>
                    <w:jc w:val="center"/>
                    <w:textAlignment w:val="auto"/>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lang w:val="en-US" w:eastAsia="zh-CN"/>
                    </w:rPr>
                    <w:t>事故水池</w:t>
                  </w:r>
                  <w:r>
                    <w:rPr>
                      <w:rFonts w:hint="default" w:ascii="Times New Roman" w:hAnsi="Times New Roman" w:cs="Times New Roman"/>
                      <w:color w:val="0000FF"/>
                      <w:sz w:val="21"/>
                      <w:szCs w:val="21"/>
                      <w:lang w:val="en-US" w:eastAsia="zh-CN"/>
                    </w:rPr>
                    <w:t>（兼做</w:t>
                  </w:r>
                  <w:r>
                    <w:rPr>
                      <w:rFonts w:hint="eastAsia" w:cs="Times New Roman"/>
                      <w:color w:val="0000FF"/>
                      <w:sz w:val="21"/>
                      <w:szCs w:val="21"/>
                      <w:lang w:val="en-US" w:eastAsia="zh-CN"/>
                    </w:rPr>
                    <w:t>初期雨水</w:t>
                  </w:r>
                  <w:r>
                    <w:rPr>
                      <w:rFonts w:hint="default" w:ascii="Times New Roman" w:hAnsi="Times New Roman" w:cs="Times New Roman"/>
                      <w:color w:val="0000FF"/>
                      <w:sz w:val="21"/>
                      <w:szCs w:val="21"/>
                      <w:lang w:val="en-US" w:eastAsia="zh-CN"/>
                    </w:rPr>
                    <w:t>池）</w:t>
                  </w:r>
                </w:p>
              </w:tc>
              <w:tc>
                <w:tcPr>
                  <w:tcW w:w="2658" w:type="pct"/>
                  <w:noWrap w:val="0"/>
                  <w:vAlign w:val="center"/>
                </w:tcPr>
                <w:p w14:paraId="0DC65A79">
                  <w:pPr>
                    <w:keepNext w:val="0"/>
                    <w:keepLines w:val="0"/>
                    <w:pageBreakBefore w:val="0"/>
                    <w:widowControl w:val="0"/>
                    <w:kinsoku/>
                    <w:wordWrap/>
                    <w:overflowPunct/>
                    <w:topLinePunct w:val="0"/>
                    <w:bidi w:val="0"/>
                    <w:snapToGrid/>
                    <w:spacing w:line="240" w:lineRule="auto"/>
                    <w:ind w:left="0"/>
                    <w:jc w:val="both"/>
                    <w:textAlignment w:val="auto"/>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本项目建设1座事故水池，容积为800m</w:t>
                  </w:r>
                  <w:r>
                    <w:rPr>
                      <w:rFonts w:hint="default" w:ascii="Times New Roman" w:hAnsi="Times New Roman" w:cs="Times New Roman"/>
                      <w:color w:val="0000FF"/>
                      <w:sz w:val="21"/>
                      <w:szCs w:val="21"/>
                      <w:highlight w:val="none"/>
                      <w:vertAlign w:val="superscript"/>
                      <w:lang w:val="en-US" w:eastAsia="zh-CN"/>
                    </w:rPr>
                    <w:t>3</w:t>
                  </w:r>
                  <w:r>
                    <w:rPr>
                      <w:rFonts w:hint="default" w:ascii="Times New Roman" w:hAnsi="Times New Roman" w:cs="Times New Roman"/>
                      <w:color w:val="0000FF"/>
                      <w:sz w:val="21"/>
                      <w:szCs w:val="21"/>
                      <w:highlight w:val="none"/>
                      <w:lang w:val="en-US" w:eastAsia="zh-CN"/>
                    </w:rPr>
                    <w:t>，满足项目发生火灾事故时消防废水收集需求，同时满足初期雨水收集需求</w:t>
                  </w:r>
                </w:p>
              </w:tc>
            </w:tr>
          </w:tbl>
          <w:p w14:paraId="1270AC11">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储罐区主要设计参数见下表：</w:t>
            </w:r>
          </w:p>
          <w:p w14:paraId="6AD0DACB">
            <w:pPr>
              <w:pStyle w:val="10"/>
              <w:jc w:val="center"/>
              <w:rPr>
                <w:rFonts w:hint="default" w:ascii="Times New Roman" w:hAnsi="Times New Roman" w:cs="Times New Roman"/>
                <w:sz w:val="21"/>
                <w:szCs w:val="21"/>
                <w:lang w:val="en-US" w:eastAsia="zh-CN"/>
              </w:rPr>
            </w:pPr>
            <w:r>
              <w:rPr>
                <w:rFonts w:hint="default" w:ascii="Times New Roman" w:hAnsi="Times New Roman" w:eastAsia="宋体" w:cs="Times New Roman"/>
                <w:b/>
                <w:bCs/>
                <w:color w:val="000000"/>
                <w:kern w:val="0"/>
                <w:sz w:val="21"/>
                <w:szCs w:val="21"/>
                <w:lang w:val="en-US" w:eastAsia="zh-CN" w:bidi="ar"/>
              </w:rPr>
              <w:t>表2</w:t>
            </w:r>
            <w:r>
              <w:rPr>
                <w:rFonts w:hint="default" w:ascii="Times New Roman" w:hAnsi="Times New Roman" w:cs="Times New Roman"/>
                <w:b/>
                <w:bCs/>
                <w:color w:val="000000"/>
                <w:kern w:val="0"/>
                <w:sz w:val="21"/>
                <w:szCs w:val="21"/>
                <w:lang w:val="en-US" w:eastAsia="zh-CN" w:bidi="ar"/>
              </w:rPr>
              <w:t>.3</w:t>
            </w:r>
            <w:r>
              <w:rPr>
                <w:rFonts w:hint="default" w:ascii="Times New Roman" w:hAnsi="Times New Roman" w:eastAsia="宋体" w:cs="Times New Roman"/>
                <w:b/>
                <w:bCs/>
                <w:color w:val="000000"/>
                <w:kern w:val="0"/>
                <w:sz w:val="21"/>
                <w:szCs w:val="21"/>
                <w:lang w:val="en-US" w:eastAsia="zh-CN" w:bidi="ar"/>
              </w:rPr>
              <w:t>-2   项目储罐区设计方案一览表</w:t>
            </w:r>
          </w:p>
          <w:tbl>
            <w:tblPr>
              <w:tblStyle w:val="32"/>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379"/>
              <w:gridCol w:w="987"/>
              <w:gridCol w:w="987"/>
              <w:gridCol w:w="735"/>
              <w:gridCol w:w="761"/>
              <w:gridCol w:w="736"/>
              <w:gridCol w:w="697"/>
              <w:gridCol w:w="1272"/>
              <w:gridCol w:w="929"/>
              <w:gridCol w:w="447"/>
            </w:tblGrid>
            <w:tr w14:paraId="0A16180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9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CC8789">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BF0D93">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储罐区</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F010B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90B04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容积（m</w:t>
                  </w:r>
                  <w:r>
                    <w:rPr>
                      <w:rStyle w:val="110"/>
                      <w:rFonts w:hint="default" w:ascii="Times New Roman" w:hAnsi="Times New Roman" w:eastAsia="宋体" w:cs="Times New Roman"/>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150DE">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有效容积率（%）</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3A772">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有效容积（m</w:t>
                  </w:r>
                  <w:r>
                    <w:rPr>
                      <w:rStyle w:val="110"/>
                      <w:rFonts w:hint="default" w:ascii="Times New Roman" w:hAnsi="Times New Roman" w:eastAsia="宋体" w:cs="Times New Roman"/>
                      <w:lang w:val="en-US" w:eastAsia="zh-CN" w:bidi="ar"/>
                    </w:rPr>
                    <w:t>3</w:t>
                  </w:r>
                  <w:r>
                    <w:rPr>
                      <w:rFonts w:hint="default" w:ascii="Times New Roman" w:hAnsi="Times New Roman" w:eastAsia="宋体" w:cs="Times New Roman"/>
                      <w:i w:val="0"/>
                      <w:iCs w:val="0"/>
                      <w:color w:val="000000"/>
                      <w:kern w:val="0"/>
                      <w:sz w:val="21"/>
                      <w:szCs w:val="21"/>
                      <w:u w:val="none"/>
                      <w:lang w:val="en-US" w:eastAsia="zh-CN" w:bidi="ar"/>
                    </w:rPr>
                    <w:t>）</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BCF788">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数量（个）</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F5EEE6">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建设方式</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F8C688">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设计压力（MPa）</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D6CBC0">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备注</w:t>
                  </w:r>
                </w:p>
              </w:tc>
            </w:tr>
            <w:tr w14:paraId="094B7B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119B3E">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987" w:type="dxa"/>
                  <w:vMerge w:val="restart"/>
                  <w:tcBorders>
                    <w:top w:val="single" w:color="000000" w:sz="4" w:space="0"/>
                    <w:left w:val="single" w:color="000000" w:sz="4" w:space="0"/>
                    <w:right w:val="single" w:color="000000" w:sz="4" w:space="0"/>
                  </w:tcBorders>
                  <w:shd w:val="clear" w:color="auto" w:fill="auto"/>
                  <w:vAlign w:val="center"/>
                </w:tcPr>
                <w:p w14:paraId="52905DF9">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改性丙烷储罐区</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E26321">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液态</w:t>
                  </w:r>
                  <w:r>
                    <w:rPr>
                      <w:rFonts w:hint="default" w:ascii="Times New Roman" w:hAnsi="Times New Roman" w:cs="Times New Roman"/>
                      <w:i w:val="0"/>
                      <w:iCs w:val="0"/>
                      <w:color w:val="000000"/>
                      <w:kern w:val="0"/>
                      <w:sz w:val="21"/>
                      <w:szCs w:val="21"/>
                      <w:u w:val="none"/>
                      <w:lang w:val="en-US" w:eastAsia="zh-CN" w:bidi="ar"/>
                    </w:rPr>
                    <w:t>改性</w:t>
                  </w:r>
                  <w:r>
                    <w:rPr>
                      <w:rFonts w:hint="default" w:ascii="Times New Roman" w:hAnsi="Times New Roman" w:eastAsia="宋体" w:cs="Times New Roman"/>
                      <w:i w:val="0"/>
                      <w:iCs w:val="0"/>
                      <w:color w:val="000000"/>
                      <w:kern w:val="0"/>
                      <w:sz w:val="21"/>
                      <w:szCs w:val="21"/>
                      <w:u w:val="none"/>
                      <w:lang w:val="en-US" w:eastAsia="zh-CN" w:bidi="ar"/>
                    </w:rPr>
                    <w:t>丙烷储罐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850D7C2">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AF2C01">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C6E346D">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1404DD">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2</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7BA9C5B">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卧式/</w:t>
                  </w:r>
                  <w:r>
                    <w:rPr>
                      <w:rFonts w:hint="default" w:ascii="Times New Roman" w:hAnsi="Times New Roman" w:cs="Times New Roman"/>
                      <w:i w:val="0"/>
                      <w:iCs w:val="0"/>
                      <w:color w:val="000000"/>
                      <w:kern w:val="0"/>
                      <w:sz w:val="21"/>
                      <w:szCs w:val="21"/>
                      <w:u w:val="none"/>
                      <w:lang w:val="en-US" w:eastAsia="zh-CN" w:bidi="ar"/>
                    </w:rPr>
                    <w:t>地下</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97CA51">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1.77</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635EA2">
                  <w:pPr>
                    <w:jc w:val="center"/>
                    <w:rPr>
                      <w:rFonts w:hint="default" w:ascii="Times New Roman" w:hAnsi="Times New Roman" w:eastAsia="宋体" w:cs="Times New Roman"/>
                      <w:i w:val="0"/>
                      <w:iCs w:val="0"/>
                      <w:color w:val="000000"/>
                      <w:kern w:val="2"/>
                      <w:sz w:val="21"/>
                      <w:szCs w:val="21"/>
                      <w:u w:val="none"/>
                      <w:lang w:val="en-US" w:eastAsia="zh-CN" w:bidi="ar-SA"/>
                    </w:rPr>
                  </w:pPr>
                </w:p>
              </w:tc>
            </w:tr>
            <w:tr w14:paraId="59753B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EC61D5">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987" w:type="dxa"/>
                  <w:vMerge w:val="continue"/>
                  <w:tcBorders>
                    <w:left w:val="single" w:color="000000" w:sz="4" w:space="0"/>
                    <w:bottom w:val="single" w:color="000000" w:sz="4" w:space="0"/>
                    <w:right w:val="single" w:color="000000" w:sz="4" w:space="0"/>
                  </w:tcBorders>
                  <w:shd w:val="clear" w:color="auto" w:fill="auto"/>
                  <w:vAlign w:val="center"/>
                </w:tcPr>
                <w:p w14:paraId="59A6C419">
                  <w:pPr>
                    <w:keepNext w:val="0"/>
                    <w:keepLines w:val="0"/>
                    <w:widowControl/>
                    <w:suppressLineNumbers w:val="0"/>
                    <w:jc w:val="center"/>
                    <w:textAlignment w:val="top"/>
                    <w:rPr>
                      <w:rFonts w:hint="default" w:ascii="Times New Roman" w:hAnsi="Times New Roman" w:cs="Times New Roman"/>
                      <w:i w:val="0"/>
                      <w:iCs w:val="0"/>
                      <w:color w:val="000000"/>
                      <w:kern w:val="0"/>
                      <w:sz w:val="21"/>
                      <w:szCs w:val="21"/>
                      <w:u w:val="none"/>
                      <w:lang w:val="en-US" w:eastAsia="zh-CN" w:bidi="ar"/>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C379A">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丙烷备用罐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EC6CAA">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3FDE4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D29D95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AD19E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1</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FE61BC">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卧式/</w:t>
                  </w:r>
                  <w:r>
                    <w:rPr>
                      <w:rFonts w:hint="default" w:ascii="Times New Roman" w:hAnsi="Times New Roman" w:cs="Times New Roman"/>
                      <w:i w:val="0"/>
                      <w:iCs w:val="0"/>
                      <w:color w:val="000000"/>
                      <w:kern w:val="0"/>
                      <w:sz w:val="21"/>
                      <w:szCs w:val="21"/>
                      <w:u w:val="none"/>
                      <w:lang w:val="en-US" w:eastAsia="zh-CN" w:bidi="ar"/>
                    </w:rPr>
                    <w:t>地下</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B7523FF">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1.77</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D4D09F">
                  <w:pPr>
                    <w:jc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2"/>
                      <w:sz w:val="21"/>
                      <w:szCs w:val="21"/>
                      <w:u w:val="none"/>
                      <w:lang w:val="en-US" w:eastAsia="zh-CN" w:bidi="ar-SA"/>
                    </w:rPr>
                    <w:t>备用储罐</w:t>
                  </w:r>
                </w:p>
              </w:tc>
            </w:tr>
            <w:tr w14:paraId="2FAF53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8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FC6EF8">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987" w:type="dxa"/>
                  <w:vMerge w:val="restart"/>
                  <w:tcBorders>
                    <w:top w:val="single" w:color="000000" w:sz="4" w:space="0"/>
                    <w:left w:val="single" w:color="000000" w:sz="4" w:space="0"/>
                    <w:right w:val="single" w:color="000000" w:sz="4" w:space="0"/>
                  </w:tcBorders>
                  <w:shd w:val="clear" w:color="auto" w:fill="auto"/>
                  <w:vAlign w:val="center"/>
                </w:tcPr>
                <w:p w14:paraId="3A282A37">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民用LPG储罐区</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912421">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LPG储罐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7E3E25">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E223A74">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63F848">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51B3E3">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66291B">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卧式/</w:t>
                  </w:r>
                  <w:r>
                    <w:rPr>
                      <w:rFonts w:hint="default" w:ascii="Times New Roman" w:hAnsi="Times New Roman" w:cs="Times New Roman"/>
                      <w:i w:val="0"/>
                      <w:iCs w:val="0"/>
                      <w:color w:val="000000"/>
                      <w:kern w:val="0"/>
                      <w:sz w:val="21"/>
                      <w:szCs w:val="21"/>
                      <w:u w:val="none"/>
                      <w:lang w:val="en-US" w:eastAsia="zh-CN" w:bidi="ar"/>
                    </w:rPr>
                    <w:t>地下</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D70D259">
                  <w:pPr>
                    <w:keepNext w:val="0"/>
                    <w:keepLines w:val="0"/>
                    <w:widowControl/>
                    <w:suppressLineNumbers w:val="0"/>
                    <w:jc w:val="center"/>
                    <w:textAlignment w:val="top"/>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1.77</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AA2C486">
                  <w:pPr>
                    <w:jc w:val="center"/>
                    <w:rPr>
                      <w:rFonts w:hint="default" w:ascii="Times New Roman" w:hAnsi="Times New Roman" w:eastAsia="宋体" w:cs="Times New Roman"/>
                      <w:i w:val="0"/>
                      <w:iCs w:val="0"/>
                      <w:color w:val="000000"/>
                      <w:sz w:val="21"/>
                      <w:szCs w:val="21"/>
                      <w:u w:val="none"/>
                    </w:rPr>
                  </w:pPr>
                </w:p>
              </w:tc>
            </w:tr>
            <w:tr w14:paraId="68A8DD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1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925035">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987" w:type="dxa"/>
                  <w:vMerge w:val="continue"/>
                  <w:tcBorders>
                    <w:left w:val="single" w:color="000000" w:sz="4" w:space="0"/>
                    <w:bottom w:val="single" w:color="000000" w:sz="4" w:space="0"/>
                    <w:right w:val="single" w:color="000000" w:sz="4" w:space="0"/>
                  </w:tcBorders>
                  <w:shd w:val="clear" w:color="auto" w:fill="auto"/>
                  <w:noWrap/>
                  <w:vAlign w:val="center"/>
                </w:tcPr>
                <w:p w14:paraId="11331B4F">
                  <w:pPr>
                    <w:keepNext w:val="0"/>
                    <w:keepLines w:val="0"/>
                    <w:widowControl/>
                    <w:suppressLineNumbers w:val="0"/>
                    <w:jc w:val="center"/>
                    <w:textAlignment w:val="top"/>
                    <w:rPr>
                      <w:rFonts w:hint="eastAsia" w:cs="Times New Roman"/>
                      <w:i w:val="0"/>
                      <w:iCs w:val="0"/>
                      <w:color w:val="000000"/>
                      <w:kern w:val="2"/>
                      <w:sz w:val="21"/>
                      <w:szCs w:val="21"/>
                      <w:u w:val="none"/>
                      <w:lang w:val="en-US" w:eastAsia="zh-CN" w:bidi="ar-SA"/>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4027DC">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2"/>
                      <w:sz w:val="21"/>
                      <w:szCs w:val="21"/>
                      <w:u w:val="none"/>
                      <w:lang w:val="en-US" w:eastAsia="zh-CN" w:bidi="ar-SA"/>
                    </w:rPr>
                    <w:t>LPG备用储罐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94037">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3043A6">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FF3B70">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730A11">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2"/>
                      <w:sz w:val="21"/>
                      <w:szCs w:val="21"/>
                      <w:u w:val="none"/>
                      <w:lang w:val="en-US" w:eastAsia="zh-CN" w:bidi="ar-SA"/>
                    </w:rPr>
                    <w:t>1</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E72E33">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卧式/</w:t>
                  </w:r>
                  <w:r>
                    <w:rPr>
                      <w:rFonts w:hint="default" w:ascii="Times New Roman" w:hAnsi="Times New Roman" w:cs="Times New Roman"/>
                      <w:i w:val="0"/>
                      <w:iCs w:val="0"/>
                      <w:color w:val="000000"/>
                      <w:kern w:val="0"/>
                      <w:sz w:val="21"/>
                      <w:szCs w:val="21"/>
                      <w:u w:val="none"/>
                      <w:lang w:val="en-US" w:eastAsia="zh-CN" w:bidi="ar"/>
                    </w:rPr>
                    <w:t>地下</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4880B">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1.77</w:t>
                  </w:r>
                </w:p>
              </w:tc>
              <w:tc>
                <w:tcPr>
                  <w:tcW w:w="44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584C0C">
                  <w:pPr>
                    <w:jc w:val="center"/>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2"/>
                      <w:sz w:val="21"/>
                      <w:szCs w:val="21"/>
                      <w:u w:val="none"/>
                      <w:lang w:val="en-US" w:eastAsia="zh-CN" w:bidi="ar-SA"/>
                    </w:rPr>
                    <w:t>备用储罐</w:t>
                  </w:r>
                </w:p>
              </w:tc>
            </w:tr>
            <w:tr w14:paraId="6F0CBB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99F838">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987" w:type="dxa"/>
                  <w:vMerge w:val="restart"/>
                  <w:tcBorders>
                    <w:top w:val="single" w:color="000000" w:sz="4" w:space="0"/>
                    <w:left w:val="single" w:color="000000" w:sz="4" w:space="0"/>
                    <w:right w:val="single" w:color="000000" w:sz="4" w:space="0"/>
                  </w:tcBorders>
                  <w:shd w:val="clear" w:color="auto" w:fill="auto"/>
                  <w:vAlign w:val="center"/>
                </w:tcPr>
                <w:p w14:paraId="38CE30A0">
                  <w:pPr>
                    <w:keepNext w:val="0"/>
                    <w:keepLines w:val="0"/>
                    <w:widowControl/>
                    <w:suppressLineNumbers w:val="0"/>
                    <w:jc w:val="center"/>
                    <w:textAlignment w:val="top"/>
                    <w:rPr>
                      <w:rFonts w:hint="default" w:ascii="Times New Roman" w:hAnsi="Times New Roman" w:cs="Times New Roman"/>
                      <w:i w:val="0"/>
                      <w:iCs w:val="0"/>
                      <w:color w:val="000000"/>
                      <w:kern w:val="0"/>
                      <w:sz w:val="21"/>
                      <w:szCs w:val="21"/>
                      <w:u w:val="none"/>
                      <w:lang w:val="en-US" w:eastAsia="zh-CN" w:bidi="ar"/>
                    </w:rPr>
                  </w:pPr>
                  <w:r>
                    <w:rPr>
                      <w:rFonts w:hint="eastAsia" w:cs="Times New Roman"/>
                      <w:i w:val="0"/>
                      <w:iCs w:val="0"/>
                      <w:color w:val="000000"/>
                      <w:kern w:val="0"/>
                      <w:sz w:val="21"/>
                      <w:szCs w:val="21"/>
                      <w:u w:val="none"/>
                      <w:lang w:val="en-US" w:eastAsia="zh-CN" w:bidi="ar"/>
                    </w:rPr>
                    <w:t>其他工业气体及医用氧气储罐区</w:t>
                  </w: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46842E">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工业</w:t>
                  </w:r>
                  <w:r>
                    <w:rPr>
                      <w:rFonts w:hint="default" w:ascii="Times New Roman" w:hAnsi="Times New Roman" w:eastAsia="宋体" w:cs="Times New Roman"/>
                      <w:i w:val="0"/>
                      <w:iCs w:val="0"/>
                      <w:color w:val="000000"/>
                      <w:kern w:val="0"/>
                      <w:sz w:val="21"/>
                      <w:szCs w:val="21"/>
                      <w:u w:val="none"/>
                      <w:lang w:val="en-US" w:eastAsia="zh-CN" w:bidi="ar"/>
                    </w:rPr>
                    <w:t>液氧储罐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CAE0DB">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93ECEDC">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F32CB2">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6D518A6">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D3707C">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立式</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63721A">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0.84</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82FD2C">
                  <w:pPr>
                    <w:jc w:val="center"/>
                    <w:rPr>
                      <w:rFonts w:hint="default" w:ascii="Times New Roman" w:hAnsi="Times New Roman" w:eastAsia="宋体" w:cs="Times New Roman"/>
                      <w:i w:val="0"/>
                      <w:iCs w:val="0"/>
                      <w:color w:val="000000"/>
                      <w:kern w:val="2"/>
                      <w:sz w:val="21"/>
                      <w:szCs w:val="21"/>
                      <w:u w:val="none"/>
                      <w:lang w:val="en-US" w:eastAsia="zh-CN" w:bidi="ar-SA"/>
                    </w:rPr>
                  </w:pPr>
                </w:p>
              </w:tc>
            </w:tr>
            <w:tr w14:paraId="2EE6BC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FF27D5">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987" w:type="dxa"/>
                  <w:vMerge w:val="continue"/>
                  <w:tcBorders>
                    <w:left w:val="single" w:color="000000" w:sz="4" w:space="0"/>
                    <w:right w:val="single" w:color="000000" w:sz="4" w:space="0"/>
                  </w:tcBorders>
                  <w:shd w:val="clear" w:color="auto" w:fill="auto"/>
                  <w:vAlign w:val="center"/>
                </w:tcPr>
                <w:p w14:paraId="21148855">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93586">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液氮储罐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40C853">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A744C6">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BA97C4">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EF7DC2D">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4D62DD7">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立式</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12D64">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0.84</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A1A599">
                  <w:pPr>
                    <w:jc w:val="center"/>
                    <w:rPr>
                      <w:rFonts w:hint="default" w:ascii="Times New Roman" w:hAnsi="Times New Roman" w:eastAsia="宋体" w:cs="Times New Roman"/>
                      <w:i w:val="0"/>
                      <w:iCs w:val="0"/>
                      <w:color w:val="000000"/>
                      <w:kern w:val="2"/>
                      <w:sz w:val="21"/>
                      <w:szCs w:val="21"/>
                      <w:u w:val="none"/>
                      <w:lang w:val="en-US" w:eastAsia="zh-CN" w:bidi="ar-SA"/>
                    </w:rPr>
                  </w:pPr>
                </w:p>
              </w:tc>
            </w:tr>
            <w:tr w14:paraId="293FA4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A70FA7">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987" w:type="dxa"/>
                  <w:vMerge w:val="continue"/>
                  <w:tcBorders>
                    <w:left w:val="single" w:color="000000" w:sz="4" w:space="0"/>
                    <w:right w:val="single" w:color="000000" w:sz="4" w:space="0"/>
                  </w:tcBorders>
                  <w:shd w:val="clear" w:color="auto" w:fill="auto"/>
                  <w:vAlign w:val="center"/>
                </w:tcPr>
                <w:p w14:paraId="25B805F1">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B682FA">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液氩储罐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6F5BF03">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D2BD37">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08AEBD3">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7B6014">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318B8CB">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立式</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6E0F0EF">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0.84</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0804C1">
                  <w:pPr>
                    <w:jc w:val="center"/>
                    <w:rPr>
                      <w:rFonts w:hint="default" w:ascii="Times New Roman" w:hAnsi="Times New Roman" w:eastAsia="宋体" w:cs="Times New Roman"/>
                      <w:i w:val="0"/>
                      <w:iCs w:val="0"/>
                      <w:color w:val="000000"/>
                      <w:kern w:val="2"/>
                      <w:sz w:val="22"/>
                      <w:szCs w:val="22"/>
                      <w:u w:val="none"/>
                      <w:lang w:val="en-US" w:eastAsia="zh-CN" w:bidi="ar-SA"/>
                    </w:rPr>
                  </w:pPr>
                </w:p>
              </w:tc>
            </w:tr>
            <w:tr w14:paraId="4588F6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25"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EC34D9">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sz w:val="21"/>
                      <w:szCs w:val="21"/>
                      <w:u w:val="none"/>
                      <w:lang w:val="en-US" w:eastAsia="zh-CN"/>
                    </w:rPr>
                    <w:t>8</w:t>
                  </w:r>
                </w:p>
              </w:tc>
              <w:tc>
                <w:tcPr>
                  <w:tcW w:w="987" w:type="dxa"/>
                  <w:vMerge w:val="continue"/>
                  <w:tcBorders>
                    <w:left w:val="single" w:color="000000" w:sz="4" w:space="0"/>
                    <w:right w:val="single" w:color="000000" w:sz="4" w:space="0"/>
                  </w:tcBorders>
                  <w:shd w:val="clear" w:color="auto" w:fill="auto"/>
                  <w:vAlign w:val="center"/>
                </w:tcPr>
                <w:p w14:paraId="76285C5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70890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液态二氧化碳储罐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CE3422">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C7E22">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2B27EA7">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A39252">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F37209F">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立式</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CF23758">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2.2</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6EDF2D">
                  <w:pPr>
                    <w:jc w:val="center"/>
                    <w:rPr>
                      <w:rFonts w:hint="default" w:ascii="Times New Roman" w:hAnsi="Times New Roman" w:eastAsia="宋体" w:cs="Times New Roman"/>
                      <w:i w:val="0"/>
                      <w:iCs w:val="0"/>
                      <w:color w:val="000000"/>
                      <w:kern w:val="2"/>
                      <w:sz w:val="22"/>
                      <w:szCs w:val="22"/>
                      <w:u w:val="none"/>
                      <w:lang w:val="en-US" w:eastAsia="zh-CN" w:bidi="ar-SA"/>
                    </w:rPr>
                  </w:pPr>
                </w:p>
              </w:tc>
            </w:tr>
            <w:tr w14:paraId="0A8A09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90" w:hRule="atLeast"/>
              </w:trPr>
              <w:tc>
                <w:tcPr>
                  <w:tcW w:w="37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F2BCF1B">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eastAsia" w:cs="Times New Roman"/>
                      <w:i w:val="0"/>
                      <w:iCs w:val="0"/>
                      <w:color w:val="000000"/>
                      <w:kern w:val="2"/>
                      <w:sz w:val="21"/>
                      <w:szCs w:val="21"/>
                      <w:u w:val="none"/>
                      <w:lang w:val="en-US" w:eastAsia="zh-CN" w:bidi="ar-SA"/>
                    </w:rPr>
                    <w:t>9</w:t>
                  </w:r>
                </w:p>
              </w:tc>
              <w:tc>
                <w:tcPr>
                  <w:tcW w:w="987" w:type="dxa"/>
                  <w:vMerge w:val="continue"/>
                  <w:tcBorders>
                    <w:left w:val="single" w:color="000000" w:sz="4" w:space="0"/>
                    <w:bottom w:val="single" w:color="000000" w:sz="4" w:space="0"/>
                    <w:right w:val="single" w:color="000000" w:sz="4" w:space="0"/>
                  </w:tcBorders>
                  <w:shd w:val="clear" w:color="auto" w:fill="auto"/>
                  <w:vAlign w:val="center"/>
                </w:tcPr>
                <w:p w14:paraId="115A65EB">
                  <w:pPr>
                    <w:keepNext w:val="0"/>
                    <w:keepLines w:val="0"/>
                    <w:widowControl/>
                    <w:suppressLineNumbers w:val="0"/>
                    <w:jc w:val="center"/>
                    <w:textAlignment w:val="top"/>
                    <w:rPr>
                      <w:rFonts w:hint="default" w:ascii="Times New Roman" w:hAnsi="Times New Roman" w:cs="Times New Roman"/>
                      <w:i w:val="0"/>
                      <w:iCs w:val="0"/>
                      <w:color w:val="000000"/>
                      <w:kern w:val="0"/>
                      <w:sz w:val="21"/>
                      <w:szCs w:val="21"/>
                      <w:u w:val="none"/>
                      <w:lang w:val="en-US" w:eastAsia="zh-CN" w:bidi="ar"/>
                    </w:rPr>
                  </w:pPr>
                </w:p>
              </w:tc>
              <w:tc>
                <w:tcPr>
                  <w:tcW w:w="98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4EDC02">
                  <w:pPr>
                    <w:keepNext w:val="0"/>
                    <w:keepLines w:val="0"/>
                    <w:widowControl/>
                    <w:suppressLineNumbers w:val="0"/>
                    <w:jc w:val="center"/>
                    <w:textAlignment w:val="top"/>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cs="Times New Roman"/>
                      <w:i w:val="0"/>
                      <w:iCs w:val="0"/>
                      <w:color w:val="000000"/>
                      <w:kern w:val="0"/>
                      <w:sz w:val="21"/>
                      <w:szCs w:val="21"/>
                      <w:u w:val="none"/>
                      <w:lang w:val="en-US" w:eastAsia="zh-CN" w:bidi="ar"/>
                    </w:rPr>
                    <w:t>医用液氧储罐</w:t>
                  </w:r>
                </w:p>
              </w:tc>
              <w:tc>
                <w:tcPr>
                  <w:tcW w:w="7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B8C3CC2">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76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1D2E63">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80</w:t>
                  </w:r>
                </w:p>
              </w:tc>
              <w:tc>
                <w:tcPr>
                  <w:tcW w:w="7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717364">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40</w:t>
                  </w:r>
                </w:p>
              </w:tc>
              <w:tc>
                <w:tcPr>
                  <w:tcW w:w="69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C028A2">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272"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50FFDF">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立式</w:t>
                  </w:r>
                </w:p>
              </w:tc>
              <w:tc>
                <w:tcPr>
                  <w:tcW w:w="9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F436B0">
                  <w:pPr>
                    <w:keepNext w:val="0"/>
                    <w:keepLines w:val="0"/>
                    <w:widowControl/>
                    <w:suppressLineNumbers w:val="0"/>
                    <w:jc w:val="center"/>
                    <w:textAlignment w:val="top"/>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cs="Times New Roman"/>
                      <w:i w:val="0"/>
                      <w:iCs w:val="0"/>
                      <w:color w:val="000000"/>
                      <w:kern w:val="0"/>
                      <w:sz w:val="21"/>
                      <w:szCs w:val="21"/>
                      <w:u w:val="none"/>
                      <w:lang w:val="en-US" w:eastAsia="zh-CN" w:bidi="ar"/>
                    </w:rPr>
                    <w:t>0.84</w:t>
                  </w:r>
                </w:p>
              </w:tc>
              <w:tc>
                <w:tcPr>
                  <w:tcW w:w="44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FBB5B4">
                  <w:pPr>
                    <w:jc w:val="center"/>
                    <w:rPr>
                      <w:rFonts w:hint="default" w:ascii="Times New Roman" w:hAnsi="Times New Roman" w:eastAsia="宋体" w:cs="Times New Roman"/>
                      <w:i w:val="0"/>
                      <w:iCs w:val="0"/>
                      <w:color w:val="000000"/>
                      <w:kern w:val="2"/>
                      <w:sz w:val="21"/>
                      <w:szCs w:val="21"/>
                      <w:u w:val="none"/>
                      <w:lang w:val="en-US" w:eastAsia="zh-CN" w:bidi="ar-SA"/>
                    </w:rPr>
                  </w:pPr>
                </w:p>
              </w:tc>
            </w:tr>
          </w:tbl>
          <w:p w14:paraId="5BE1052B">
            <w:pPr>
              <w:keepNext w:val="0"/>
              <w:keepLines w:val="0"/>
              <w:pageBreakBefore w:val="0"/>
              <w:widowControl/>
              <w:suppressLineNumbers w:val="0"/>
              <w:kinsoku/>
              <w:wordWrap/>
              <w:overflowPunct/>
              <w:topLinePunct w:val="0"/>
              <w:autoSpaceDE/>
              <w:autoSpaceDN/>
              <w:bidi w:val="0"/>
              <w:adjustRightInd/>
              <w:snapToGrid/>
              <w:spacing w:before="313" w:beforeLines="100" w:line="360" w:lineRule="auto"/>
              <w:ind w:right="0" w:firstLine="480" w:firstLineChars="200"/>
              <w:jc w:val="left"/>
              <w:textAlignment w:val="auto"/>
              <w:rPr>
                <w:rFonts w:hint="default" w:ascii="Times New Roman" w:hAnsi="Times New Roman" w:eastAsia="宋体" w:cs="Times New Roman"/>
                <w:b w:val="0"/>
                <w:bCs w:val="0"/>
                <w:color w:val="0000FF"/>
                <w:sz w:val="24"/>
                <w:szCs w:val="24"/>
                <w:highlight w:val="none"/>
                <w:lang w:val="en-US" w:eastAsia="zh-CN"/>
              </w:rPr>
            </w:pPr>
            <w:r>
              <w:rPr>
                <w:rFonts w:hint="eastAsia" w:ascii="Times New Roman" w:hAnsi="Times New Roman" w:eastAsia="宋体" w:cs="Times New Roman"/>
                <w:b w:val="0"/>
                <w:bCs w:val="0"/>
                <w:color w:val="0000FF"/>
                <w:sz w:val="24"/>
                <w:szCs w:val="24"/>
                <w:highlight w:val="none"/>
                <w:lang w:val="en-US" w:eastAsia="zh-CN"/>
              </w:rPr>
              <w:t>本项目与周边环境及建筑间距</w:t>
            </w:r>
            <w:r>
              <w:rPr>
                <w:rFonts w:hint="default" w:ascii="Times New Roman" w:hAnsi="Times New Roman" w:eastAsia="宋体" w:cs="Times New Roman"/>
                <w:b w:val="0"/>
                <w:bCs w:val="0"/>
                <w:color w:val="0000FF"/>
                <w:sz w:val="24"/>
                <w:szCs w:val="24"/>
                <w:highlight w:val="none"/>
                <w:lang w:val="en-US" w:eastAsia="zh-CN"/>
              </w:rPr>
              <w:t>设计参数见下表：</w:t>
            </w:r>
          </w:p>
          <w:p w14:paraId="5DF8B5F7">
            <w:pPr>
              <w:keepNext w:val="0"/>
              <w:keepLines w:val="0"/>
              <w:pageBreakBefore w:val="0"/>
              <w:widowControl/>
              <w:suppressLineNumbers w:val="0"/>
              <w:kinsoku/>
              <w:wordWrap/>
              <w:overflowPunct/>
              <w:topLinePunct w:val="0"/>
              <w:autoSpaceDE/>
              <w:autoSpaceDN/>
              <w:bidi w:val="0"/>
              <w:adjustRightInd/>
              <w:snapToGrid/>
              <w:spacing w:line="360" w:lineRule="auto"/>
              <w:ind w:right="0" w:firstLine="422" w:firstLineChars="200"/>
              <w:jc w:val="center"/>
              <w:textAlignment w:val="auto"/>
              <w:rPr>
                <w:rFonts w:hint="eastAsia" w:ascii="Times New Roman" w:hAnsi="Times New Roman" w:eastAsia="宋体" w:cs="Times New Roman"/>
                <w:b/>
                <w:bCs/>
                <w:color w:val="0000FF"/>
                <w:sz w:val="21"/>
                <w:szCs w:val="21"/>
                <w:highlight w:val="none"/>
                <w:lang w:val="en-US" w:eastAsia="zh-CN"/>
              </w:rPr>
            </w:pPr>
            <w:r>
              <w:rPr>
                <w:rFonts w:hint="eastAsia" w:ascii="Times New Roman" w:hAnsi="Times New Roman" w:eastAsia="宋体" w:cs="Times New Roman"/>
                <w:b/>
                <w:bCs/>
                <w:color w:val="0000FF"/>
                <w:sz w:val="21"/>
                <w:szCs w:val="21"/>
                <w:highlight w:val="none"/>
                <w:lang w:val="en-US" w:eastAsia="zh-CN"/>
              </w:rPr>
              <w:t>表 2.3-3   本项目建筑物与周边（外部）环境间距一览表</w:t>
            </w:r>
          </w:p>
          <w:p w14:paraId="6718C5EF">
            <w:pPr>
              <w:spacing w:line="93" w:lineRule="exact"/>
              <w:rPr>
                <w:color w:val="0000FF"/>
              </w:rPr>
            </w:pPr>
          </w:p>
          <w:tbl>
            <w:tblPr>
              <w:tblStyle w:val="84"/>
              <w:tblW w:w="498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92"/>
              <w:gridCol w:w="587"/>
              <w:gridCol w:w="1725"/>
              <w:gridCol w:w="934"/>
              <w:gridCol w:w="809"/>
              <w:gridCol w:w="2044"/>
              <w:gridCol w:w="682"/>
            </w:tblGrid>
            <w:tr w14:paraId="7E4A3F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7" w:hRule="atLeast"/>
              </w:trPr>
              <w:tc>
                <w:tcPr>
                  <w:tcW w:w="747" w:type="pct"/>
                  <w:tcBorders>
                    <w:top w:val="single" w:color="000000" w:sz="10" w:space="0"/>
                    <w:left w:val="single" w:color="000000" w:sz="10" w:space="0"/>
                  </w:tcBorders>
                  <w:vAlign w:val="center"/>
                </w:tcPr>
                <w:p w14:paraId="51257FD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建筑名称</w:t>
                  </w:r>
                </w:p>
              </w:tc>
              <w:tc>
                <w:tcPr>
                  <w:tcW w:w="368" w:type="pct"/>
                  <w:tcBorders>
                    <w:top w:val="single" w:color="000000" w:sz="10" w:space="0"/>
                  </w:tcBorders>
                  <w:vAlign w:val="center"/>
                </w:tcPr>
                <w:p w14:paraId="5A99C78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方位</w:t>
                  </w:r>
                </w:p>
              </w:tc>
              <w:tc>
                <w:tcPr>
                  <w:tcW w:w="1081" w:type="pct"/>
                  <w:tcBorders>
                    <w:top w:val="single" w:color="000000" w:sz="10" w:space="0"/>
                  </w:tcBorders>
                  <w:vAlign w:val="center"/>
                </w:tcPr>
                <w:p w14:paraId="654EBA7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厂外建构筑物、道路、设施名称</w:t>
                  </w:r>
                </w:p>
              </w:tc>
              <w:tc>
                <w:tcPr>
                  <w:tcW w:w="585" w:type="pct"/>
                  <w:tcBorders>
                    <w:top w:val="single" w:color="000000" w:sz="10" w:space="0"/>
                  </w:tcBorders>
                  <w:vAlign w:val="center"/>
                </w:tcPr>
                <w:p w14:paraId="0220098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规范距</w:t>
                  </w:r>
                </w:p>
                <w:p w14:paraId="3C22A1B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离/m</w:t>
                  </w:r>
                </w:p>
              </w:tc>
              <w:tc>
                <w:tcPr>
                  <w:tcW w:w="507" w:type="pct"/>
                  <w:tcBorders>
                    <w:top w:val="single" w:color="000000" w:sz="10" w:space="0"/>
                  </w:tcBorders>
                  <w:vAlign w:val="center"/>
                </w:tcPr>
                <w:p w14:paraId="4993F3D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设计距离/m</w:t>
                  </w:r>
                </w:p>
              </w:tc>
              <w:tc>
                <w:tcPr>
                  <w:tcW w:w="1281" w:type="pct"/>
                  <w:tcBorders>
                    <w:top w:val="single" w:color="000000" w:sz="10" w:space="0"/>
                  </w:tcBorders>
                  <w:vAlign w:val="center"/>
                </w:tcPr>
                <w:p w14:paraId="6DCCBB4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依据标准</w:t>
                  </w:r>
                </w:p>
              </w:tc>
              <w:tc>
                <w:tcPr>
                  <w:tcW w:w="427" w:type="pct"/>
                  <w:tcBorders>
                    <w:top w:val="single" w:color="000000" w:sz="10" w:space="0"/>
                    <w:right w:val="single" w:color="000000" w:sz="10" w:space="0"/>
                  </w:tcBorders>
                  <w:vAlign w:val="center"/>
                </w:tcPr>
                <w:p w14:paraId="291B491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符合性</w:t>
                  </w:r>
                </w:p>
              </w:tc>
            </w:tr>
            <w:tr w14:paraId="1840E55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39" w:hRule="atLeast"/>
              </w:trPr>
              <w:tc>
                <w:tcPr>
                  <w:tcW w:w="747" w:type="pct"/>
                  <w:vMerge w:val="restart"/>
                  <w:tcBorders>
                    <w:left w:val="single" w:color="000000" w:sz="10" w:space="0"/>
                  </w:tcBorders>
                  <w:vAlign w:val="center"/>
                </w:tcPr>
                <w:p w14:paraId="2C2D2A6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LPG埋地罐区（ 甲类， V= 150m³)</w:t>
                  </w:r>
                </w:p>
              </w:tc>
              <w:tc>
                <w:tcPr>
                  <w:tcW w:w="368" w:type="pct"/>
                  <w:vAlign w:val="center"/>
                </w:tcPr>
                <w:p w14:paraId="55C119F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1081" w:type="pct"/>
                  <w:vAlign w:val="center"/>
                </w:tcPr>
                <w:p w14:paraId="0CCC194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正望新材料（包头）</w:t>
                  </w:r>
                </w:p>
                <w:p w14:paraId="75D90E7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有限公司</w:t>
                  </w:r>
                </w:p>
                <w:p w14:paraId="03F0D33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钢结构厂房</w:t>
                  </w:r>
                </w:p>
                <w:p w14:paraId="7748B93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85" w:type="pct"/>
                  <w:vAlign w:val="center"/>
                </w:tcPr>
                <w:p w14:paraId="421AC02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vAlign w:val="center"/>
                </w:tcPr>
                <w:p w14:paraId="612476E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139.33</w:t>
                  </w:r>
                </w:p>
              </w:tc>
              <w:tc>
                <w:tcPr>
                  <w:tcW w:w="1281" w:type="pct"/>
                  <w:vAlign w:val="center"/>
                </w:tcPr>
                <w:p w14:paraId="20A62BB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770F161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3ECFCF7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5.2.8 条 注 3</w:t>
                  </w:r>
                </w:p>
              </w:tc>
              <w:tc>
                <w:tcPr>
                  <w:tcW w:w="427" w:type="pct"/>
                  <w:tcBorders>
                    <w:right w:val="single" w:color="000000" w:sz="10" w:space="0"/>
                  </w:tcBorders>
                  <w:vAlign w:val="center"/>
                </w:tcPr>
                <w:p w14:paraId="039E4130">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C1D641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1" w:hRule="atLeast"/>
              </w:trPr>
              <w:tc>
                <w:tcPr>
                  <w:tcW w:w="747" w:type="pct"/>
                  <w:vMerge w:val="continue"/>
                  <w:tcBorders>
                    <w:left w:val="single" w:color="000000" w:sz="10" w:space="0"/>
                  </w:tcBorders>
                  <w:vAlign w:val="center"/>
                </w:tcPr>
                <w:p w14:paraId="21DAED2D">
                  <w:pPr>
                    <w:pStyle w:val="40"/>
                    <w:bidi w:val="0"/>
                    <w:jc w:val="center"/>
                    <w:rPr>
                      <w:rFonts w:hint="default" w:ascii="Times New Roman" w:hAnsi="Times New Roman" w:cs="Times New Roman"/>
                      <w:color w:val="0000FF"/>
                      <w:sz w:val="21"/>
                      <w:szCs w:val="21"/>
                    </w:rPr>
                  </w:pPr>
                </w:p>
              </w:tc>
              <w:tc>
                <w:tcPr>
                  <w:tcW w:w="368" w:type="pct"/>
                  <w:vAlign w:val="center"/>
                </w:tcPr>
                <w:p w14:paraId="71198DB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1081" w:type="pct"/>
                  <w:vAlign w:val="center"/>
                </w:tcPr>
                <w:p w14:paraId="2A41024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规划支路</w:t>
                  </w:r>
                </w:p>
              </w:tc>
              <w:tc>
                <w:tcPr>
                  <w:tcW w:w="585" w:type="pct"/>
                  <w:vAlign w:val="center"/>
                </w:tcPr>
                <w:p w14:paraId="13C6350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vAlign w:val="center"/>
                </w:tcPr>
                <w:p w14:paraId="4B498D2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103.68</w:t>
                  </w:r>
                </w:p>
              </w:tc>
              <w:tc>
                <w:tcPr>
                  <w:tcW w:w="1281" w:type="pct"/>
                  <w:vAlign w:val="center"/>
                </w:tcPr>
                <w:p w14:paraId="2B7D25A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4A0DB05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39927CF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5.2.8 条 注 3</w:t>
                  </w:r>
                </w:p>
              </w:tc>
              <w:tc>
                <w:tcPr>
                  <w:tcW w:w="427" w:type="pct"/>
                  <w:tcBorders>
                    <w:right w:val="single" w:color="000000" w:sz="10" w:space="0"/>
                  </w:tcBorders>
                  <w:vAlign w:val="center"/>
                </w:tcPr>
                <w:p w14:paraId="01F1ADE2">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FE7C2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2" w:hRule="atLeast"/>
              </w:trPr>
              <w:tc>
                <w:tcPr>
                  <w:tcW w:w="747" w:type="pct"/>
                  <w:vMerge w:val="continue"/>
                  <w:tcBorders>
                    <w:left w:val="single" w:color="000000" w:sz="10" w:space="0"/>
                  </w:tcBorders>
                  <w:vAlign w:val="center"/>
                </w:tcPr>
                <w:p w14:paraId="410200D3">
                  <w:pPr>
                    <w:pStyle w:val="40"/>
                    <w:bidi w:val="0"/>
                    <w:jc w:val="center"/>
                    <w:rPr>
                      <w:rFonts w:hint="default" w:ascii="Times New Roman" w:hAnsi="Times New Roman" w:cs="Times New Roman"/>
                      <w:color w:val="0000FF"/>
                      <w:sz w:val="21"/>
                      <w:szCs w:val="21"/>
                    </w:rPr>
                  </w:pPr>
                </w:p>
              </w:tc>
              <w:tc>
                <w:tcPr>
                  <w:tcW w:w="368" w:type="pct"/>
                  <w:vMerge w:val="restart"/>
                  <w:tcBorders>
                    <w:bottom w:val="nil"/>
                  </w:tcBorders>
                  <w:vAlign w:val="center"/>
                </w:tcPr>
                <w:p w14:paraId="4F9EB2A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1081" w:type="pct"/>
                  <w:vAlign w:val="center"/>
                </w:tcPr>
                <w:p w14:paraId="21CA588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6501A11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w:t>
                  </w:r>
                </w:p>
                <w:p w14:paraId="3330D79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85" w:type="pct"/>
                  <w:vAlign w:val="center"/>
                </w:tcPr>
                <w:p w14:paraId="23CAC7C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vAlign w:val="center"/>
                </w:tcPr>
                <w:p w14:paraId="1CD0851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40.47</w:t>
                  </w:r>
                </w:p>
              </w:tc>
              <w:tc>
                <w:tcPr>
                  <w:tcW w:w="1281" w:type="pct"/>
                  <w:vAlign w:val="center"/>
                </w:tcPr>
                <w:p w14:paraId="531BF47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507F15B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22C0070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5.2.8 条 注 3</w:t>
                  </w:r>
                </w:p>
              </w:tc>
              <w:tc>
                <w:tcPr>
                  <w:tcW w:w="427" w:type="pct"/>
                  <w:tcBorders>
                    <w:right w:val="single" w:color="000000" w:sz="10" w:space="0"/>
                  </w:tcBorders>
                  <w:vAlign w:val="center"/>
                </w:tcPr>
                <w:p w14:paraId="55A3F520">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6BA456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13" w:hRule="atLeast"/>
              </w:trPr>
              <w:tc>
                <w:tcPr>
                  <w:tcW w:w="747" w:type="pct"/>
                  <w:vMerge w:val="continue"/>
                  <w:tcBorders>
                    <w:left w:val="single" w:color="000000" w:sz="10" w:space="0"/>
                  </w:tcBorders>
                  <w:vAlign w:val="center"/>
                </w:tcPr>
                <w:p w14:paraId="5EE8A573">
                  <w:pPr>
                    <w:pStyle w:val="40"/>
                    <w:bidi w:val="0"/>
                    <w:jc w:val="center"/>
                    <w:rPr>
                      <w:rFonts w:hint="default" w:ascii="Times New Roman" w:hAnsi="Times New Roman" w:cs="Times New Roman"/>
                      <w:color w:val="0000FF"/>
                      <w:sz w:val="21"/>
                      <w:szCs w:val="21"/>
                    </w:rPr>
                  </w:pPr>
                </w:p>
              </w:tc>
              <w:tc>
                <w:tcPr>
                  <w:tcW w:w="368" w:type="pct"/>
                  <w:vMerge w:val="continue"/>
                  <w:tcBorders>
                    <w:top w:val="nil"/>
                    <w:bottom w:val="single" w:color="000000" w:sz="10" w:space="0"/>
                  </w:tcBorders>
                  <w:vAlign w:val="center"/>
                </w:tcPr>
                <w:p w14:paraId="04D8872C">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vAlign w:val="center"/>
                </w:tcPr>
                <w:p w14:paraId="176F947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7FE6DB3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检测车间</w:t>
                  </w:r>
                </w:p>
                <w:p w14:paraId="57A508D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（丁类、二级）</w:t>
                  </w:r>
                </w:p>
              </w:tc>
              <w:tc>
                <w:tcPr>
                  <w:tcW w:w="585" w:type="pct"/>
                  <w:tcBorders>
                    <w:bottom w:val="single" w:color="000000" w:sz="10" w:space="0"/>
                  </w:tcBorders>
                  <w:vAlign w:val="center"/>
                </w:tcPr>
                <w:p w14:paraId="730AD9F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17.5</w:t>
                  </w:r>
                </w:p>
              </w:tc>
              <w:tc>
                <w:tcPr>
                  <w:tcW w:w="507" w:type="pct"/>
                  <w:tcBorders>
                    <w:bottom w:val="single" w:color="000000" w:sz="10" w:space="0"/>
                  </w:tcBorders>
                  <w:vAlign w:val="center"/>
                </w:tcPr>
                <w:p w14:paraId="3FD5067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30.20</w:t>
                  </w:r>
                </w:p>
              </w:tc>
              <w:tc>
                <w:tcPr>
                  <w:tcW w:w="1281" w:type="pct"/>
                  <w:tcBorders>
                    <w:bottom w:val="single" w:color="000000" w:sz="10" w:space="0"/>
                  </w:tcBorders>
                  <w:vAlign w:val="center"/>
                </w:tcPr>
                <w:p w14:paraId="62E20AC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2F9B03B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763BC83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5.2.8 条 注 3</w:t>
                  </w:r>
                </w:p>
              </w:tc>
              <w:tc>
                <w:tcPr>
                  <w:tcW w:w="427" w:type="pct"/>
                  <w:tcBorders>
                    <w:bottom w:val="single" w:color="000000" w:sz="10" w:space="0"/>
                    <w:right w:val="single" w:color="000000" w:sz="10" w:space="0"/>
                  </w:tcBorders>
                  <w:vAlign w:val="center"/>
                </w:tcPr>
                <w:p w14:paraId="6EF9C638">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A97FC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5" w:hRule="atLeast"/>
              </w:trPr>
              <w:tc>
                <w:tcPr>
                  <w:tcW w:w="747" w:type="pct"/>
                  <w:vMerge w:val="continue"/>
                  <w:tcBorders>
                    <w:left w:val="single" w:color="000000" w:sz="10" w:space="0"/>
                  </w:tcBorders>
                  <w:vAlign w:val="center"/>
                </w:tcPr>
                <w:p w14:paraId="41A7606E">
                  <w:pPr>
                    <w:pStyle w:val="40"/>
                    <w:bidi w:val="0"/>
                    <w:jc w:val="center"/>
                    <w:rPr>
                      <w:rFonts w:hint="default" w:ascii="Times New Roman" w:hAnsi="Times New Roman" w:cs="Times New Roman"/>
                      <w:color w:val="0000FF"/>
                      <w:sz w:val="21"/>
                      <w:szCs w:val="21"/>
                    </w:rPr>
                  </w:pPr>
                </w:p>
              </w:tc>
              <w:tc>
                <w:tcPr>
                  <w:tcW w:w="368" w:type="pct"/>
                  <w:vMerge w:val="restart"/>
                  <w:tcBorders>
                    <w:bottom w:val="nil"/>
                  </w:tcBorders>
                  <w:vAlign w:val="center"/>
                </w:tcPr>
                <w:p w14:paraId="782015B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1081" w:type="pct"/>
                  <w:vAlign w:val="center"/>
                </w:tcPr>
                <w:p w14:paraId="2A5FE69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泽原路（园区路）</w:t>
                  </w:r>
                </w:p>
              </w:tc>
              <w:tc>
                <w:tcPr>
                  <w:tcW w:w="585" w:type="pct"/>
                  <w:vAlign w:val="center"/>
                </w:tcPr>
                <w:p w14:paraId="2A92A69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vAlign w:val="center"/>
                </w:tcPr>
                <w:p w14:paraId="3774BAE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208</w:t>
                  </w:r>
                </w:p>
              </w:tc>
              <w:tc>
                <w:tcPr>
                  <w:tcW w:w="1281" w:type="pct"/>
                  <w:vAlign w:val="center"/>
                </w:tcPr>
                <w:p w14:paraId="14A85F6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3A28E6B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65CD9AB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5.2.8 条 注 3</w:t>
                  </w:r>
                </w:p>
              </w:tc>
              <w:tc>
                <w:tcPr>
                  <w:tcW w:w="427" w:type="pct"/>
                  <w:tcBorders>
                    <w:right w:val="single" w:color="000000" w:sz="10" w:space="0"/>
                  </w:tcBorders>
                  <w:vAlign w:val="center"/>
                </w:tcPr>
                <w:p w14:paraId="4281A6DF">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DAD22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5" w:hRule="atLeast"/>
              </w:trPr>
              <w:tc>
                <w:tcPr>
                  <w:tcW w:w="747" w:type="pct"/>
                  <w:vMerge w:val="continue"/>
                  <w:tcBorders>
                    <w:left w:val="single" w:color="000000" w:sz="10" w:space="0"/>
                  </w:tcBorders>
                  <w:vAlign w:val="center"/>
                </w:tcPr>
                <w:p w14:paraId="37D308E3">
                  <w:pPr>
                    <w:pStyle w:val="40"/>
                    <w:bidi w:val="0"/>
                    <w:jc w:val="center"/>
                    <w:rPr>
                      <w:rFonts w:hint="default" w:ascii="Times New Roman" w:hAnsi="Times New Roman" w:cs="Times New Roman"/>
                      <w:color w:val="0000FF"/>
                      <w:sz w:val="21"/>
                      <w:szCs w:val="21"/>
                    </w:rPr>
                  </w:pPr>
                </w:p>
              </w:tc>
              <w:tc>
                <w:tcPr>
                  <w:tcW w:w="368" w:type="pct"/>
                  <w:vMerge w:val="continue"/>
                  <w:tcBorders>
                    <w:top w:val="nil"/>
                    <w:bottom w:val="nil"/>
                  </w:tcBorders>
                  <w:vAlign w:val="center"/>
                </w:tcPr>
                <w:p w14:paraId="051936FE">
                  <w:pPr>
                    <w:pStyle w:val="40"/>
                    <w:bidi w:val="0"/>
                    <w:jc w:val="center"/>
                    <w:rPr>
                      <w:rFonts w:hint="default" w:ascii="Times New Roman" w:hAnsi="Times New Roman" w:cs="Times New Roman"/>
                      <w:color w:val="0000FF"/>
                      <w:sz w:val="21"/>
                      <w:szCs w:val="21"/>
                    </w:rPr>
                  </w:pPr>
                </w:p>
              </w:tc>
              <w:tc>
                <w:tcPr>
                  <w:tcW w:w="1081" w:type="pct"/>
                  <w:vAlign w:val="center"/>
                </w:tcPr>
                <w:p w14:paraId="72B3E67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220kv 高压线（杆高</w:t>
                  </w:r>
                </w:p>
                <w:p w14:paraId="2AEBEAA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40m）</w:t>
                  </w:r>
                </w:p>
              </w:tc>
              <w:tc>
                <w:tcPr>
                  <w:tcW w:w="585" w:type="pct"/>
                  <w:vAlign w:val="center"/>
                </w:tcPr>
                <w:p w14:paraId="7275370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w:t>
                  </w:r>
                </w:p>
              </w:tc>
              <w:tc>
                <w:tcPr>
                  <w:tcW w:w="507" w:type="pct"/>
                  <w:vAlign w:val="center"/>
                </w:tcPr>
                <w:p w14:paraId="44B32CF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198</w:t>
                  </w:r>
                </w:p>
              </w:tc>
              <w:tc>
                <w:tcPr>
                  <w:tcW w:w="1281" w:type="pct"/>
                  <w:vAlign w:val="center"/>
                </w:tcPr>
                <w:p w14:paraId="2BB7F61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580B176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7A600D7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5.2.8 条 注 3</w:t>
                  </w:r>
                </w:p>
              </w:tc>
              <w:tc>
                <w:tcPr>
                  <w:tcW w:w="427" w:type="pct"/>
                  <w:tcBorders>
                    <w:right w:val="single" w:color="000000" w:sz="10" w:space="0"/>
                  </w:tcBorders>
                  <w:vAlign w:val="center"/>
                </w:tcPr>
                <w:p w14:paraId="49930342">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C27F2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95" w:hRule="atLeast"/>
              </w:trPr>
              <w:tc>
                <w:tcPr>
                  <w:tcW w:w="747" w:type="pct"/>
                  <w:vMerge w:val="continue"/>
                  <w:tcBorders>
                    <w:left w:val="single" w:color="000000" w:sz="10" w:space="0"/>
                  </w:tcBorders>
                  <w:vAlign w:val="center"/>
                </w:tcPr>
                <w:p w14:paraId="707C4D83">
                  <w:pPr>
                    <w:pStyle w:val="40"/>
                    <w:bidi w:val="0"/>
                    <w:jc w:val="center"/>
                    <w:rPr>
                      <w:rFonts w:hint="default" w:ascii="Times New Roman" w:hAnsi="Times New Roman" w:cs="Times New Roman"/>
                      <w:color w:val="0000FF"/>
                      <w:sz w:val="21"/>
                      <w:szCs w:val="21"/>
                    </w:rPr>
                  </w:pPr>
                </w:p>
              </w:tc>
              <w:tc>
                <w:tcPr>
                  <w:tcW w:w="368" w:type="pct"/>
                  <w:vMerge w:val="continue"/>
                  <w:tcBorders>
                    <w:top w:val="nil"/>
                  </w:tcBorders>
                  <w:vAlign w:val="center"/>
                </w:tcPr>
                <w:p w14:paraId="06396F7E">
                  <w:pPr>
                    <w:pStyle w:val="40"/>
                    <w:bidi w:val="0"/>
                    <w:jc w:val="center"/>
                    <w:rPr>
                      <w:rFonts w:hint="default" w:ascii="Times New Roman" w:hAnsi="Times New Roman" w:cs="Times New Roman"/>
                      <w:color w:val="0000FF"/>
                      <w:sz w:val="21"/>
                      <w:szCs w:val="21"/>
                    </w:rPr>
                  </w:pPr>
                </w:p>
              </w:tc>
              <w:tc>
                <w:tcPr>
                  <w:tcW w:w="1081" w:type="pct"/>
                  <w:vAlign w:val="center"/>
                </w:tcPr>
                <w:p w14:paraId="2BEAF94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110kv 变电站</w:t>
                  </w:r>
                </w:p>
              </w:tc>
              <w:tc>
                <w:tcPr>
                  <w:tcW w:w="585" w:type="pct"/>
                  <w:vAlign w:val="center"/>
                </w:tcPr>
                <w:p w14:paraId="4261020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w:t>
                  </w:r>
                </w:p>
              </w:tc>
              <w:tc>
                <w:tcPr>
                  <w:tcW w:w="507" w:type="pct"/>
                  <w:vAlign w:val="center"/>
                </w:tcPr>
                <w:p w14:paraId="2BC7638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149.75</w:t>
                  </w:r>
                </w:p>
              </w:tc>
              <w:tc>
                <w:tcPr>
                  <w:tcW w:w="1281" w:type="pct"/>
                  <w:vAlign w:val="center"/>
                </w:tcPr>
                <w:p w14:paraId="4090DD5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30E1335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77B10EA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5.2.8 条 注 3</w:t>
                  </w:r>
                </w:p>
              </w:tc>
              <w:tc>
                <w:tcPr>
                  <w:tcW w:w="427" w:type="pct"/>
                  <w:tcBorders>
                    <w:right w:val="single" w:color="000000" w:sz="10" w:space="0"/>
                  </w:tcBorders>
                  <w:vAlign w:val="center"/>
                </w:tcPr>
                <w:p w14:paraId="4414F476">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43BC22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restart"/>
                  <w:tcBorders>
                    <w:left w:val="single" w:color="000000" w:sz="10" w:space="0"/>
                  </w:tcBorders>
                  <w:vAlign w:val="center"/>
                </w:tcPr>
                <w:p w14:paraId="44551B9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LPG 灌瓶间</w:t>
                  </w:r>
                </w:p>
                <w:p w14:paraId="619FE79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 甲类、二</w:t>
                  </w:r>
                </w:p>
                <w:p w14:paraId="7625173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级）</w:t>
                  </w:r>
                </w:p>
              </w:tc>
              <w:tc>
                <w:tcPr>
                  <w:tcW w:w="368" w:type="pct"/>
                  <w:vAlign w:val="center"/>
                </w:tcPr>
                <w:p w14:paraId="3284AFB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1081" w:type="pct"/>
                  <w:vAlign w:val="center"/>
                </w:tcPr>
                <w:p w14:paraId="0E7B417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正望新材料（包头）</w:t>
                  </w:r>
                </w:p>
                <w:p w14:paraId="2FEFAF6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有限公司</w:t>
                  </w:r>
                </w:p>
                <w:p w14:paraId="547E4FA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钢结构厂房</w:t>
                  </w:r>
                </w:p>
                <w:p w14:paraId="20AFCC4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85" w:type="pct"/>
                  <w:vAlign w:val="center"/>
                </w:tcPr>
                <w:p w14:paraId="5D8A800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507" w:type="pct"/>
                  <w:vAlign w:val="center"/>
                </w:tcPr>
                <w:p w14:paraId="0DAD1AA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94.34</w:t>
                  </w:r>
                </w:p>
              </w:tc>
              <w:tc>
                <w:tcPr>
                  <w:tcW w:w="1281" w:type="pct"/>
                  <w:vAlign w:val="center"/>
                </w:tcPr>
                <w:p w14:paraId="5F3B2DC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4B615D0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19E1CD0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14 条</w:t>
                  </w:r>
                </w:p>
              </w:tc>
              <w:tc>
                <w:tcPr>
                  <w:tcW w:w="427" w:type="pct"/>
                  <w:tcBorders>
                    <w:right w:val="single" w:color="000000" w:sz="10" w:space="0"/>
                  </w:tcBorders>
                  <w:vAlign w:val="center"/>
                </w:tcPr>
                <w:p w14:paraId="2CE8BE4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83622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7B0A37A1">
                  <w:pPr>
                    <w:pStyle w:val="40"/>
                    <w:bidi w:val="0"/>
                    <w:jc w:val="center"/>
                    <w:rPr>
                      <w:rFonts w:hint="default" w:ascii="Times New Roman" w:hAnsi="Times New Roman" w:cs="Times New Roman"/>
                      <w:color w:val="0000FF"/>
                      <w:sz w:val="21"/>
                      <w:szCs w:val="21"/>
                    </w:rPr>
                  </w:pPr>
                </w:p>
              </w:tc>
              <w:tc>
                <w:tcPr>
                  <w:tcW w:w="368" w:type="pct"/>
                  <w:vAlign w:val="center"/>
                </w:tcPr>
                <w:p w14:paraId="1A158B6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1081" w:type="pct"/>
                  <w:vAlign w:val="center"/>
                </w:tcPr>
                <w:p w14:paraId="0CB0C4B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规划支路</w:t>
                  </w:r>
                </w:p>
              </w:tc>
              <w:tc>
                <w:tcPr>
                  <w:tcW w:w="585" w:type="pct"/>
                  <w:vAlign w:val="center"/>
                </w:tcPr>
                <w:p w14:paraId="4C5EE91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w:t>
                  </w:r>
                </w:p>
              </w:tc>
              <w:tc>
                <w:tcPr>
                  <w:tcW w:w="507" w:type="pct"/>
                  <w:vAlign w:val="center"/>
                </w:tcPr>
                <w:p w14:paraId="6DBF878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129.70</w:t>
                  </w:r>
                </w:p>
              </w:tc>
              <w:tc>
                <w:tcPr>
                  <w:tcW w:w="1281" w:type="pct"/>
                  <w:vAlign w:val="center"/>
                </w:tcPr>
                <w:p w14:paraId="5A9F5C8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25E86FD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51142-2015）第 5.2. 14 条</w:t>
                  </w:r>
                </w:p>
              </w:tc>
              <w:tc>
                <w:tcPr>
                  <w:tcW w:w="427" w:type="pct"/>
                  <w:tcBorders>
                    <w:right w:val="single" w:color="000000" w:sz="10" w:space="0"/>
                  </w:tcBorders>
                  <w:vAlign w:val="center"/>
                </w:tcPr>
                <w:p w14:paraId="6D95750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BA0518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0C6EB74C">
                  <w:pPr>
                    <w:pStyle w:val="40"/>
                    <w:bidi w:val="0"/>
                    <w:jc w:val="center"/>
                    <w:rPr>
                      <w:rFonts w:hint="default" w:ascii="Times New Roman" w:hAnsi="Times New Roman" w:cs="Times New Roman"/>
                      <w:color w:val="0000FF"/>
                      <w:sz w:val="21"/>
                      <w:szCs w:val="21"/>
                    </w:rPr>
                  </w:pPr>
                </w:p>
              </w:tc>
              <w:tc>
                <w:tcPr>
                  <w:tcW w:w="368" w:type="pct"/>
                  <w:vMerge w:val="restart"/>
                  <w:tcBorders>
                    <w:bottom w:val="nil"/>
                  </w:tcBorders>
                  <w:vAlign w:val="center"/>
                </w:tcPr>
                <w:p w14:paraId="6ABE700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1081" w:type="pct"/>
                  <w:vAlign w:val="center"/>
                </w:tcPr>
                <w:p w14:paraId="5E4973A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大连大特气体公司消防泵房（戊类、二级）</w:t>
                  </w:r>
                </w:p>
              </w:tc>
              <w:tc>
                <w:tcPr>
                  <w:tcW w:w="585" w:type="pct"/>
                  <w:vAlign w:val="center"/>
                </w:tcPr>
                <w:p w14:paraId="5FCEE87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507" w:type="pct"/>
                  <w:vAlign w:val="center"/>
                </w:tcPr>
                <w:p w14:paraId="378618F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57.33</w:t>
                  </w:r>
                </w:p>
              </w:tc>
              <w:tc>
                <w:tcPr>
                  <w:tcW w:w="1281" w:type="pct"/>
                  <w:vAlign w:val="center"/>
                </w:tcPr>
                <w:p w14:paraId="656E53C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45E5F1A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459A051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14 条</w:t>
                  </w:r>
                </w:p>
              </w:tc>
              <w:tc>
                <w:tcPr>
                  <w:tcW w:w="427" w:type="pct"/>
                  <w:tcBorders>
                    <w:right w:val="single" w:color="000000" w:sz="10" w:space="0"/>
                  </w:tcBorders>
                  <w:vAlign w:val="center"/>
                </w:tcPr>
                <w:p w14:paraId="5493357A">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7027F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7A7D3455">
                  <w:pPr>
                    <w:pStyle w:val="40"/>
                    <w:bidi w:val="0"/>
                    <w:jc w:val="center"/>
                    <w:rPr>
                      <w:rFonts w:hint="default" w:ascii="Times New Roman" w:hAnsi="Times New Roman" w:cs="Times New Roman"/>
                      <w:color w:val="0000FF"/>
                      <w:sz w:val="21"/>
                      <w:szCs w:val="21"/>
                    </w:rPr>
                  </w:pPr>
                </w:p>
              </w:tc>
              <w:tc>
                <w:tcPr>
                  <w:tcW w:w="368" w:type="pct"/>
                  <w:vMerge w:val="continue"/>
                  <w:tcBorders>
                    <w:top w:val="nil"/>
                    <w:bottom w:val="nil"/>
                  </w:tcBorders>
                  <w:vAlign w:val="center"/>
                </w:tcPr>
                <w:p w14:paraId="7E51091E">
                  <w:pPr>
                    <w:pStyle w:val="40"/>
                    <w:bidi w:val="0"/>
                    <w:jc w:val="center"/>
                    <w:rPr>
                      <w:rFonts w:hint="default" w:ascii="Times New Roman" w:hAnsi="Times New Roman" w:cs="Times New Roman"/>
                      <w:color w:val="0000FF"/>
                      <w:sz w:val="21"/>
                      <w:szCs w:val="21"/>
                    </w:rPr>
                  </w:pPr>
                </w:p>
              </w:tc>
              <w:tc>
                <w:tcPr>
                  <w:tcW w:w="1081" w:type="pct"/>
                  <w:vAlign w:val="center"/>
                </w:tcPr>
                <w:p w14:paraId="0815602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大连大特气体公司检测车间（丁类、二级）</w:t>
                  </w:r>
                </w:p>
              </w:tc>
              <w:tc>
                <w:tcPr>
                  <w:tcW w:w="585" w:type="pct"/>
                  <w:vAlign w:val="center"/>
                </w:tcPr>
                <w:p w14:paraId="27A8A30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507" w:type="pct"/>
                  <w:vAlign w:val="center"/>
                </w:tcPr>
                <w:p w14:paraId="03AD56C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23.26</w:t>
                  </w:r>
                </w:p>
              </w:tc>
              <w:tc>
                <w:tcPr>
                  <w:tcW w:w="1281" w:type="pct"/>
                  <w:vAlign w:val="center"/>
                </w:tcPr>
                <w:p w14:paraId="4815586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3B1B6B0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程设计规范》（GB 51142-2015）</w:t>
                  </w:r>
                </w:p>
                <w:p w14:paraId="03B633F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14 条</w:t>
                  </w:r>
                </w:p>
              </w:tc>
              <w:tc>
                <w:tcPr>
                  <w:tcW w:w="427" w:type="pct"/>
                  <w:tcBorders>
                    <w:right w:val="single" w:color="000000" w:sz="10" w:space="0"/>
                  </w:tcBorders>
                  <w:vAlign w:val="center"/>
                </w:tcPr>
                <w:p w14:paraId="318E9432">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8B7F0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5BB27607">
                  <w:pPr>
                    <w:pStyle w:val="40"/>
                    <w:bidi w:val="0"/>
                    <w:jc w:val="center"/>
                    <w:rPr>
                      <w:rFonts w:hint="default" w:ascii="Times New Roman" w:hAnsi="Times New Roman" w:cs="Times New Roman"/>
                      <w:color w:val="0000FF"/>
                      <w:sz w:val="21"/>
                      <w:szCs w:val="21"/>
                    </w:rPr>
                  </w:pPr>
                </w:p>
              </w:tc>
              <w:tc>
                <w:tcPr>
                  <w:tcW w:w="368" w:type="pct"/>
                  <w:vMerge w:val="continue"/>
                  <w:tcBorders>
                    <w:top w:val="nil"/>
                    <w:bottom w:val="nil"/>
                  </w:tcBorders>
                  <w:vAlign w:val="center"/>
                </w:tcPr>
                <w:p w14:paraId="05842C36">
                  <w:pPr>
                    <w:pStyle w:val="40"/>
                    <w:bidi w:val="0"/>
                    <w:jc w:val="center"/>
                    <w:rPr>
                      <w:rFonts w:hint="default" w:ascii="Times New Roman" w:hAnsi="Times New Roman" w:cs="Times New Roman"/>
                      <w:color w:val="0000FF"/>
                      <w:sz w:val="21"/>
                      <w:szCs w:val="21"/>
                    </w:rPr>
                  </w:pPr>
                </w:p>
              </w:tc>
              <w:tc>
                <w:tcPr>
                  <w:tcW w:w="1081" w:type="pct"/>
                  <w:vAlign w:val="center"/>
                </w:tcPr>
                <w:p w14:paraId="1FFE206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5FCA2B5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1#仓库</w:t>
                  </w:r>
                </w:p>
                <w:p w14:paraId="08042E6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 甲类、二级）</w:t>
                  </w:r>
                </w:p>
              </w:tc>
              <w:tc>
                <w:tcPr>
                  <w:tcW w:w="585" w:type="pct"/>
                  <w:vAlign w:val="center"/>
                </w:tcPr>
                <w:p w14:paraId="2E4DE6C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w:t>
                  </w:r>
                </w:p>
              </w:tc>
              <w:tc>
                <w:tcPr>
                  <w:tcW w:w="507" w:type="pct"/>
                  <w:vAlign w:val="center"/>
                </w:tcPr>
                <w:p w14:paraId="18A0783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33.40</w:t>
                  </w:r>
                </w:p>
              </w:tc>
              <w:tc>
                <w:tcPr>
                  <w:tcW w:w="1281" w:type="pct"/>
                  <w:vAlign w:val="center"/>
                </w:tcPr>
                <w:p w14:paraId="39B542B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3AA4745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w:t>
                  </w:r>
                </w:p>
                <w:p w14:paraId="4066009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 51142-2015）</w:t>
                  </w:r>
                </w:p>
                <w:p w14:paraId="5D616D2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14 条</w:t>
                  </w:r>
                </w:p>
              </w:tc>
              <w:tc>
                <w:tcPr>
                  <w:tcW w:w="427" w:type="pct"/>
                  <w:tcBorders>
                    <w:right w:val="single" w:color="000000" w:sz="10" w:space="0"/>
                  </w:tcBorders>
                  <w:vAlign w:val="center"/>
                </w:tcPr>
                <w:p w14:paraId="01D77D4C">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83E3B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3DEAB4F9">
                  <w:pPr>
                    <w:pStyle w:val="40"/>
                    <w:bidi w:val="0"/>
                    <w:jc w:val="center"/>
                    <w:rPr>
                      <w:rFonts w:hint="default" w:ascii="Times New Roman" w:hAnsi="Times New Roman" w:cs="Times New Roman"/>
                      <w:color w:val="0000FF"/>
                      <w:sz w:val="21"/>
                      <w:szCs w:val="21"/>
                    </w:rPr>
                  </w:pPr>
                </w:p>
              </w:tc>
              <w:tc>
                <w:tcPr>
                  <w:tcW w:w="368" w:type="pct"/>
                  <w:vMerge w:val="continue"/>
                  <w:tcBorders>
                    <w:top w:val="nil"/>
                    <w:bottom w:val="single" w:color="auto" w:sz="4" w:space="0"/>
                  </w:tcBorders>
                  <w:vAlign w:val="center"/>
                </w:tcPr>
                <w:p w14:paraId="0EA622E7">
                  <w:pPr>
                    <w:pStyle w:val="40"/>
                    <w:bidi w:val="0"/>
                    <w:jc w:val="center"/>
                    <w:rPr>
                      <w:rFonts w:hint="default" w:ascii="Times New Roman" w:hAnsi="Times New Roman" w:cs="Times New Roman"/>
                      <w:color w:val="0000FF"/>
                      <w:sz w:val="21"/>
                      <w:szCs w:val="21"/>
                    </w:rPr>
                  </w:pPr>
                </w:p>
              </w:tc>
              <w:tc>
                <w:tcPr>
                  <w:tcW w:w="1081" w:type="pct"/>
                  <w:tcBorders>
                    <w:bottom w:val="single" w:color="auto" w:sz="4" w:space="0"/>
                  </w:tcBorders>
                  <w:vAlign w:val="center"/>
                </w:tcPr>
                <w:p w14:paraId="032AF44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022B048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2#仓库</w:t>
                  </w:r>
                </w:p>
                <w:p w14:paraId="5FA9ECD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 甲类、二级）</w:t>
                  </w:r>
                </w:p>
              </w:tc>
              <w:tc>
                <w:tcPr>
                  <w:tcW w:w="585" w:type="pct"/>
                  <w:tcBorders>
                    <w:bottom w:val="single" w:color="000000" w:sz="10" w:space="0"/>
                  </w:tcBorders>
                  <w:vAlign w:val="center"/>
                </w:tcPr>
                <w:p w14:paraId="68AB8D7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w:t>
                  </w:r>
                </w:p>
              </w:tc>
              <w:tc>
                <w:tcPr>
                  <w:tcW w:w="507" w:type="pct"/>
                  <w:tcBorders>
                    <w:bottom w:val="single" w:color="000000" w:sz="10" w:space="0"/>
                  </w:tcBorders>
                  <w:vAlign w:val="center"/>
                </w:tcPr>
                <w:p w14:paraId="623D6C1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53.06</w:t>
                  </w:r>
                </w:p>
              </w:tc>
              <w:tc>
                <w:tcPr>
                  <w:tcW w:w="1281" w:type="pct"/>
                  <w:tcBorders>
                    <w:bottom w:val="single" w:color="000000" w:sz="10" w:space="0"/>
                  </w:tcBorders>
                  <w:vAlign w:val="center"/>
                </w:tcPr>
                <w:p w14:paraId="2BA8B03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68FB664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w:t>
                  </w:r>
                </w:p>
                <w:p w14:paraId="2985F11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 51142-2015）</w:t>
                  </w:r>
                </w:p>
                <w:p w14:paraId="11D568D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14 条</w:t>
                  </w:r>
                </w:p>
              </w:tc>
              <w:tc>
                <w:tcPr>
                  <w:tcW w:w="427" w:type="pct"/>
                  <w:tcBorders>
                    <w:bottom w:val="single" w:color="000000" w:sz="10" w:space="0"/>
                    <w:right w:val="single" w:color="000000" w:sz="10" w:space="0"/>
                  </w:tcBorders>
                  <w:vAlign w:val="center"/>
                </w:tcPr>
                <w:p w14:paraId="514328D3">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70460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right w:val="single" w:color="auto" w:sz="4" w:space="0"/>
                  </w:tcBorders>
                  <w:shd w:val="clear" w:color="auto" w:fill="auto"/>
                  <w:vAlign w:val="center"/>
                </w:tcPr>
                <w:p w14:paraId="79368ED4">
                  <w:pPr>
                    <w:pStyle w:val="40"/>
                    <w:bidi w:val="0"/>
                    <w:jc w:val="center"/>
                    <w:rPr>
                      <w:rFonts w:hint="default" w:ascii="Times New Roman" w:hAnsi="Times New Roman" w:cs="Times New Roman"/>
                      <w:color w:val="0000FF"/>
                      <w:sz w:val="21"/>
                      <w:szCs w:val="21"/>
                    </w:rPr>
                  </w:pPr>
                </w:p>
              </w:tc>
              <w:tc>
                <w:tcPr>
                  <w:tcW w:w="36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E60D7B2">
                  <w:pPr>
                    <w:pStyle w:val="40"/>
                    <w:bidi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北侧</w:t>
                  </w:r>
                </w:p>
              </w:tc>
              <w:tc>
                <w:tcPr>
                  <w:tcW w:w="1081" w:type="pct"/>
                  <w:tcBorders>
                    <w:top w:val="single" w:color="auto" w:sz="4" w:space="0"/>
                    <w:left w:val="single" w:color="auto" w:sz="4" w:space="0"/>
                    <w:bottom w:val="single" w:color="auto" w:sz="4" w:space="0"/>
                    <w:right w:val="single" w:color="auto" w:sz="4" w:space="0"/>
                  </w:tcBorders>
                  <w:shd w:val="clear" w:color="auto" w:fill="auto"/>
                  <w:vAlign w:val="center"/>
                </w:tcPr>
                <w:p w14:paraId="485E151C">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泽原路（园区</w:t>
                  </w:r>
                </w:p>
                <w:p w14:paraId="6BAB78B4">
                  <w:pPr>
                    <w:pStyle w:val="40"/>
                    <w:bidi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路）</w:t>
                  </w:r>
                </w:p>
              </w:tc>
              <w:tc>
                <w:tcPr>
                  <w:tcW w:w="585" w:type="pct"/>
                  <w:tcBorders>
                    <w:left w:val="single" w:color="auto" w:sz="4" w:space="0"/>
                    <w:bottom w:val="single" w:color="000000" w:sz="10" w:space="0"/>
                  </w:tcBorders>
                  <w:shd w:val="clear" w:color="auto" w:fill="auto"/>
                  <w:vAlign w:val="center"/>
                </w:tcPr>
                <w:p w14:paraId="5C041E02">
                  <w:pPr>
                    <w:pStyle w:val="40"/>
                    <w:bidi w:val="0"/>
                    <w:jc w:val="center"/>
                    <w:rPr>
                      <w:rFonts w:hint="default" w:ascii="Times New Roman" w:hAnsi="Times New Roman" w:eastAsia="宋体" w:cs="Times New Roman"/>
                      <w:color w:val="0000FF"/>
                      <w:sz w:val="21"/>
                      <w:szCs w:val="21"/>
                      <w:lang w:val="en-US" w:eastAsia="en-US"/>
                    </w:rPr>
                  </w:pPr>
                  <w:r>
                    <w:rPr>
                      <w:rFonts w:hint="default" w:ascii="Times New Roman" w:hAnsi="Times New Roman" w:eastAsia="宋体" w:cs="Times New Roman"/>
                      <w:color w:val="0000FF"/>
                      <w:sz w:val="21"/>
                      <w:szCs w:val="21"/>
                    </w:rPr>
                    <w:t>20</w:t>
                  </w:r>
                </w:p>
              </w:tc>
              <w:tc>
                <w:tcPr>
                  <w:tcW w:w="507" w:type="pct"/>
                  <w:tcBorders>
                    <w:bottom w:val="single" w:color="000000" w:sz="10" w:space="0"/>
                  </w:tcBorders>
                  <w:shd w:val="clear" w:color="auto" w:fill="auto"/>
                  <w:vAlign w:val="center"/>
                </w:tcPr>
                <w:p w14:paraId="2BE935DF">
                  <w:pPr>
                    <w:pStyle w:val="40"/>
                    <w:bidi w:val="0"/>
                    <w:jc w:val="center"/>
                    <w:rPr>
                      <w:rFonts w:hint="default" w:ascii="Times New Roman" w:hAnsi="Times New Roman" w:eastAsia="宋体" w:cs="Times New Roman"/>
                      <w:color w:val="0000FF"/>
                      <w:sz w:val="21"/>
                      <w:szCs w:val="21"/>
                      <w:lang w:val="en-US" w:eastAsia="en-US"/>
                    </w:rPr>
                  </w:pPr>
                  <w:r>
                    <w:rPr>
                      <w:rFonts w:hint="default" w:ascii="Times New Roman" w:hAnsi="Times New Roman" w:eastAsia="宋体" w:cs="Times New Roman"/>
                      <w:color w:val="0000FF"/>
                      <w:sz w:val="21"/>
                      <w:szCs w:val="21"/>
                    </w:rPr>
                    <w:t>215. 1</w:t>
                  </w:r>
                </w:p>
              </w:tc>
              <w:tc>
                <w:tcPr>
                  <w:tcW w:w="1281" w:type="pct"/>
                  <w:tcBorders>
                    <w:bottom w:val="single" w:color="000000" w:sz="10" w:space="0"/>
                  </w:tcBorders>
                  <w:shd w:val="clear" w:color="auto" w:fill="auto"/>
                  <w:vAlign w:val="center"/>
                </w:tcPr>
                <w:p w14:paraId="72017363">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《液化石油气供应工</w:t>
                  </w:r>
                </w:p>
                <w:p w14:paraId="2F8D97C9">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程设计规范》</w:t>
                  </w:r>
                </w:p>
                <w:p w14:paraId="798E7E3C">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（GB 51142-2015）</w:t>
                  </w:r>
                </w:p>
                <w:p w14:paraId="51327726">
                  <w:pPr>
                    <w:pStyle w:val="40"/>
                    <w:bidi w:val="0"/>
                    <w:jc w:val="center"/>
                    <w:rPr>
                      <w:rFonts w:hint="default" w:ascii="Times New Roman" w:hAnsi="Times New Roman" w:eastAsia="宋体" w:cs="Times New Roman"/>
                      <w:color w:val="0000FF"/>
                      <w:sz w:val="21"/>
                      <w:szCs w:val="21"/>
                      <w:lang w:val="en-US" w:eastAsia="en-US"/>
                    </w:rPr>
                  </w:pPr>
                  <w:r>
                    <w:rPr>
                      <w:rFonts w:hint="default" w:ascii="Times New Roman" w:hAnsi="Times New Roman" w:eastAsia="宋体" w:cs="Times New Roman"/>
                      <w:color w:val="0000FF"/>
                      <w:sz w:val="21"/>
                      <w:szCs w:val="21"/>
                    </w:rPr>
                    <w:t>第 5.2.8 条 注 3</w:t>
                  </w:r>
                </w:p>
              </w:tc>
              <w:tc>
                <w:tcPr>
                  <w:tcW w:w="427" w:type="pct"/>
                  <w:tcBorders>
                    <w:bottom w:val="single" w:color="000000" w:sz="10" w:space="0"/>
                    <w:right w:val="single" w:color="000000" w:sz="10" w:space="0"/>
                  </w:tcBorders>
                  <w:shd w:val="clear" w:color="auto" w:fill="auto"/>
                  <w:vAlign w:val="center"/>
                </w:tcPr>
                <w:p w14:paraId="0F1F9286">
                  <w:pPr>
                    <w:pStyle w:val="40"/>
                    <w:bidi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符合</w:t>
                  </w:r>
                </w:p>
              </w:tc>
            </w:tr>
            <w:tr w14:paraId="2DD8CC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right w:val="single" w:color="auto" w:sz="4" w:space="0"/>
                  </w:tcBorders>
                  <w:shd w:val="clear" w:color="auto" w:fill="auto"/>
                  <w:vAlign w:val="center"/>
                </w:tcPr>
                <w:p w14:paraId="3D948035">
                  <w:pPr>
                    <w:pStyle w:val="40"/>
                    <w:bidi w:val="0"/>
                    <w:jc w:val="center"/>
                    <w:rPr>
                      <w:rFonts w:hint="default" w:ascii="Times New Roman" w:hAnsi="Times New Roman" w:cs="Times New Roman"/>
                      <w:color w:val="0000FF"/>
                      <w:sz w:val="21"/>
                      <w:szCs w:val="21"/>
                    </w:rPr>
                  </w:pPr>
                </w:p>
              </w:tc>
              <w:tc>
                <w:tcPr>
                  <w:tcW w:w="368"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BB10B2D">
                  <w:pPr>
                    <w:pStyle w:val="40"/>
                    <w:bidi w:val="0"/>
                    <w:jc w:val="center"/>
                    <w:rPr>
                      <w:rFonts w:hint="default" w:ascii="Times New Roman" w:hAnsi="Times New Roman" w:eastAsia="宋体" w:cs="Times New Roman"/>
                      <w:color w:val="0000FF"/>
                      <w:sz w:val="21"/>
                      <w:szCs w:val="21"/>
                    </w:rPr>
                  </w:pPr>
                </w:p>
              </w:tc>
              <w:tc>
                <w:tcPr>
                  <w:tcW w:w="1081" w:type="pct"/>
                  <w:tcBorders>
                    <w:top w:val="single" w:color="auto" w:sz="4" w:space="0"/>
                    <w:left w:val="single" w:color="auto" w:sz="4" w:space="0"/>
                    <w:bottom w:val="single" w:color="auto" w:sz="4" w:space="0"/>
                    <w:right w:val="single" w:color="auto" w:sz="4" w:space="0"/>
                  </w:tcBorders>
                  <w:shd w:val="clear" w:color="auto" w:fill="auto"/>
                  <w:vAlign w:val="center"/>
                </w:tcPr>
                <w:p w14:paraId="7B5774D4">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20kv 高压线（杆高</w:t>
                  </w:r>
                </w:p>
                <w:p w14:paraId="218D3AF1">
                  <w:pPr>
                    <w:pStyle w:val="40"/>
                    <w:bidi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40m）</w:t>
                  </w:r>
                </w:p>
              </w:tc>
              <w:tc>
                <w:tcPr>
                  <w:tcW w:w="585" w:type="pct"/>
                  <w:tcBorders>
                    <w:left w:val="single" w:color="auto" w:sz="4" w:space="0"/>
                    <w:bottom w:val="single" w:color="000000" w:sz="10" w:space="0"/>
                  </w:tcBorders>
                  <w:shd w:val="clear" w:color="auto" w:fill="auto"/>
                  <w:vAlign w:val="center"/>
                </w:tcPr>
                <w:p w14:paraId="5A900AEF">
                  <w:pPr>
                    <w:pStyle w:val="40"/>
                    <w:bidi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60（1.5H）</w:t>
                  </w:r>
                </w:p>
              </w:tc>
              <w:tc>
                <w:tcPr>
                  <w:tcW w:w="507" w:type="pct"/>
                  <w:tcBorders>
                    <w:bottom w:val="single" w:color="000000" w:sz="10" w:space="0"/>
                  </w:tcBorders>
                  <w:shd w:val="clear" w:color="auto" w:fill="auto"/>
                  <w:vAlign w:val="center"/>
                </w:tcPr>
                <w:p w14:paraId="5B9579D3">
                  <w:pPr>
                    <w:pStyle w:val="40"/>
                    <w:bidi w:val="0"/>
                    <w:jc w:val="center"/>
                    <w:rPr>
                      <w:rFonts w:hint="default" w:ascii="Times New Roman" w:hAnsi="Times New Roman" w:eastAsia="宋体" w:cs="Times New Roman"/>
                      <w:color w:val="0000FF"/>
                      <w:sz w:val="21"/>
                      <w:szCs w:val="21"/>
                      <w:lang w:val="en-US" w:eastAsia="en-US"/>
                    </w:rPr>
                  </w:pPr>
                  <w:r>
                    <w:rPr>
                      <w:rFonts w:hint="default" w:ascii="Times New Roman" w:hAnsi="Times New Roman" w:eastAsia="宋体" w:cs="Times New Roman"/>
                      <w:color w:val="0000FF"/>
                      <w:sz w:val="21"/>
                      <w:szCs w:val="21"/>
                    </w:rPr>
                    <w:t>205. 1</w:t>
                  </w:r>
                </w:p>
              </w:tc>
              <w:tc>
                <w:tcPr>
                  <w:tcW w:w="1281" w:type="pct"/>
                  <w:tcBorders>
                    <w:bottom w:val="single" w:color="000000" w:sz="10" w:space="0"/>
                  </w:tcBorders>
                  <w:shd w:val="clear" w:color="auto" w:fill="auto"/>
                  <w:vAlign w:val="center"/>
                </w:tcPr>
                <w:p w14:paraId="72558525">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《液化石油气供应工</w:t>
                  </w:r>
                </w:p>
                <w:p w14:paraId="49D6E689">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程设计规范》</w:t>
                  </w:r>
                </w:p>
                <w:p w14:paraId="47B6EE1D">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（GB 51142-2015）</w:t>
                  </w:r>
                </w:p>
                <w:p w14:paraId="23D95FCB">
                  <w:pPr>
                    <w:pStyle w:val="40"/>
                    <w:bidi w:val="0"/>
                    <w:jc w:val="center"/>
                    <w:rPr>
                      <w:rFonts w:hint="default" w:ascii="Times New Roman" w:hAnsi="Times New Roman" w:eastAsia="宋体" w:cs="Times New Roman"/>
                      <w:color w:val="0000FF"/>
                      <w:sz w:val="21"/>
                      <w:szCs w:val="21"/>
                      <w:lang w:val="en-US" w:eastAsia="en-US"/>
                    </w:rPr>
                  </w:pPr>
                  <w:r>
                    <w:rPr>
                      <w:rFonts w:hint="default" w:ascii="Times New Roman" w:hAnsi="Times New Roman" w:eastAsia="宋体" w:cs="Times New Roman"/>
                      <w:color w:val="0000FF"/>
                      <w:sz w:val="21"/>
                      <w:szCs w:val="21"/>
                    </w:rPr>
                    <w:t>第 5.2.8 条 注 3</w:t>
                  </w:r>
                </w:p>
              </w:tc>
              <w:tc>
                <w:tcPr>
                  <w:tcW w:w="427" w:type="pct"/>
                  <w:tcBorders>
                    <w:bottom w:val="single" w:color="000000" w:sz="10" w:space="0"/>
                    <w:right w:val="single" w:color="000000" w:sz="10" w:space="0"/>
                  </w:tcBorders>
                  <w:shd w:val="clear" w:color="auto" w:fill="auto"/>
                  <w:vAlign w:val="center"/>
                </w:tcPr>
                <w:p w14:paraId="0939D395">
                  <w:pPr>
                    <w:pStyle w:val="40"/>
                    <w:bidi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符合</w:t>
                  </w:r>
                </w:p>
              </w:tc>
            </w:tr>
            <w:tr w14:paraId="1937CF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right w:val="single" w:color="auto" w:sz="4" w:space="0"/>
                  </w:tcBorders>
                  <w:shd w:val="clear" w:color="auto" w:fill="auto"/>
                  <w:vAlign w:val="center"/>
                </w:tcPr>
                <w:p w14:paraId="5E56A93A">
                  <w:pPr>
                    <w:pStyle w:val="40"/>
                    <w:bidi w:val="0"/>
                    <w:jc w:val="center"/>
                    <w:rPr>
                      <w:rFonts w:hint="default" w:ascii="Times New Roman" w:hAnsi="Times New Roman" w:cs="Times New Roman"/>
                      <w:color w:val="0000FF"/>
                      <w:sz w:val="21"/>
                      <w:szCs w:val="21"/>
                    </w:rPr>
                  </w:pPr>
                </w:p>
              </w:tc>
              <w:tc>
                <w:tcPr>
                  <w:tcW w:w="368" w:type="pct"/>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637894B">
                  <w:pPr>
                    <w:pStyle w:val="40"/>
                    <w:bidi w:val="0"/>
                    <w:jc w:val="center"/>
                    <w:rPr>
                      <w:rFonts w:hint="default" w:ascii="Times New Roman" w:hAnsi="Times New Roman" w:eastAsia="宋体" w:cs="Times New Roman"/>
                      <w:color w:val="0000FF"/>
                      <w:sz w:val="21"/>
                      <w:szCs w:val="21"/>
                    </w:rPr>
                  </w:pPr>
                </w:p>
              </w:tc>
              <w:tc>
                <w:tcPr>
                  <w:tcW w:w="1081" w:type="pct"/>
                  <w:tcBorders>
                    <w:top w:val="single" w:color="auto" w:sz="4" w:space="0"/>
                    <w:left w:val="single" w:color="auto" w:sz="4" w:space="0"/>
                    <w:bottom w:val="single" w:color="auto" w:sz="4" w:space="0"/>
                    <w:right w:val="single" w:color="auto" w:sz="4" w:space="0"/>
                  </w:tcBorders>
                  <w:shd w:val="clear" w:color="auto" w:fill="auto"/>
                  <w:vAlign w:val="center"/>
                </w:tcPr>
                <w:p w14:paraId="204173FD">
                  <w:pPr>
                    <w:pStyle w:val="40"/>
                    <w:bidi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110kv 变电站</w:t>
                  </w:r>
                </w:p>
              </w:tc>
              <w:tc>
                <w:tcPr>
                  <w:tcW w:w="585" w:type="pct"/>
                  <w:tcBorders>
                    <w:left w:val="single" w:color="auto" w:sz="4" w:space="0"/>
                    <w:bottom w:val="single" w:color="000000" w:sz="10" w:space="0"/>
                  </w:tcBorders>
                  <w:shd w:val="clear" w:color="auto" w:fill="auto"/>
                  <w:vAlign w:val="center"/>
                </w:tcPr>
                <w:p w14:paraId="3B820C12">
                  <w:pPr>
                    <w:pStyle w:val="40"/>
                    <w:bidi w:val="0"/>
                    <w:jc w:val="center"/>
                    <w:rPr>
                      <w:rFonts w:hint="default" w:ascii="Times New Roman" w:hAnsi="Times New Roman" w:eastAsia="宋体" w:cs="Times New Roman"/>
                      <w:color w:val="0000FF"/>
                      <w:sz w:val="21"/>
                      <w:szCs w:val="21"/>
                      <w:lang w:val="en-US" w:eastAsia="en-US"/>
                    </w:rPr>
                  </w:pPr>
                  <w:r>
                    <w:rPr>
                      <w:rFonts w:hint="default" w:ascii="Times New Roman" w:hAnsi="Times New Roman" w:eastAsia="宋体" w:cs="Times New Roman"/>
                      <w:color w:val="0000FF"/>
                      <w:sz w:val="21"/>
                      <w:szCs w:val="21"/>
                    </w:rPr>
                    <w:t>25</w:t>
                  </w:r>
                </w:p>
              </w:tc>
              <w:tc>
                <w:tcPr>
                  <w:tcW w:w="507" w:type="pct"/>
                  <w:tcBorders>
                    <w:bottom w:val="single" w:color="000000" w:sz="10" w:space="0"/>
                  </w:tcBorders>
                  <w:shd w:val="clear" w:color="auto" w:fill="auto"/>
                  <w:vAlign w:val="center"/>
                </w:tcPr>
                <w:p w14:paraId="38748C1D">
                  <w:pPr>
                    <w:pStyle w:val="40"/>
                    <w:bidi w:val="0"/>
                    <w:jc w:val="center"/>
                    <w:rPr>
                      <w:rFonts w:hint="default" w:ascii="Times New Roman" w:hAnsi="Times New Roman" w:eastAsia="宋体" w:cs="Times New Roman"/>
                      <w:color w:val="0000FF"/>
                      <w:sz w:val="21"/>
                      <w:szCs w:val="21"/>
                      <w:lang w:val="en-US" w:eastAsia="en-US"/>
                    </w:rPr>
                  </w:pPr>
                  <w:r>
                    <w:rPr>
                      <w:rFonts w:hint="default" w:ascii="Times New Roman" w:hAnsi="Times New Roman" w:eastAsia="宋体" w:cs="Times New Roman"/>
                      <w:color w:val="0000FF"/>
                      <w:sz w:val="21"/>
                      <w:szCs w:val="21"/>
                    </w:rPr>
                    <w:t>137.7</w:t>
                  </w:r>
                </w:p>
              </w:tc>
              <w:tc>
                <w:tcPr>
                  <w:tcW w:w="1281" w:type="pct"/>
                  <w:tcBorders>
                    <w:bottom w:val="single" w:color="000000" w:sz="10" w:space="0"/>
                  </w:tcBorders>
                  <w:shd w:val="clear" w:color="auto" w:fill="auto"/>
                  <w:vAlign w:val="center"/>
                </w:tcPr>
                <w:p w14:paraId="5409C555">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《液化石油气供应工</w:t>
                  </w:r>
                </w:p>
                <w:p w14:paraId="3BBB2395">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程设计规范》</w:t>
                  </w:r>
                </w:p>
                <w:p w14:paraId="09C903D6">
                  <w:pPr>
                    <w:pStyle w:val="40"/>
                    <w:bidi w:val="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（GB 51142-2015）</w:t>
                  </w:r>
                </w:p>
                <w:p w14:paraId="2D5A043B">
                  <w:pPr>
                    <w:pStyle w:val="40"/>
                    <w:bidi w:val="0"/>
                    <w:jc w:val="center"/>
                    <w:rPr>
                      <w:rFonts w:hint="default" w:ascii="Times New Roman" w:hAnsi="Times New Roman" w:eastAsia="宋体" w:cs="Times New Roman"/>
                      <w:color w:val="0000FF"/>
                      <w:sz w:val="21"/>
                      <w:szCs w:val="21"/>
                      <w:lang w:val="en-US" w:eastAsia="en-US"/>
                    </w:rPr>
                  </w:pPr>
                  <w:r>
                    <w:rPr>
                      <w:rFonts w:hint="default" w:ascii="Times New Roman" w:hAnsi="Times New Roman" w:eastAsia="宋体" w:cs="Times New Roman"/>
                      <w:color w:val="0000FF"/>
                      <w:sz w:val="21"/>
                      <w:szCs w:val="21"/>
                    </w:rPr>
                    <w:t>第 5.2.8 条 注 3</w:t>
                  </w:r>
                </w:p>
              </w:tc>
              <w:tc>
                <w:tcPr>
                  <w:tcW w:w="427" w:type="pct"/>
                  <w:tcBorders>
                    <w:bottom w:val="single" w:color="000000" w:sz="10" w:space="0"/>
                    <w:right w:val="single" w:color="000000" w:sz="10" w:space="0"/>
                  </w:tcBorders>
                  <w:shd w:val="clear" w:color="auto" w:fill="auto"/>
                  <w:vAlign w:val="center"/>
                </w:tcPr>
                <w:p w14:paraId="4209B862">
                  <w:pPr>
                    <w:pStyle w:val="40"/>
                    <w:bidi w:val="0"/>
                    <w:jc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color w:val="0000FF"/>
                      <w:sz w:val="21"/>
                      <w:szCs w:val="21"/>
                    </w:rPr>
                    <w:t>符合</w:t>
                  </w:r>
                </w:p>
              </w:tc>
            </w:tr>
            <w:tr w14:paraId="1F3A86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restart"/>
                  <w:tcBorders>
                    <w:left w:val="single" w:color="000000" w:sz="10" w:space="0"/>
                  </w:tcBorders>
                  <w:shd w:val="clear" w:color="auto" w:fill="auto"/>
                  <w:vAlign w:val="center"/>
                </w:tcPr>
                <w:p w14:paraId="14FE4D4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丙烷埋地罐区（ 甲类，V 总 =150m³ , V 单</w:t>
                  </w:r>
                </w:p>
                <w:p w14:paraId="63B16A4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=50m³ )</w:t>
                  </w:r>
                </w:p>
              </w:tc>
              <w:tc>
                <w:tcPr>
                  <w:tcW w:w="368" w:type="pct"/>
                  <w:vMerge w:val="restart"/>
                  <w:tcBorders>
                    <w:top w:val="single" w:color="auto" w:sz="4" w:space="0"/>
                  </w:tcBorders>
                  <w:shd w:val="clear" w:color="auto" w:fill="auto"/>
                  <w:vAlign w:val="center"/>
                </w:tcPr>
                <w:p w14:paraId="3FE879F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1081" w:type="pct"/>
                  <w:tcBorders>
                    <w:top w:val="single" w:color="auto" w:sz="4" w:space="0"/>
                    <w:bottom w:val="single" w:color="000000" w:sz="10" w:space="0"/>
                  </w:tcBorders>
                  <w:shd w:val="clear" w:color="auto" w:fill="auto"/>
                  <w:vAlign w:val="center"/>
                </w:tcPr>
                <w:p w14:paraId="7D5A84C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泽原路（园区</w:t>
                  </w:r>
                </w:p>
                <w:p w14:paraId="02D6901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路）</w:t>
                  </w:r>
                </w:p>
              </w:tc>
              <w:tc>
                <w:tcPr>
                  <w:tcW w:w="585" w:type="pct"/>
                  <w:tcBorders>
                    <w:bottom w:val="single" w:color="000000" w:sz="10" w:space="0"/>
                  </w:tcBorders>
                  <w:shd w:val="clear" w:color="auto" w:fill="auto"/>
                  <w:vAlign w:val="center"/>
                </w:tcPr>
                <w:p w14:paraId="67B47FE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25</w:t>
                  </w:r>
                </w:p>
              </w:tc>
              <w:tc>
                <w:tcPr>
                  <w:tcW w:w="507" w:type="pct"/>
                  <w:tcBorders>
                    <w:bottom w:val="single" w:color="000000" w:sz="10" w:space="0"/>
                  </w:tcBorders>
                  <w:shd w:val="clear" w:color="auto" w:fill="auto"/>
                  <w:vAlign w:val="center"/>
                </w:tcPr>
                <w:p w14:paraId="244F221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154.26</w:t>
                  </w:r>
                </w:p>
              </w:tc>
              <w:tc>
                <w:tcPr>
                  <w:tcW w:w="1281" w:type="pct"/>
                  <w:tcBorders>
                    <w:bottom w:val="single" w:color="000000" w:sz="10" w:space="0"/>
                  </w:tcBorders>
                  <w:shd w:val="clear" w:color="auto" w:fill="auto"/>
                  <w:vAlign w:val="center"/>
                </w:tcPr>
                <w:p w14:paraId="2AF029E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7E48A225">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408B281E">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722FE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35F7F829">
                  <w:pPr>
                    <w:pStyle w:val="40"/>
                    <w:bidi w:val="0"/>
                    <w:jc w:val="center"/>
                    <w:rPr>
                      <w:rFonts w:hint="default" w:ascii="Times New Roman" w:hAnsi="Times New Roman" w:cs="Times New Roman"/>
                      <w:color w:val="0000FF"/>
                      <w:sz w:val="21"/>
                      <w:szCs w:val="21"/>
                    </w:rPr>
                  </w:pPr>
                </w:p>
              </w:tc>
              <w:tc>
                <w:tcPr>
                  <w:tcW w:w="368" w:type="pct"/>
                  <w:vMerge w:val="continue"/>
                  <w:vAlign w:val="center"/>
                </w:tcPr>
                <w:p w14:paraId="1D07D176">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7DA2FB7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220kv 高压线（杆高</w:t>
                  </w:r>
                </w:p>
                <w:p w14:paraId="35AF497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40m）</w:t>
                  </w:r>
                </w:p>
              </w:tc>
              <w:tc>
                <w:tcPr>
                  <w:tcW w:w="585" w:type="pct"/>
                  <w:tcBorders>
                    <w:bottom w:val="single" w:color="000000" w:sz="10" w:space="0"/>
                  </w:tcBorders>
                  <w:shd w:val="clear" w:color="auto" w:fill="auto"/>
                  <w:vAlign w:val="center"/>
                </w:tcPr>
                <w:p w14:paraId="6CE0AE0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60</w:t>
                  </w:r>
                </w:p>
                <w:p w14:paraId="36551A7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（1.5H）</w:t>
                  </w:r>
                </w:p>
              </w:tc>
              <w:tc>
                <w:tcPr>
                  <w:tcW w:w="507" w:type="pct"/>
                  <w:tcBorders>
                    <w:bottom w:val="single" w:color="000000" w:sz="10" w:space="0"/>
                  </w:tcBorders>
                  <w:shd w:val="clear" w:color="auto" w:fill="auto"/>
                  <w:vAlign w:val="center"/>
                </w:tcPr>
                <w:p w14:paraId="3EE6A4C3">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144.26</w:t>
                  </w:r>
                </w:p>
              </w:tc>
              <w:tc>
                <w:tcPr>
                  <w:tcW w:w="1281" w:type="pct"/>
                  <w:tcBorders>
                    <w:bottom w:val="single" w:color="000000" w:sz="10" w:space="0"/>
                  </w:tcBorders>
                  <w:shd w:val="clear" w:color="auto" w:fill="auto"/>
                  <w:vAlign w:val="center"/>
                </w:tcPr>
                <w:p w14:paraId="149F726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594C851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78524892">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16ED3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6480B3CA">
                  <w:pPr>
                    <w:pStyle w:val="40"/>
                    <w:bidi w:val="0"/>
                    <w:jc w:val="center"/>
                    <w:rPr>
                      <w:rFonts w:hint="default" w:ascii="Times New Roman" w:hAnsi="Times New Roman" w:cs="Times New Roman"/>
                      <w:color w:val="0000FF"/>
                      <w:sz w:val="21"/>
                      <w:szCs w:val="21"/>
                    </w:rPr>
                  </w:pPr>
                </w:p>
              </w:tc>
              <w:tc>
                <w:tcPr>
                  <w:tcW w:w="368" w:type="pct"/>
                  <w:vMerge w:val="continue"/>
                  <w:tcBorders>
                    <w:bottom w:val="single" w:color="000000" w:sz="10" w:space="0"/>
                  </w:tcBorders>
                  <w:vAlign w:val="center"/>
                </w:tcPr>
                <w:p w14:paraId="316AF5FF">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54763A3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110kv 变电站</w:t>
                  </w:r>
                </w:p>
              </w:tc>
              <w:tc>
                <w:tcPr>
                  <w:tcW w:w="585" w:type="pct"/>
                  <w:tcBorders>
                    <w:bottom w:val="single" w:color="000000" w:sz="10" w:space="0"/>
                  </w:tcBorders>
                  <w:shd w:val="clear" w:color="auto" w:fill="auto"/>
                  <w:vAlign w:val="center"/>
                </w:tcPr>
                <w:p w14:paraId="7896D59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80</w:t>
                  </w:r>
                </w:p>
              </w:tc>
              <w:tc>
                <w:tcPr>
                  <w:tcW w:w="507" w:type="pct"/>
                  <w:tcBorders>
                    <w:bottom w:val="single" w:color="000000" w:sz="10" w:space="0"/>
                  </w:tcBorders>
                  <w:shd w:val="clear" w:color="auto" w:fill="auto"/>
                  <w:vAlign w:val="center"/>
                </w:tcPr>
                <w:p w14:paraId="3F1DE54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107.48</w:t>
                  </w:r>
                </w:p>
              </w:tc>
              <w:tc>
                <w:tcPr>
                  <w:tcW w:w="1281" w:type="pct"/>
                  <w:tcBorders>
                    <w:bottom w:val="single" w:color="000000" w:sz="10" w:space="0"/>
                  </w:tcBorders>
                  <w:shd w:val="clear" w:color="auto" w:fill="auto"/>
                  <w:vAlign w:val="center"/>
                </w:tcPr>
                <w:p w14:paraId="2F6B95F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6CA0FBDA">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1E06F631">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1F0B6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7FD7BD08">
                  <w:pPr>
                    <w:pStyle w:val="40"/>
                    <w:bidi w:val="0"/>
                    <w:jc w:val="center"/>
                    <w:rPr>
                      <w:rFonts w:hint="default" w:ascii="Times New Roman" w:hAnsi="Times New Roman" w:cs="Times New Roman"/>
                      <w:color w:val="0000FF"/>
                      <w:sz w:val="21"/>
                      <w:szCs w:val="21"/>
                    </w:rPr>
                  </w:pPr>
                </w:p>
              </w:tc>
              <w:tc>
                <w:tcPr>
                  <w:tcW w:w="368" w:type="pct"/>
                  <w:tcBorders>
                    <w:top w:val="nil"/>
                    <w:bottom w:val="single" w:color="000000" w:sz="10" w:space="0"/>
                  </w:tcBorders>
                  <w:shd w:val="clear" w:color="auto" w:fill="auto"/>
                  <w:vAlign w:val="center"/>
                </w:tcPr>
                <w:p w14:paraId="2B14E26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东侧</w:t>
                  </w:r>
                </w:p>
              </w:tc>
              <w:tc>
                <w:tcPr>
                  <w:tcW w:w="1081" w:type="pct"/>
                  <w:tcBorders>
                    <w:bottom w:val="single" w:color="000000" w:sz="10" w:space="0"/>
                  </w:tcBorders>
                  <w:shd w:val="clear" w:color="auto" w:fill="auto"/>
                  <w:vAlign w:val="center"/>
                </w:tcPr>
                <w:p w14:paraId="62E08688">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正望新材料（非同类企业） 的围墙</w:t>
                  </w:r>
                </w:p>
              </w:tc>
              <w:tc>
                <w:tcPr>
                  <w:tcW w:w="585" w:type="pct"/>
                  <w:tcBorders>
                    <w:bottom w:val="single" w:color="000000" w:sz="10" w:space="0"/>
                  </w:tcBorders>
                  <w:shd w:val="clear" w:color="auto" w:fill="auto"/>
                  <w:vAlign w:val="center"/>
                </w:tcPr>
                <w:p w14:paraId="48F0725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120</w:t>
                  </w:r>
                </w:p>
              </w:tc>
              <w:tc>
                <w:tcPr>
                  <w:tcW w:w="507" w:type="pct"/>
                  <w:tcBorders>
                    <w:bottom w:val="single" w:color="000000" w:sz="10" w:space="0"/>
                  </w:tcBorders>
                  <w:shd w:val="clear" w:color="auto" w:fill="auto"/>
                  <w:vAlign w:val="center"/>
                </w:tcPr>
                <w:p w14:paraId="291CD0D5">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120.11</w:t>
                  </w:r>
                </w:p>
              </w:tc>
              <w:tc>
                <w:tcPr>
                  <w:tcW w:w="1281" w:type="pct"/>
                  <w:tcBorders>
                    <w:bottom w:val="single" w:color="000000" w:sz="10" w:space="0"/>
                  </w:tcBorders>
                  <w:shd w:val="clear" w:color="auto" w:fill="auto"/>
                  <w:vAlign w:val="center"/>
                </w:tcPr>
                <w:p w14:paraId="33DD39D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71873B8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7CCC21A6">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99A1E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1735E81C">
                  <w:pPr>
                    <w:pStyle w:val="40"/>
                    <w:bidi w:val="0"/>
                    <w:jc w:val="center"/>
                    <w:rPr>
                      <w:rFonts w:hint="default" w:ascii="Times New Roman" w:hAnsi="Times New Roman" w:cs="Times New Roman"/>
                      <w:color w:val="0000FF"/>
                      <w:sz w:val="21"/>
                      <w:szCs w:val="21"/>
                    </w:rPr>
                  </w:pPr>
                </w:p>
              </w:tc>
              <w:tc>
                <w:tcPr>
                  <w:tcW w:w="368" w:type="pct"/>
                  <w:tcBorders>
                    <w:top w:val="nil"/>
                    <w:bottom w:val="single" w:color="000000" w:sz="10" w:space="0"/>
                  </w:tcBorders>
                  <w:shd w:val="clear" w:color="auto" w:fill="auto"/>
                  <w:vAlign w:val="center"/>
                </w:tcPr>
                <w:p w14:paraId="010A0A0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西侧</w:t>
                  </w:r>
                </w:p>
              </w:tc>
              <w:tc>
                <w:tcPr>
                  <w:tcW w:w="1081" w:type="pct"/>
                  <w:tcBorders>
                    <w:bottom w:val="single" w:color="000000" w:sz="10" w:space="0"/>
                  </w:tcBorders>
                  <w:shd w:val="clear" w:color="auto" w:fill="auto"/>
                  <w:vAlign w:val="center"/>
                </w:tcPr>
                <w:p w14:paraId="15B852E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九昌路（园区道</w:t>
                  </w:r>
                </w:p>
                <w:p w14:paraId="2EABC18A">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路）</w:t>
                  </w:r>
                </w:p>
              </w:tc>
              <w:tc>
                <w:tcPr>
                  <w:tcW w:w="585" w:type="pct"/>
                  <w:tcBorders>
                    <w:bottom w:val="single" w:color="000000" w:sz="10" w:space="0"/>
                  </w:tcBorders>
                  <w:shd w:val="clear" w:color="auto" w:fill="auto"/>
                  <w:vAlign w:val="center"/>
                </w:tcPr>
                <w:p w14:paraId="162B3D75">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25</w:t>
                  </w:r>
                </w:p>
              </w:tc>
              <w:tc>
                <w:tcPr>
                  <w:tcW w:w="507" w:type="pct"/>
                  <w:tcBorders>
                    <w:bottom w:val="single" w:color="000000" w:sz="10" w:space="0"/>
                  </w:tcBorders>
                  <w:shd w:val="clear" w:color="auto" w:fill="auto"/>
                  <w:vAlign w:val="center"/>
                </w:tcPr>
                <w:p w14:paraId="193B98A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102.22</w:t>
                  </w:r>
                </w:p>
              </w:tc>
              <w:tc>
                <w:tcPr>
                  <w:tcW w:w="1281" w:type="pct"/>
                  <w:tcBorders>
                    <w:bottom w:val="single" w:color="000000" w:sz="10" w:space="0"/>
                  </w:tcBorders>
                  <w:shd w:val="clear" w:color="auto" w:fill="auto"/>
                  <w:vAlign w:val="center"/>
                </w:tcPr>
                <w:p w14:paraId="013831C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10611D2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35088BA1">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7C251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7E1E9328">
                  <w:pPr>
                    <w:pStyle w:val="40"/>
                    <w:bidi w:val="0"/>
                    <w:jc w:val="center"/>
                    <w:rPr>
                      <w:rFonts w:hint="default" w:ascii="Times New Roman" w:hAnsi="Times New Roman" w:cs="Times New Roman"/>
                      <w:color w:val="0000FF"/>
                      <w:sz w:val="21"/>
                      <w:szCs w:val="21"/>
                    </w:rPr>
                  </w:pPr>
                </w:p>
              </w:tc>
              <w:tc>
                <w:tcPr>
                  <w:tcW w:w="368" w:type="pct"/>
                  <w:vMerge w:val="restart"/>
                  <w:tcBorders>
                    <w:top w:val="nil"/>
                  </w:tcBorders>
                  <w:shd w:val="clear" w:color="auto" w:fill="auto"/>
                  <w:vAlign w:val="center"/>
                </w:tcPr>
                <w:p w14:paraId="0057F20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1081" w:type="pct"/>
                  <w:tcBorders>
                    <w:bottom w:val="single" w:color="000000" w:sz="10" w:space="0"/>
                  </w:tcBorders>
                  <w:shd w:val="clear" w:color="auto" w:fill="auto"/>
                  <w:vAlign w:val="center"/>
                </w:tcPr>
                <w:p w14:paraId="7659369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大连大特（同类企</w:t>
                  </w:r>
                </w:p>
                <w:p w14:paraId="3080C75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业）消防泵房（戊</w:t>
                  </w:r>
                </w:p>
                <w:p w14:paraId="240CD6B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类、二级）</w:t>
                  </w:r>
                </w:p>
              </w:tc>
              <w:tc>
                <w:tcPr>
                  <w:tcW w:w="585" w:type="pct"/>
                  <w:tcBorders>
                    <w:bottom w:val="single" w:color="000000" w:sz="10" w:space="0"/>
                  </w:tcBorders>
                  <w:shd w:val="clear" w:color="auto" w:fill="auto"/>
                  <w:vAlign w:val="center"/>
                </w:tcPr>
                <w:p w14:paraId="5631A8F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90</w:t>
                  </w:r>
                </w:p>
              </w:tc>
              <w:tc>
                <w:tcPr>
                  <w:tcW w:w="507" w:type="pct"/>
                  <w:tcBorders>
                    <w:bottom w:val="single" w:color="000000" w:sz="10" w:space="0"/>
                  </w:tcBorders>
                  <w:shd w:val="clear" w:color="auto" w:fill="auto"/>
                  <w:vAlign w:val="center"/>
                </w:tcPr>
                <w:p w14:paraId="744C61B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90.38</w:t>
                  </w:r>
                </w:p>
              </w:tc>
              <w:tc>
                <w:tcPr>
                  <w:tcW w:w="1281" w:type="pct"/>
                  <w:tcBorders>
                    <w:bottom w:val="single" w:color="000000" w:sz="10" w:space="0"/>
                  </w:tcBorders>
                  <w:shd w:val="clear" w:color="auto" w:fill="auto"/>
                  <w:vAlign w:val="center"/>
                </w:tcPr>
                <w:p w14:paraId="0ACA0FE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416B67C3">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4.1.10</w:t>
                  </w:r>
                </w:p>
              </w:tc>
              <w:tc>
                <w:tcPr>
                  <w:tcW w:w="427" w:type="pct"/>
                  <w:tcBorders>
                    <w:bottom w:val="single" w:color="000000" w:sz="10" w:space="0"/>
                    <w:right w:val="single" w:color="000000" w:sz="10" w:space="0"/>
                  </w:tcBorders>
                  <w:vAlign w:val="center"/>
                </w:tcPr>
                <w:p w14:paraId="5BF5DDE2">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3447D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166EF752">
                  <w:pPr>
                    <w:pStyle w:val="40"/>
                    <w:bidi w:val="0"/>
                    <w:jc w:val="center"/>
                    <w:rPr>
                      <w:rFonts w:hint="default" w:ascii="Times New Roman" w:hAnsi="Times New Roman" w:cs="Times New Roman"/>
                      <w:color w:val="0000FF"/>
                      <w:sz w:val="21"/>
                      <w:szCs w:val="21"/>
                    </w:rPr>
                  </w:pPr>
                </w:p>
              </w:tc>
              <w:tc>
                <w:tcPr>
                  <w:tcW w:w="368" w:type="pct"/>
                  <w:vMerge w:val="continue"/>
                  <w:tcBorders>
                    <w:bottom w:val="single" w:color="000000" w:sz="10" w:space="0"/>
                  </w:tcBorders>
                  <w:vAlign w:val="center"/>
                </w:tcPr>
                <w:p w14:paraId="056D3329">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19E2FF8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大连大特（同类企</w:t>
                  </w:r>
                </w:p>
                <w:p w14:paraId="4837A02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业）办公楼（民用、</w:t>
                  </w:r>
                </w:p>
                <w:p w14:paraId="3114992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二级）</w:t>
                  </w:r>
                </w:p>
              </w:tc>
              <w:tc>
                <w:tcPr>
                  <w:tcW w:w="585" w:type="pct"/>
                  <w:tcBorders>
                    <w:bottom w:val="single" w:color="000000" w:sz="10" w:space="0"/>
                  </w:tcBorders>
                  <w:shd w:val="clear" w:color="auto" w:fill="auto"/>
                  <w:vAlign w:val="center"/>
                </w:tcPr>
                <w:p w14:paraId="00BE1DF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90</w:t>
                  </w:r>
                </w:p>
              </w:tc>
              <w:tc>
                <w:tcPr>
                  <w:tcW w:w="507" w:type="pct"/>
                  <w:tcBorders>
                    <w:bottom w:val="single" w:color="000000" w:sz="10" w:space="0"/>
                  </w:tcBorders>
                  <w:shd w:val="clear" w:color="auto" w:fill="auto"/>
                  <w:vAlign w:val="center"/>
                </w:tcPr>
                <w:p w14:paraId="2F11A36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99.73</w:t>
                  </w:r>
                </w:p>
              </w:tc>
              <w:tc>
                <w:tcPr>
                  <w:tcW w:w="1281" w:type="pct"/>
                  <w:tcBorders>
                    <w:bottom w:val="single" w:color="000000" w:sz="10" w:space="0"/>
                  </w:tcBorders>
                  <w:shd w:val="clear" w:color="auto" w:fill="auto"/>
                  <w:vAlign w:val="center"/>
                </w:tcPr>
                <w:p w14:paraId="0667A7C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1422679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4.1.10</w:t>
                  </w:r>
                </w:p>
              </w:tc>
              <w:tc>
                <w:tcPr>
                  <w:tcW w:w="427" w:type="pct"/>
                  <w:tcBorders>
                    <w:bottom w:val="single" w:color="000000" w:sz="10" w:space="0"/>
                    <w:right w:val="single" w:color="000000" w:sz="10" w:space="0"/>
                  </w:tcBorders>
                  <w:vAlign w:val="center"/>
                </w:tcPr>
                <w:p w14:paraId="74D795C5">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76B5A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restart"/>
                  <w:tcBorders>
                    <w:left w:val="single" w:color="000000" w:sz="10" w:space="0"/>
                  </w:tcBorders>
                  <w:shd w:val="clear" w:color="auto" w:fill="auto"/>
                  <w:vAlign w:val="center"/>
                </w:tcPr>
                <w:p w14:paraId="5459408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丙烷灌瓶间</w:t>
                  </w:r>
                </w:p>
                <w:p w14:paraId="450518B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 甲类、二</w:t>
                  </w:r>
                </w:p>
                <w:p w14:paraId="337BB713">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级）</w:t>
                  </w:r>
                </w:p>
              </w:tc>
              <w:tc>
                <w:tcPr>
                  <w:tcW w:w="368" w:type="pct"/>
                  <w:vMerge w:val="restart"/>
                  <w:tcBorders>
                    <w:top w:val="nil"/>
                  </w:tcBorders>
                  <w:shd w:val="clear" w:color="auto" w:fill="auto"/>
                  <w:vAlign w:val="center"/>
                </w:tcPr>
                <w:p w14:paraId="43FA2A68">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1081" w:type="pct"/>
                  <w:tcBorders>
                    <w:bottom w:val="single" w:color="000000" w:sz="10" w:space="0"/>
                  </w:tcBorders>
                  <w:shd w:val="clear" w:color="auto" w:fill="auto"/>
                  <w:vAlign w:val="center"/>
                </w:tcPr>
                <w:p w14:paraId="209D54E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泽原路（园区路）</w:t>
                  </w:r>
                </w:p>
              </w:tc>
              <w:tc>
                <w:tcPr>
                  <w:tcW w:w="585" w:type="pct"/>
                  <w:tcBorders>
                    <w:bottom w:val="single" w:color="000000" w:sz="10" w:space="0"/>
                  </w:tcBorders>
                  <w:shd w:val="clear" w:color="auto" w:fill="auto"/>
                  <w:vAlign w:val="center"/>
                </w:tcPr>
                <w:p w14:paraId="1D2961B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w:t>
                  </w:r>
                </w:p>
              </w:tc>
              <w:tc>
                <w:tcPr>
                  <w:tcW w:w="507" w:type="pct"/>
                  <w:tcBorders>
                    <w:bottom w:val="single" w:color="000000" w:sz="10" w:space="0"/>
                  </w:tcBorders>
                  <w:shd w:val="clear" w:color="auto" w:fill="auto"/>
                  <w:vAlign w:val="center"/>
                </w:tcPr>
                <w:p w14:paraId="7A84F057">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170.09</w:t>
                  </w:r>
                </w:p>
              </w:tc>
              <w:tc>
                <w:tcPr>
                  <w:tcW w:w="1281" w:type="pct"/>
                  <w:tcBorders>
                    <w:bottom w:val="single" w:color="000000" w:sz="10" w:space="0"/>
                  </w:tcBorders>
                  <w:shd w:val="clear" w:color="auto" w:fill="auto"/>
                  <w:vAlign w:val="center"/>
                </w:tcPr>
                <w:p w14:paraId="32134F9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027835F5">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1DC8B7F7">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A9CA0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0001F167">
                  <w:pPr>
                    <w:pStyle w:val="40"/>
                    <w:bidi w:val="0"/>
                    <w:jc w:val="center"/>
                    <w:rPr>
                      <w:rFonts w:hint="default" w:ascii="Times New Roman" w:hAnsi="Times New Roman" w:cs="Times New Roman"/>
                      <w:color w:val="0000FF"/>
                      <w:sz w:val="21"/>
                      <w:szCs w:val="21"/>
                    </w:rPr>
                  </w:pPr>
                </w:p>
              </w:tc>
              <w:tc>
                <w:tcPr>
                  <w:tcW w:w="368" w:type="pct"/>
                  <w:vMerge w:val="continue"/>
                  <w:vAlign w:val="center"/>
                </w:tcPr>
                <w:p w14:paraId="293631C9">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5DCBDA8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220kv 高压线（杆高</w:t>
                  </w:r>
                </w:p>
                <w:p w14:paraId="66783BD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40m）</w:t>
                  </w:r>
                </w:p>
              </w:tc>
              <w:tc>
                <w:tcPr>
                  <w:tcW w:w="585" w:type="pct"/>
                  <w:tcBorders>
                    <w:bottom w:val="single" w:color="000000" w:sz="10" w:space="0"/>
                  </w:tcBorders>
                  <w:shd w:val="clear" w:color="auto" w:fill="auto"/>
                  <w:vAlign w:val="center"/>
                </w:tcPr>
                <w:p w14:paraId="200463B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60</w:t>
                  </w:r>
                </w:p>
                <w:p w14:paraId="161F7F7A">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（1.5H）</w:t>
                  </w:r>
                </w:p>
              </w:tc>
              <w:tc>
                <w:tcPr>
                  <w:tcW w:w="507" w:type="pct"/>
                  <w:tcBorders>
                    <w:bottom w:val="single" w:color="000000" w:sz="10" w:space="0"/>
                  </w:tcBorders>
                  <w:shd w:val="clear" w:color="auto" w:fill="auto"/>
                  <w:vAlign w:val="center"/>
                </w:tcPr>
                <w:p w14:paraId="6031DF67">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160.09</w:t>
                  </w:r>
                </w:p>
              </w:tc>
              <w:tc>
                <w:tcPr>
                  <w:tcW w:w="1281" w:type="pct"/>
                  <w:tcBorders>
                    <w:bottom w:val="single" w:color="000000" w:sz="10" w:space="0"/>
                  </w:tcBorders>
                  <w:shd w:val="clear" w:color="auto" w:fill="auto"/>
                  <w:vAlign w:val="center"/>
                </w:tcPr>
                <w:p w14:paraId="171DD00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52B135B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0BA2D713">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05D1E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46C0DE36">
                  <w:pPr>
                    <w:pStyle w:val="40"/>
                    <w:bidi w:val="0"/>
                    <w:jc w:val="center"/>
                    <w:rPr>
                      <w:rFonts w:hint="default" w:ascii="Times New Roman" w:hAnsi="Times New Roman" w:cs="Times New Roman"/>
                      <w:color w:val="0000FF"/>
                      <w:sz w:val="21"/>
                      <w:szCs w:val="21"/>
                    </w:rPr>
                  </w:pPr>
                </w:p>
              </w:tc>
              <w:tc>
                <w:tcPr>
                  <w:tcW w:w="368" w:type="pct"/>
                  <w:vMerge w:val="continue"/>
                  <w:tcBorders>
                    <w:bottom w:val="single" w:color="000000" w:sz="10" w:space="0"/>
                  </w:tcBorders>
                  <w:vAlign w:val="center"/>
                </w:tcPr>
                <w:p w14:paraId="46270A38">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57C8082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110kv 变电站</w:t>
                  </w:r>
                </w:p>
              </w:tc>
              <w:tc>
                <w:tcPr>
                  <w:tcW w:w="585" w:type="pct"/>
                  <w:tcBorders>
                    <w:bottom w:val="single" w:color="000000" w:sz="10" w:space="0"/>
                  </w:tcBorders>
                  <w:shd w:val="clear" w:color="auto" w:fill="auto"/>
                  <w:vAlign w:val="center"/>
                </w:tcPr>
                <w:p w14:paraId="3B94519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40</w:t>
                  </w:r>
                </w:p>
              </w:tc>
              <w:tc>
                <w:tcPr>
                  <w:tcW w:w="507" w:type="pct"/>
                  <w:tcBorders>
                    <w:bottom w:val="single" w:color="000000" w:sz="10" w:space="0"/>
                  </w:tcBorders>
                  <w:shd w:val="clear" w:color="auto" w:fill="auto"/>
                  <w:vAlign w:val="center"/>
                </w:tcPr>
                <w:p w14:paraId="08CDF93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95.08</w:t>
                  </w:r>
                </w:p>
              </w:tc>
              <w:tc>
                <w:tcPr>
                  <w:tcW w:w="1281" w:type="pct"/>
                  <w:tcBorders>
                    <w:bottom w:val="single" w:color="000000" w:sz="10" w:space="0"/>
                  </w:tcBorders>
                  <w:shd w:val="clear" w:color="auto" w:fill="auto"/>
                  <w:vAlign w:val="center"/>
                </w:tcPr>
                <w:p w14:paraId="2B328C5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0ABF684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6ABF8EB8">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890F3F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47A55B8A">
                  <w:pPr>
                    <w:pStyle w:val="40"/>
                    <w:bidi w:val="0"/>
                    <w:jc w:val="center"/>
                    <w:rPr>
                      <w:rFonts w:hint="default" w:ascii="Times New Roman" w:hAnsi="Times New Roman" w:cs="Times New Roman"/>
                      <w:color w:val="0000FF"/>
                      <w:sz w:val="21"/>
                      <w:szCs w:val="21"/>
                    </w:rPr>
                  </w:pPr>
                </w:p>
              </w:tc>
              <w:tc>
                <w:tcPr>
                  <w:tcW w:w="368" w:type="pct"/>
                  <w:tcBorders>
                    <w:top w:val="nil"/>
                    <w:bottom w:val="single" w:color="000000" w:sz="10" w:space="0"/>
                  </w:tcBorders>
                  <w:shd w:val="clear" w:color="auto" w:fill="auto"/>
                  <w:vAlign w:val="center"/>
                </w:tcPr>
                <w:p w14:paraId="5BAECE4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东侧</w:t>
                  </w:r>
                </w:p>
              </w:tc>
              <w:tc>
                <w:tcPr>
                  <w:tcW w:w="1081" w:type="pct"/>
                  <w:tcBorders>
                    <w:bottom w:val="single" w:color="000000" w:sz="10" w:space="0"/>
                  </w:tcBorders>
                  <w:shd w:val="clear" w:color="auto" w:fill="auto"/>
                  <w:vAlign w:val="center"/>
                </w:tcPr>
                <w:p w14:paraId="5F4B86A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正望新材料（非同类企业） 的围墙</w:t>
                  </w:r>
                </w:p>
              </w:tc>
              <w:tc>
                <w:tcPr>
                  <w:tcW w:w="585" w:type="pct"/>
                  <w:tcBorders>
                    <w:bottom w:val="single" w:color="000000" w:sz="10" w:space="0"/>
                  </w:tcBorders>
                  <w:shd w:val="clear" w:color="auto" w:fill="auto"/>
                  <w:vAlign w:val="center"/>
                </w:tcPr>
                <w:p w14:paraId="1F514E1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w:t>
                  </w:r>
                </w:p>
              </w:tc>
              <w:tc>
                <w:tcPr>
                  <w:tcW w:w="507" w:type="pct"/>
                  <w:tcBorders>
                    <w:bottom w:val="single" w:color="000000" w:sz="10" w:space="0"/>
                  </w:tcBorders>
                  <w:shd w:val="clear" w:color="auto" w:fill="auto"/>
                  <w:vAlign w:val="center"/>
                </w:tcPr>
                <w:p w14:paraId="61778DBA">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76.23</w:t>
                  </w:r>
                </w:p>
              </w:tc>
              <w:tc>
                <w:tcPr>
                  <w:tcW w:w="1281" w:type="pct"/>
                  <w:tcBorders>
                    <w:bottom w:val="single" w:color="000000" w:sz="10" w:space="0"/>
                  </w:tcBorders>
                  <w:shd w:val="clear" w:color="auto" w:fill="auto"/>
                  <w:vAlign w:val="center"/>
                </w:tcPr>
                <w:p w14:paraId="2009786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0579FA9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3FE9FB20">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A398B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7D08678D">
                  <w:pPr>
                    <w:pStyle w:val="40"/>
                    <w:bidi w:val="0"/>
                    <w:jc w:val="center"/>
                    <w:rPr>
                      <w:rFonts w:hint="default" w:ascii="Times New Roman" w:hAnsi="Times New Roman" w:cs="Times New Roman"/>
                      <w:color w:val="0000FF"/>
                      <w:sz w:val="21"/>
                      <w:szCs w:val="21"/>
                    </w:rPr>
                  </w:pPr>
                </w:p>
              </w:tc>
              <w:tc>
                <w:tcPr>
                  <w:tcW w:w="368" w:type="pct"/>
                  <w:tcBorders>
                    <w:top w:val="nil"/>
                    <w:bottom w:val="single" w:color="000000" w:sz="10" w:space="0"/>
                  </w:tcBorders>
                  <w:shd w:val="clear" w:color="auto" w:fill="auto"/>
                  <w:vAlign w:val="center"/>
                </w:tcPr>
                <w:p w14:paraId="20B60B0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西侧</w:t>
                  </w:r>
                </w:p>
              </w:tc>
              <w:tc>
                <w:tcPr>
                  <w:tcW w:w="1081" w:type="pct"/>
                  <w:tcBorders>
                    <w:bottom w:val="single" w:color="000000" w:sz="10" w:space="0"/>
                  </w:tcBorders>
                  <w:shd w:val="clear" w:color="auto" w:fill="auto"/>
                  <w:vAlign w:val="center"/>
                </w:tcPr>
                <w:p w14:paraId="398E4EE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九昌路（园区道</w:t>
                  </w:r>
                </w:p>
                <w:p w14:paraId="4D179F9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路）</w:t>
                  </w:r>
                </w:p>
              </w:tc>
              <w:tc>
                <w:tcPr>
                  <w:tcW w:w="585" w:type="pct"/>
                  <w:tcBorders>
                    <w:bottom w:val="single" w:color="000000" w:sz="10" w:space="0"/>
                  </w:tcBorders>
                  <w:shd w:val="clear" w:color="auto" w:fill="auto"/>
                  <w:vAlign w:val="center"/>
                </w:tcPr>
                <w:p w14:paraId="0415E48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w:t>
                  </w:r>
                </w:p>
              </w:tc>
              <w:tc>
                <w:tcPr>
                  <w:tcW w:w="507" w:type="pct"/>
                  <w:tcBorders>
                    <w:bottom w:val="single" w:color="000000" w:sz="10" w:space="0"/>
                  </w:tcBorders>
                  <w:shd w:val="clear" w:color="auto" w:fill="auto"/>
                  <w:vAlign w:val="center"/>
                </w:tcPr>
                <w:p w14:paraId="13E6304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135.2</w:t>
                  </w:r>
                </w:p>
              </w:tc>
              <w:tc>
                <w:tcPr>
                  <w:tcW w:w="1281" w:type="pct"/>
                  <w:tcBorders>
                    <w:bottom w:val="single" w:color="000000" w:sz="10" w:space="0"/>
                  </w:tcBorders>
                  <w:shd w:val="clear" w:color="auto" w:fill="auto"/>
                  <w:vAlign w:val="center"/>
                </w:tcPr>
                <w:p w14:paraId="762132E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15B0C54A">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4.1.9</w:t>
                  </w:r>
                </w:p>
              </w:tc>
              <w:tc>
                <w:tcPr>
                  <w:tcW w:w="427" w:type="pct"/>
                  <w:tcBorders>
                    <w:bottom w:val="single" w:color="000000" w:sz="10" w:space="0"/>
                    <w:right w:val="single" w:color="000000" w:sz="10" w:space="0"/>
                  </w:tcBorders>
                  <w:vAlign w:val="center"/>
                </w:tcPr>
                <w:p w14:paraId="0845DDD1">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39A5B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0749FB63">
                  <w:pPr>
                    <w:pStyle w:val="40"/>
                    <w:bidi w:val="0"/>
                    <w:jc w:val="center"/>
                    <w:rPr>
                      <w:rFonts w:hint="default" w:ascii="Times New Roman" w:hAnsi="Times New Roman" w:cs="Times New Roman"/>
                      <w:color w:val="0000FF"/>
                      <w:sz w:val="21"/>
                      <w:szCs w:val="21"/>
                    </w:rPr>
                  </w:pPr>
                </w:p>
              </w:tc>
              <w:tc>
                <w:tcPr>
                  <w:tcW w:w="368" w:type="pct"/>
                  <w:vMerge w:val="restart"/>
                  <w:tcBorders>
                    <w:top w:val="nil"/>
                  </w:tcBorders>
                  <w:shd w:val="clear" w:color="auto" w:fill="auto"/>
                  <w:vAlign w:val="center"/>
                </w:tcPr>
                <w:p w14:paraId="6525AE8A">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1081" w:type="pct"/>
                  <w:tcBorders>
                    <w:bottom w:val="single" w:color="000000" w:sz="10" w:space="0"/>
                  </w:tcBorders>
                  <w:shd w:val="clear" w:color="auto" w:fill="auto"/>
                  <w:vAlign w:val="center"/>
                </w:tcPr>
                <w:p w14:paraId="02BBDD1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大连大特（同类企</w:t>
                  </w:r>
                </w:p>
                <w:p w14:paraId="63A9A99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业）消防泵房（戊</w:t>
                  </w:r>
                </w:p>
                <w:p w14:paraId="7452FA35">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类、二级）</w:t>
                  </w:r>
                </w:p>
              </w:tc>
              <w:tc>
                <w:tcPr>
                  <w:tcW w:w="585" w:type="pct"/>
                  <w:tcBorders>
                    <w:bottom w:val="single" w:color="000000" w:sz="10" w:space="0"/>
                  </w:tcBorders>
                  <w:shd w:val="clear" w:color="auto" w:fill="auto"/>
                  <w:vAlign w:val="center"/>
                </w:tcPr>
                <w:p w14:paraId="4D6D54E1">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40</w:t>
                  </w:r>
                </w:p>
              </w:tc>
              <w:tc>
                <w:tcPr>
                  <w:tcW w:w="507" w:type="pct"/>
                  <w:tcBorders>
                    <w:bottom w:val="single" w:color="000000" w:sz="10" w:space="0"/>
                  </w:tcBorders>
                  <w:shd w:val="clear" w:color="auto" w:fill="auto"/>
                  <w:vAlign w:val="center"/>
                </w:tcPr>
                <w:p w14:paraId="6AECBF6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92.65</w:t>
                  </w:r>
                </w:p>
              </w:tc>
              <w:tc>
                <w:tcPr>
                  <w:tcW w:w="1281" w:type="pct"/>
                  <w:tcBorders>
                    <w:bottom w:val="single" w:color="000000" w:sz="10" w:space="0"/>
                  </w:tcBorders>
                  <w:shd w:val="clear" w:color="auto" w:fill="auto"/>
                  <w:vAlign w:val="center"/>
                </w:tcPr>
                <w:p w14:paraId="1BDF433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65F5E6E1">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4.1.10</w:t>
                  </w:r>
                </w:p>
              </w:tc>
              <w:tc>
                <w:tcPr>
                  <w:tcW w:w="427" w:type="pct"/>
                  <w:tcBorders>
                    <w:bottom w:val="single" w:color="000000" w:sz="10" w:space="0"/>
                    <w:right w:val="single" w:color="000000" w:sz="10" w:space="0"/>
                  </w:tcBorders>
                  <w:vAlign w:val="center"/>
                </w:tcPr>
                <w:p w14:paraId="04A43E62">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8C954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093AFA91">
                  <w:pPr>
                    <w:pStyle w:val="40"/>
                    <w:bidi w:val="0"/>
                    <w:jc w:val="center"/>
                    <w:rPr>
                      <w:rFonts w:hint="default" w:ascii="Times New Roman" w:hAnsi="Times New Roman" w:cs="Times New Roman"/>
                      <w:color w:val="0000FF"/>
                      <w:sz w:val="21"/>
                      <w:szCs w:val="21"/>
                    </w:rPr>
                  </w:pPr>
                </w:p>
              </w:tc>
              <w:tc>
                <w:tcPr>
                  <w:tcW w:w="368" w:type="pct"/>
                  <w:vMerge w:val="continue"/>
                  <w:vAlign w:val="center"/>
                </w:tcPr>
                <w:p w14:paraId="6614EF23">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55DD02A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大连大特（同类企</w:t>
                  </w:r>
                </w:p>
                <w:p w14:paraId="165C7CB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业）办公楼（民用、</w:t>
                  </w:r>
                </w:p>
                <w:p w14:paraId="499B152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二级）</w:t>
                  </w:r>
                </w:p>
              </w:tc>
              <w:tc>
                <w:tcPr>
                  <w:tcW w:w="585" w:type="pct"/>
                  <w:tcBorders>
                    <w:bottom w:val="single" w:color="000000" w:sz="10" w:space="0"/>
                  </w:tcBorders>
                  <w:shd w:val="clear" w:color="auto" w:fill="auto"/>
                  <w:vAlign w:val="center"/>
                </w:tcPr>
                <w:p w14:paraId="00B34ED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40</w:t>
                  </w:r>
                </w:p>
              </w:tc>
              <w:tc>
                <w:tcPr>
                  <w:tcW w:w="507" w:type="pct"/>
                  <w:tcBorders>
                    <w:bottom w:val="single" w:color="000000" w:sz="10" w:space="0"/>
                  </w:tcBorders>
                  <w:shd w:val="clear" w:color="auto" w:fill="auto"/>
                  <w:vAlign w:val="center"/>
                </w:tcPr>
                <w:p w14:paraId="5140087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109.11</w:t>
                  </w:r>
                </w:p>
              </w:tc>
              <w:tc>
                <w:tcPr>
                  <w:tcW w:w="1281" w:type="pct"/>
                  <w:tcBorders>
                    <w:bottom w:val="single" w:color="000000" w:sz="10" w:space="0"/>
                  </w:tcBorders>
                  <w:shd w:val="clear" w:color="auto" w:fill="auto"/>
                  <w:vAlign w:val="center"/>
                </w:tcPr>
                <w:p w14:paraId="1F3090F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32511B2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4.1.10</w:t>
                  </w:r>
                </w:p>
              </w:tc>
              <w:tc>
                <w:tcPr>
                  <w:tcW w:w="427" w:type="pct"/>
                  <w:tcBorders>
                    <w:bottom w:val="single" w:color="000000" w:sz="10" w:space="0"/>
                    <w:right w:val="single" w:color="000000" w:sz="10" w:space="0"/>
                  </w:tcBorders>
                  <w:vAlign w:val="center"/>
                </w:tcPr>
                <w:p w14:paraId="2D6B38B1">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2E838B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5F2F707E">
                  <w:pPr>
                    <w:pStyle w:val="40"/>
                    <w:bidi w:val="0"/>
                    <w:jc w:val="center"/>
                    <w:rPr>
                      <w:rFonts w:hint="default" w:ascii="Times New Roman" w:hAnsi="Times New Roman" w:cs="Times New Roman"/>
                      <w:color w:val="0000FF"/>
                      <w:sz w:val="21"/>
                      <w:szCs w:val="21"/>
                    </w:rPr>
                  </w:pPr>
                </w:p>
              </w:tc>
              <w:tc>
                <w:tcPr>
                  <w:tcW w:w="368" w:type="pct"/>
                  <w:vMerge w:val="continue"/>
                  <w:tcBorders>
                    <w:bottom w:val="single" w:color="000000" w:sz="10" w:space="0"/>
                  </w:tcBorders>
                  <w:vAlign w:val="center"/>
                </w:tcPr>
                <w:p w14:paraId="444FEB6D">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1027BFB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大连大特 2#仓库（ 甲类、二级</w:t>
                  </w:r>
                </w:p>
              </w:tc>
              <w:tc>
                <w:tcPr>
                  <w:tcW w:w="585" w:type="pct"/>
                  <w:tcBorders>
                    <w:bottom w:val="single" w:color="000000" w:sz="10" w:space="0"/>
                  </w:tcBorders>
                  <w:shd w:val="clear" w:color="auto" w:fill="auto"/>
                  <w:vAlign w:val="center"/>
                </w:tcPr>
                <w:p w14:paraId="08C2CAC0">
                  <w:pPr>
                    <w:pStyle w:val="40"/>
                    <w:bidi w:val="0"/>
                    <w:jc w:val="center"/>
                    <w:rPr>
                      <w:rFonts w:hint="default" w:ascii="Times New Roman" w:hAnsi="Times New Roman" w:cs="Times New Roman"/>
                      <w:color w:val="0000FF"/>
                      <w:sz w:val="21"/>
                      <w:szCs w:val="21"/>
                    </w:rPr>
                  </w:pPr>
                </w:p>
                <w:p w14:paraId="014F7E0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40</w:t>
                  </w:r>
                </w:p>
              </w:tc>
              <w:tc>
                <w:tcPr>
                  <w:tcW w:w="507" w:type="pct"/>
                  <w:tcBorders>
                    <w:bottom w:val="single" w:color="000000" w:sz="10" w:space="0"/>
                  </w:tcBorders>
                  <w:shd w:val="clear" w:color="auto" w:fill="auto"/>
                  <w:vAlign w:val="center"/>
                </w:tcPr>
                <w:p w14:paraId="3C96245B">
                  <w:pPr>
                    <w:pStyle w:val="40"/>
                    <w:bidi w:val="0"/>
                    <w:jc w:val="center"/>
                    <w:rPr>
                      <w:rFonts w:hint="default" w:ascii="Times New Roman" w:hAnsi="Times New Roman" w:cs="Times New Roman"/>
                      <w:color w:val="0000FF"/>
                      <w:sz w:val="21"/>
                      <w:szCs w:val="21"/>
                    </w:rPr>
                  </w:pPr>
                </w:p>
                <w:p w14:paraId="321E266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82.39</w:t>
                  </w:r>
                </w:p>
              </w:tc>
              <w:tc>
                <w:tcPr>
                  <w:tcW w:w="1281" w:type="pct"/>
                  <w:tcBorders>
                    <w:bottom w:val="single" w:color="000000" w:sz="10" w:space="0"/>
                  </w:tcBorders>
                  <w:shd w:val="clear" w:color="auto" w:fill="auto"/>
                  <w:vAlign w:val="center"/>
                </w:tcPr>
                <w:p w14:paraId="771E2DF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63818AF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（2018 年版）表 4.1.10</w:t>
                  </w:r>
                </w:p>
              </w:tc>
              <w:tc>
                <w:tcPr>
                  <w:tcW w:w="427" w:type="pct"/>
                  <w:tcBorders>
                    <w:bottom w:val="single" w:color="000000" w:sz="10" w:space="0"/>
                    <w:right w:val="single" w:color="000000" w:sz="10" w:space="0"/>
                  </w:tcBorders>
                  <w:vAlign w:val="center"/>
                </w:tcPr>
                <w:p w14:paraId="2DCBCF98">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44FC1E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restart"/>
                  <w:tcBorders>
                    <w:left w:val="single" w:color="000000" w:sz="10" w:space="0"/>
                  </w:tcBorders>
                  <w:shd w:val="clear" w:color="auto" w:fill="auto"/>
                  <w:vAlign w:val="center"/>
                </w:tcPr>
                <w:p w14:paraId="23566A7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气体灌瓶间</w:t>
                  </w:r>
                </w:p>
                <w:p w14:paraId="4255029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（乙类，二</w:t>
                  </w:r>
                </w:p>
                <w:p w14:paraId="2FBBA14A">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级）</w:t>
                  </w:r>
                </w:p>
              </w:tc>
              <w:tc>
                <w:tcPr>
                  <w:tcW w:w="368" w:type="pct"/>
                  <w:tcBorders>
                    <w:top w:val="nil"/>
                    <w:bottom w:val="single" w:color="000000" w:sz="10" w:space="0"/>
                  </w:tcBorders>
                  <w:shd w:val="clear" w:color="auto" w:fill="auto"/>
                  <w:vAlign w:val="center"/>
                </w:tcPr>
                <w:p w14:paraId="0455174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w:t>
                  </w:r>
                </w:p>
              </w:tc>
              <w:tc>
                <w:tcPr>
                  <w:tcW w:w="1081" w:type="pct"/>
                  <w:tcBorders>
                    <w:bottom w:val="single" w:color="000000" w:sz="10" w:space="0"/>
                  </w:tcBorders>
                  <w:shd w:val="clear" w:color="auto" w:fill="auto"/>
                  <w:vAlign w:val="center"/>
                </w:tcPr>
                <w:p w14:paraId="7CD11C5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九昌路（园区路）</w:t>
                  </w:r>
                </w:p>
              </w:tc>
              <w:tc>
                <w:tcPr>
                  <w:tcW w:w="585" w:type="pct"/>
                  <w:tcBorders>
                    <w:bottom w:val="single" w:color="000000" w:sz="10" w:space="0"/>
                  </w:tcBorders>
                  <w:shd w:val="clear" w:color="auto" w:fill="auto"/>
                  <w:vAlign w:val="center"/>
                </w:tcPr>
                <w:p w14:paraId="70B24C5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w:t>
                  </w:r>
                </w:p>
              </w:tc>
              <w:tc>
                <w:tcPr>
                  <w:tcW w:w="507" w:type="pct"/>
                  <w:tcBorders>
                    <w:bottom w:val="single" w:color="000000" w:sz="10" w:space="0"/>
                  </w:tcBorders>
                  <w:shd w:val="clear" w:color="auto" w:fill="auto"/>
                  <w:vAlign w:val="center"/>
                </w:tcPr>
                <w:p w14:paraId="25990F5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188.3</w:t>
                  </w:r>
                </w:p>
              </w:tc>
              <w:tc>
                <w:tcPr>
                  <w:tcW w:w="1281" w:type="pct"/>
                  <w:tcBorders>
                    <w:bottom w:val="single" w:color="000000" w:sz="10" w:space="0"/>
                  </w:tcBorders>
                  <w:shd w:val="clear" w:color="auto" w:fill="auto"/>
                  <w:vAlign w:val="center"/>
                </w:tcPr>
                <w:p w14:paraId="42FA486A">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3B1FEA4F">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70AD4B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7EFF2A63">
                  <w:pPr>
                    <w:pStyle w:val="40"/>
                    <w:bidi w:val="0"/>
                    <w:jc w:val="center"/>
                    <w:rPr>
                      <w:rFonts w:hint="default" w:ascii="Times New Roman" w:hAnsi="Times New Roman" w:cs="Times New Roman"/>
                      <w:color w:val="0000FF"/>
                      <w:sz w:val="21"/>
                      <w:szCs w:val="21"/>
                    </w:rPr>
                  </w:pPr>
                </w:p>
              </w:tc>
              <w:tc>
                <w:tcPr>
                  <w:tcW w:w="368" w:type="pct"/>
                  <w:vMerge w:val="restart"/>
                  <w:tcBorders>
                    <w:top w:val="nil"/>
                  </w:tcBorders>
                  <w:shd w:val="clear" w:color="auto" w:fill="auto"/>
                  <w:vAlign w:val="center"/>
                </w:tcPr>
                <w:p w14:paraId="220B242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1081" w:type="pct"/>
                  <w:tcBorders>
                    <w:bottom w:val="single" w:color="000000" w:sz="10" w:space="0"/>
                  </w:tcBorders>
                  <w:shd w:val="clear" w:color="auto" w:fill="auto"/>
                  <w:vAlign w:val="center"/>
                </w:tcPr>
                <w:p w14:paraId="37D030F5">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泽原路（园区路）</w:t>
                  </w:r>
                </w:p>
              </w:tc>
              <w:tc>
                <w:tcPr>
                  <w:tcW w:w="585" w:type="pct"/>
                  <w:tcBorders>
                    <w:bottom w:val="single" w:color="000000" w:sz="10" w:space="0"/>
                  </w:tcBorders>
                  <w:shd w:val="clear" w:color="auto" w:fill="auto"/>
                  <w:vAlign w:val="center"/>
                </w:tcPr>
                <w:p w14:paraId="0A88EFD1">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w:t>
                  </w:r>
                </w:p>
              </w:tc>
              <w:tc>
                <w:tcPr>
                  <w:tcW w:w="507" w:type="pct"/>
                  <w:tcBorders>
                    <w:bottom w:val="single" w:color="000000" w:sz="10" w:space="0"/>
                  </w:tcBorders>
                  <w:shd w:val="clear" w:color="auto" w:fill="auto"/>
                  <w:vAlign w:val="center"/>
                </w:tcPr>
                <w:p w14:paraId="1C228717">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159.18</w:t>
                  </w:r>
                </w:p>
              </w:tc>
              <w:tc>
                <w:tcPr>
                  <w:tcW w:w="1281" w:type="pct"/>
                  <w:tcBorders>
                    <w:bottom w:val="single" w:color="000000" w:sz="10" w:space="0"/>
                  </w:tcBorders>
                  <w:shd w:val="clear" w:color="auto" w:fill="auto"/>
                  <w:vAlign w:val="center"/>
                </w:tcPr>
                <w:p w14:paraId="72342E4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698E4141">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7450F5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7080C239">
                  <w:pPr>
                    <w:pStyle w:val="40"/>
                    <w:bidi w:val="0"/>
                    <w:jc w:val="center"/>
                    <w:rPr>
                      <w:rFonts w:hint="default" w:ascii="Times New Roman" w:hAnsi="Times New Roman" w:cs="Times New Roman"/>
                      <w:color w:val="0000FF"/>
                      <w:sz w:val="21"/>
                      <w:szCs w:val="21"/>
                    </w:rPr>
                  </w:pPr>
                </w:p>
              </w:tc>
              <w:tc>
                <w:tcPr>
                  <w:tcW w:w="368" w:type="pct"/>
                  <w:vMerge w:val="continue"/>
                  <w:vAlign w:val="center"/>
                </w:tcPr>
                <w:p w14:paraId="3D3C5141">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28AE3C4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220kv 高压线（杆高</w:t>
                  </w:r>
                </w:p>
                <w:p w14:paraId="3040132F">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40m）</w:t>
                  </w:r>
                </w:p>
              </w:tc>
              <w:tc>
                <w:tcPr>
                  <w:tcW w:w="585" w:type="pct"/>
                  <w:tcBorders>
                    <w:bottom w:val="single" w:color="000000" w:sz="10" w:space="0"/>
                  </w:tcBorders>
                  <w:shd w:val="clear" w:color="auto" w:fill="auto"/>
                  <w:vAlign w:val="center"/>
                </w:tcPr>
                <w:p w14:paraId="3F83DC3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60</w:t>
                  </w:r>
                </w:p>
                <w:p w14:paraId="2A691E5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（1.5H）</w:t>
                  </w:r>
                </w:p>
              </w:tc>
              <w:tc>
                <w:tcPr>
                  <w:tcW w:w="507" w:type="pct"/>
                  <w:tcBorders>
                    <w:bottom w:val="single" w:color="000000" w:sz="10" w:space="0"/>
                  </w:tcBorders>
                  <w:shd w:val="clear" w:color="auto" w:fill="auto"/>
                  <w:vAlign w:val="center"/>
                </w:tcPr>
                <w:p w14:paraId="7B117D6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149.18</w:t>
                  </w:r>
                </w:p>
              </w:tc>
              <w:tc>
                <w:tcPr>
                  <w:tcW w:w="1281" w:type="pct"/>
                  <w:tcBorders>
                    <w:bottom w:val="single" w:color="000000" w:sz="10" w:space="0"/>
                  </w:tcBorders>
                  <w:shd w:val="clear" w:color="auto" w:fill="auto"/>
                  <w:vAlign w:val="center"/>
                </w:tcPr>
                <w:p w14:paraId="771AF61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30D8556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046E9A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2937A5F4">
                  <w:pPr>
                    <w:pStyle w:val="40"/>
                    <w:bidi w:val="0"/>
                    <w:jc w:val="center"/>
                    <w:rPr>
                      <w:rFonts w:hint="default" w:ascii="Times New Roman" w:hAnsi="Times New Roman" w:cs="Times New Roman"/>
                      <w:color w:val="0000FF"/>
                      <w:sz w:val="21"/>
                      <w:szCs w:val="21"/>
                    </w:rPr>
                  </w:pPr>
                </w:p>
              </w:tc>
              <w:tc>
                <w:tcPr>
                  <w:tcW w:w="368" w:type="pct"/>
                  <w:vMerge w:val="continue"/>
                  <w:tcBorders>
                    <w:bottom w:val="single" w:color="000000" w:sz="10" w:space="0"/>
                  </w:tcBorders>
                  <w:vAlign w:val="center"/>
                </w:tcPr>
                <w:p w14:paraId="116B28F3">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48BEDEF1">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110kv 变电站</w:t>
                  </w:r>
                </w:p>
              </w:tc>
              <w:tc>
                <w:tcPr>
                  <w:tcW w:w="585" w:type="pct"/>
                  <w:tcBorders>
                    <w:bottom w:val="single" w:color="000000" w:sz="10" w:space="0"/>
                  </w:tcBorders>
                  <w:shd w:val="clear" w:color="auto" w:fill="auto"/>
                  <w:vAlign w:val="center"/>
                </w:tcPr>
                <w:p w14:paraId="5DE25F6F">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25</w:t>
                  </w:r>
                </w:p>
              </w:tc>
              <w:tc>
                <w:tcPr>
                  <w:tcW w:w="507" w:type="pct"/>
                  <w:tcBorders>
                    <w:bottom w:val="single" w:color="000000" w:sz="10" w:space="0"/>
                  </w:tcBorders>
                  <w:shd w:val="clear" w:color="auto" w:fill="auto"/>
                  <w:vAlign w:val="center"/>
                </w:tcPr>
                <w:p w14:paraId="7EC7985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77.18</w:t>
                  </w:r>
                </w:p>
              </w:tc>
              <w:tc>
                <w:tcPr>
                  <w:tcW w:w="1281" w:type="pct"/>
                  <w:tcBorders>
                    <w:bottom w:val="single" w:color="000000" w:sz="10" w:space="0"/>
                  </w:tcBorders>
                  <w:shd w:val="clear" w:color="auto" w:fill="auto"/>
                  <w:vAlign w:val="center"/>
                </w:tcPr>
                <w:p w14:paraId="6E8F2733">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1D5E8885">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460AD4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4B065E65">
                  <w:pPr>
                    <w:pStyle w:val="40"/>
                    <w:bidi w:val="0"/>
                    <w:jc w:val="center"/>
                    <w:rPr>
                      <w:rFonts w:hint="default" w:ascii="Times New Roman" w:hAnsi="Times New Roman" w:cs="Times New Roman"/>
                      <w:color w:val="0000FF"/>
                      <w:sz w:val="21"/>
                      <w:szCs w:val="21"/>
                    </w:rPr>
                  </w:pPr>
                </w:p>
              </w:tc>
              <w:tc>
                <w:tcPr>
                  <w:tcW w:w="368" w:type="pct"/>
                  <w:vMerge w:val="restart"/>
                  <w:tcBorders>
                    <w:top w:val="nil"/>
                  </w:tcBorders>
                  <w:shd w:val="clear" w:color="auto" w:fill="auto"/>
                  <w:vAlign w:val="center"/>
                </w:tcPr>
                <w:p w14:paraId="43D840E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w:t>
                  </w:r>
                </w:p>
              </w:tc>
              <w:tc>
                <w:tcPr>
                  <w:tcW w:w="1081" w:type="pct"/>
                  <w:tcBorders>
                    <w:bottom w:val="single" w:color="000000" w:sz="10" w:space="0"/>
                  </w:tcBorders>
                  <w:shd w:val="clear" w:color="auto" w:fill="auto"/>
                  <w:vAlign w:val="center"/>
                </w:tcPr>
                <w:p w14:paraId="0E75A2A1">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正望新材料厂房（丙类，二级）</w:t>
                  </w:r>
                </w:p>
              </w:tc>
              <w:tc>
                <w:tcPr>
                  <w:tcW w:w="585" w:type="pct"/>
                  <w:tcBorders>
                    <w:bottom w:val="single" w:color="000000" w:sz="10" w:space="0"/>
                  </w:tcBorders>
                  <w:shd w:val="clear" w:color="auto" w:fill="auto"/>
                  <w:vAlign w:val="center"/>
                </w:tcPr>
                <w:p w14:paraId="2DBCD1C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w:t>
                  </w:r>
                </w:p>
              </w:tc>
              <w:tc>
                <w:tcPr>
                  <w:tcW w:w="507" w:type="pct"/>
                  <w:tcBorders>
                    <w:bottom w:val="single" w:color="000000" w:sz="10" w:space="0"/>
                  </w:tcBorders>
                  <w:shd w:val="clear" w:color="auto" w:fill="auto"/>
                  <w:vAlign w:val="center"/>
                </w:tcPr>
                <w:p w14:paraId="1D5223A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31.06</w:t>
                  </w:r>
                </w:p>
              </w:tc>
              <w:tc>
                <w:tcPr>
                  <w:tcW w:w="1281" w:type="pct"/>
                  <w:tcBorders>
                    <w:bottom w:val="single" w:color="000000" w:sz="10" w:space="0"/>
                  </w:tcBorders>
                  <w:shd w:val="clear" w:color="auto" w:fill="auto"/>
                  <w:vAlign w:val="center"/>
                </w:tcPr>
                <w:p w14:paraId="6A65429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7DBE943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4F6030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23094C4E">
                  <w:pPr>
                    <w:pStyle w:val="40"/>
                    <w:bidi w:val="0"/>
                    <w:jc w:val="center"/>
                    <w:rPr>
                      <w:rFonts w:hint="default" w:ascii="Times New Roman" w:hAnsi="Times New Roman" w:cs="Times New Roman"/>
                      <w:color w:val="0000FF"/>
                      <w:sz w:val="21"/>
                      <w:szCs w:val="21"/>
                    </w:rPr>
                  </w:pPr>
                </w:p>
              </w:tc>
              <w:tc>
                <w:tcPr>
                  <w:tcW w:w="368" w:type="pct"/>
                  <w:vMerge w:val="continue"/>
                  <w:tcBorders>
                    <w:bottom w:val="single" w:color="000000" w:sz="10" w:space="0"/>
                  </w:tcBorders>
                  <w:vAlign w:val="center"/>
                </w:tcPr>
                <w:p w14:paraId="29B80549">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6F05E4D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正望新材料厂房（戊类，二级）</w:t>
                  </w:r>
                </w:p>
              </w:tc>
              <w:tc>
                <w:tcPr>
                  <w:tcW w:w="585" w:type="pct"/>
                  <w:tcBorders>
                    <w:bottom w:val="single" w:color="000000" w:sz="10" w:space="0"/>
                  </w:tcBorders>
                  <w:shd w:val="clear" w:color="auto" w:fill="auto"/>
                  <w:vAlign w:val="center"/>
                </w:tcPr>
                <w:p w14:paraId="5F5012E8">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w:t>
                  </w:r>
                </w:p>
              </w:tc>
              <w:tc>
                <w:tcPr>
                  <w:tcW w:w="507" w:type="pct"/>
                  <w:tcBorders>
                    <w:bottom w:val="single" w:color="000000" w:sz="10" w:space="0"/>
                  </w:tcBorders>
                  <w:shd w:val="clear" w:color="auto" w:fill="auto"/>
                  <w:vAlign w:val="center"/>
                </w:tcPr>
                <w:p w14:paraId="18ABC01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31.12</w:t>
                  </w:r>
                </w:p>
              </w:tc>
              <w:tc>
                <w:tcPr>
                  <w:tcW w:w="1281" w:type="pct"/>
                  <w:tcBorders>
                    <w:bottom w:val="single" w:color="000000" w:sz="10" w:space="0"/>
                  </w:tcBorders>
                  <w:shd w:val="clear" w:color="auto" w:fill="auto"/>
                  <w:vAlign w:val="center"/>
                </w:tcPr>
                <w:p w14:paraId="2A7C0EE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5DCC2061">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6C3B197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4FDF8885">
                  <w:pPr>
                    <w:pStyle w:val="40"/>
                    <w:bidi w:val="0"/>
                    <w:jc w:val="center"/>
                    <w:rPr>
                      <w:rFonts w:hint="default" w:ascii="Times New Roman" w:hAnsi="Times New Roman" w:cs="Times New Roman"/>
                      <w:color w:val="0000FF"/>
                      <w:sz w:val="21"/>
                      <w:szCs w:val="21"/>
                    </w:rPr>
                  </w:pPr>
                </w:p>
              </w:tc>
              <w:tc>
                <w:tcPr>
                  <w:tcW w:w="368" w:type="pct"/>
                  <w:tcBorders>
                    <w:top w:val="nil"/>
                    <w:bottom w:val="single" w:color="000000" w:sz="10" w:space="0"/>
                  </w:tcBorders>
                  <w:shd w:val="clear" w:color="auto" w:fill="auto"/>
                  <w:vAlign w:val="center"/>
                </w:tcPr>
                <w:p w14:paraId="337F40A7">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w:t>
                  </w:r>
                </w:p>
              </w:tc>
              <w:tc>
                <w:tcPr>
                  <w:tcW w:w="1081" w:type="pct"/>
                  <w:tcBorders>
                    <w:bottom w:val="single" w:color="000000" w:sz="10" w:space="0"/>
                  </w:tcBorders>
                  <w:shd w:val="clear" w:color="auto" w:fill="auto"/>
                  <w:vAlign w:val="center"/>
                </w:tcPr>
                <w:p w14:paraId="1306AF2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大连大特 1#仓库（ 甲类、二级）</w:t>
                  </w:r>
                </w:p>
              </w:tc>
              <w:tc>
                <w:tcPr>
                  <w:tcW w:w="585" w:type="pct"/>
                  <w:tcBorders>
                    <w:bottom w:val="single" w:color="000000" w:sz="10" w:space="0"/>
                  </w:tcBorders>
                  <w:shd w:val="clear" w:color="auto" w:fill="auto"/>
                  <w:vAlign w:val="center"/>
                </w:tcPr>
                <w:p w14:paraId="05A9732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w:t>
                  </w:r>
                </w:p>
              </w:tc>
              <w:tc>
                <w:tcPr>
                  <w:tcW w:w="507" w:type="pct"/>
                  <w:tcBorders>
                    <w:bottom w:val="single" w:color="000000" w:sz="10" w:space="0"/>
                  </w:tcBorders>
                  <w:shd w:val="clear" w:color="auto" w:fill="auto"/>
                  <w:vAlign w:val="center"/>
                </w:tcPr>
                <w:p w14:paraId="4D598C8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77.42</w:t>
                  </w:r>
                </w:p>
              </w:tc>
              <w:tc>
                <w:tcPr>
                  <w:tcW w:w="1281" w:type="pct"/>
                  <w:tcBorders>
                    <w:bottom w:val="single" w:color="000000" w:sz="10" w:space="0"/>
                  </w:tcBorders>
                  <w:shd w:val="clear" w:color="auto" w:fill="auto"/>
                  <w:vAlign w:val="center"/>
                </w:tcPr>
                <w:p w14:paraId="17ADA878">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3.0.5</w:t>
                  </w:r>
                </w:p>
              </w:tc>
              <w:tc>
                <w:tcPr>
                  <w:tcW w:w="427" w:type="pct"/>
                  <w:tcBorders>
                    <w:bottom w:val="single" w:color="000000" w:sz="10" w:space="0"/>
                    <w:right w:val="single" w:color="000000" w:sz="10" w:space="0"/>
                  </w:tcBorders>
                  <w:shd w:val="clear" w:color="auto" w:fill="auto"/>
                  <w:vAlign w:val="center"/>
                </w:tcPr>
                <w:p w14:paraId="5635DF2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604EC8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restart"/>
                  <w:tcBorders>
                    <w:left w:val="single" w:color="000000" w:sz="10" w:space="0"/>
                  </w:tcBorders>
                  <w:shd w:val="clear" w:color="auto" w:fill="auto"/>
                  <w:vAlign w:val="center"/>
                </w:tcPr>
                <w:p w14:paraId="1B5F411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液氧储罐</w:t>
                  </w:r>
                </w:p>
                <w:p w14:paraId="0455884F">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（50m³ )</w:t>
                  </w:r>
                </w:p>
              </w:tc>
              <w:tc>
                <w:tcPr>
                  <w:tcW w:w="368" w:type="pct"/>
                  <w:tcBorders>
                    <w:top w:val="nil"/>
                    <w:bottom w:val="single" w:color="000000" w:sz="10" w:space="0"/>
                  </w:tcBorders>
                  <w:shd w:val="clear" w:color="auto" w:fill="auto"/>
                  <w:vAlign w:val="center"/>
                </w:tcPr>
                <w:p w14:paraId="0FDF986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w:t>
                  </w:r>
                </w:p>
              </w:tc>
              <w:tc>
                <w:tcPr>
                  <w:tcW w:w="1081" w:type="pct"/>
                  <w:tcBorders>
                    <w:bottom w:val="single" w:color="000000" w:sz="10" w:space="0"/>
                  </w:tcBorders>
                  <w:shd w:val="clear" w:color="auto" w:fill="auto"/>
                  <w:vAlign w:val="center"/>
                </w:tcPr>
                <w:p w14:paraId="3E00750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九昌路（园区路）</w:t>
                  </w:r>
                </w:p>
              </w:tc>
              <w:tc>
                <w:tcPr>
                  <w:tcW w:w="585" w:type="pct"/>
                  <w:tcBorders>
                    <w:bottom w:val="single" w:color="000000" w:sz="10" w:space="0"/>
                  </w:tcBorders>
                  <w:shd w:val="clear" w:color="auto" w:fill="auto"/>
                  <w:vAlign w:val="center"/>
                </w:tcPr>
                <w:p w14:paraId="0CACA58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w:t>
                  </w:r>
                </w:p>
              </w:tc>
              <w:tc>
                <w:tcPr>
                  <w:tcW w:w="507" w:type="pct"/>
                  <w:tcBorders>
                    <w:bottom w:val="single" w:color="000000" w:sz="10" w:space="0"/>
                  </w:tcBorders>
                  <w:shd w:val="clear" w:color="auto" w:fill="auto"/>
                  <w:vAlign w:val="center"/>
                </w:tcPr>
                <w:p w14:paraId="65D041A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199.48</w:t>
                  </w:r>
                </w:p>
              </w:tc>
              <w:tc>
                <w:tcPr>
                  <w:tcW w:w="1281" w:type="pct"/>
                  <w:tcBorders>
                    <w:bottom w:val="single" w:color="000000" w:sz="10" w:space="0"/>
                  </w:tcBorders>
                  <w:shd w:val="clear" w:color="auto" w:fill="auto"/>
                  <w:vAlign w:val="center"/>
                </w:tcPr>
                <w:p w14:paraId="2D4871C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7461626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2B1DC5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18CB42EE">
                  <w:pPr>
                    <w:pStyle w:val="40"/>
                    <w:bidi w:val="0"/>
                    <w:jc w:val="center"/>
                    <w:rPr>
                      <w:rFonts w:hint="default" w:ascii="Times New Roman" w:hAnsi="Times New Roman" w:cs="Times New Roman"/>
                      <w:color w:val="0000FF"/>
                      <w:sz w:val="21"/>
                      <w:szCs w:val="21"/>
                    </w:rPr>
                  </w:pPr>
                </w:p>
              </w:tc>
              <w:tc>
                <w:tcPr>
                  <w:tcW w:w="368" w:type="pct"/>
                  <w:vMerge w:val="restart"/>
                  <w:tcBorders>
                    <w:top w:val="nil"/>
                  </w:tcBorders>
                  <w:shd w:val="clear" w:color="auto" w:fill="auto"/>
                  <w:vAlign w:val="center"/>
                </w:tcPr>
                <w:p w14:paraId="59ACD59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1081" w:type="pct"/>
                  <w:tcBorders>
                    <w:bottom w:val="single" w:color="000000" w:sz="10" w:space="0"/>
                  </w:tcBorders>
                  <w:shd w:val="clear" w:color="auto" w:fill="auto"/>
                  <w:vAlign w:val="center"/>
                </w:tcPr>
                <w:p w14:paraId="05F5973F">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泽原路（园区路）</w:t>
                  </w:r>
                </w:p>
              </w:tc>
              <w:tc>
                <w:tcPr>
                  <w:tcW w:w="585" w:type="pct"/>
                  <w:tcBorders>
                    <w:bottom w:val="single" w:color="000000" w:sz="10" w:space="0"/>
                  </w:tcBorders>
                  <w:shd w:val="clear" w:color="auto" w:fill="auto"/>
                  <w:vAlign w:val="center"/>
                </w:tcPr>
                <w:p w14:paraId="7555A82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w:t>
                  </w:r>
                </w:p>
              </w:tc>
              <w:tc>
                <w:tcPr>
                  <w:tcW w:w="507" w:type="pct"/>
                  <w:tcBorders>
                    <w:bottom w:val="single" w:color="000000" w:sz="10" w:space="0"/>
                  </w:tcBorders>
                  <w:shd w:val="clear" w:color="auto" w:fill="auto"/>
                  <w:vAlign w:val="center"/>
                </w:tcPr>
                <w:p w14:paraId="58F604A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196.76</w:t>
                  </w:r>
                </w:p>
              </w:tc>
              <w:tc>
                <w:tcPr>
                  <w:tcW w:w="1281" w:type="pct"/>
                  <w:tcBorders>
                    <w:bottom w:val="single" w:color="000000" w:sz="10" w:space="0"/>
                  </w:tcBorders>
                  <w:shd w:val="clear" w:color="auto" w:fill="auto"/>
                  <w:vAlign w:val="center"/>
                </w:tcPr>
                <w:p w14:paraId="1440456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1BA43D9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4A1470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2A9303CA">
                  <w:pPr>
                    <w:pStyle w:val="40"/>
                    <w:bidi w:val="0"/>
                    <w:jc w:val="center"/>
                    <w:rPr>
                      <w:rFonts w:hint="default" w:ascii="Times New Roman" w:hAnsi="Times New Roman" w:cs="Times New Roman"/>
                      <w:color w:val="0000FF"/>
                      <w:sz w:val="21"/>
                      <w:szCs w:val="21"/>
                    </w:rPr>
                  </w:pPr>
                </w:p>
              </w:tc>
              <w:tc>
                <w:tcPr>
                  <w:tcW w:w="368" w:type="pct"/>
                  <w:vMerge w:val="continue"/>
                  <w:vAlign w:val="center"/>
                </w:tcPr>
                <w:p w14:paraId="32BCA5E0">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0F6C8E4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220kv 高压线（杆高</w:t>
                  </w:r>
                </w:p>
                <w:p w14:paraId="32CE9CF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40m）</w:t>
                  </w:r>
                </w:p>
              </w:tc>
              <w:tc>
                <w:tcPr>
                  <w:tcW w:w="585" w:type="pct"/>
                  <w:tcBorders>
                    <w:bottom w:val="single" w:color="000000" w:sz="10" w:space="0"/>
                  </w:tcBorders>
                  <w:shd w:val="clear" w:color="auto" w:fill="auto"/>
                  <w:vAlign w:val="center"/>
                </w:tcPr>
                <w:p w14:paraId="07DB957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60</w:t>
                  </w:r>
                </w:p>
                <w:p w14:paraId="6B15B57D">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（1.5H）</w:t>
                  </w:r>
                </w:p>
              </w:tc>
              <w:tc>
                <w:tcPr>
                  <w:tcW w:w="507" w:type="pct"/>
                  <w:tcBorders>
                    <w:bottom w:val="single" w:color="000000" w:sz="10" w:space="0"/>
                  </w:tcBorders>
                  <w:shd w:val="clear" w:color="auto" w:fill="auto"/>
                  <w:vAlign w:val="center"/>
                </w:tcPr>
                <w:p w14:paraId="771612D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186.76</w:t>
                  </w:r>
                </w:p>
              </w:tc>
              <w:tc>
                <w:tcPr>
                  <w:tcW w:w="1281" w:type="pct"/>
                  <w:tcBorders>
                    <w:bottom w:val="single" w:color="000000" w:sz="10" w:space="0"/>
                  </w:tcBorders>
                  <w:shd w:val="clear" w:color="auto" w:fill="auto"/>
                  <w:vAlign w:val="center"/>
                </w:tcPr>
                <w:p w14:paraId="62E1413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45CB7349">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594573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41EBB9CB">
                  <w:pPr>
                    <w:pStyle w:val="40"/>
                    <w:bidi w:val="0"/>
                    <w:jc w:val="center"/>
                    <w:rPr>
                      <w:rFonts w:hint="default" w:ascii="Times New Roman" w:hAnsi="Times New Roman" w:cs="Times New Roman"/>
                      <w:color w:val="0000FF"/>
                      <w:sz w:val="21"/>
                      <w:szCs w:val="21"/>
                    </w:rPr>
                  </w:pPr>
                </w:p>
              </w:tc>
              <w:tc>
                <w:tcPr>
                  <w:tcW w:w="368" w:type="pct"/>
                  <w:vMerge w:val="continue"/>
                  <w:tcBorders>
                    <w:bottom w:val="single" w:color="000000" w:sz="10" w:space="0"/>
                  </w:tcBorders>
                  <w:vAlign w:val="center"/>
                </w:tcPr>
                <w:p w14:paraId="050EAD3C">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3968B598">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110kv 变电站</w:t>
                  </w:r>
                </w:p>
              </w:tc>
              <w:tc>
                <w:tcPr>
                  <w:tcW w:w="585" w:type="pct"/>
                  <w:tcBorders>
                    <w:bottom w:val="single" w:color="000000" w:sz="10" w:space="0"/>
                  </w:tcBorders>
                  <w:shd w:val="clear" w:color="auto" w:fill="auto"/>
                  <w:vAlign w:val="center"/>
                </w:tcPr>
                <w:p w14:paraId="46FBEDC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25</w:t>
                  </w:r>
                </w:p>
              </w:tc>
              <w:tc>
                <w:tcPr>
                  <w:tcW w:w="507" w:type="pct"/>
                  <w:tcBorders>
                    <w:bottom w:val="single" w:color="000000" w:sz="10" w:space="0"/>
                  </w:tcBorders>
                  <w:shd w:val="clear" w:color="auto" w:fill="auto"/>
                  <w:vAlign w:val="center"/>
                </w:tcPr>
                <w:p w14:paraId="04B35F83">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114.76</w:t>
                  </w:r>
                </w:p>
              </w:tc>
              <w:tc>
                <w:tcPr>
                  <w:tcW w:w="1281" w:type="pct"/>
                  <w:tcBorders>
                    <w:bottom w:val="single" w:color="000000" w:sz="10" w:space="0"/>
                  </w:tcBorders>
                  <w:shd w:val="clear" w:color="auto" w:fill="auto"/>
                  <w:vAlign w:val="center"/>
                </w:tcPr>
                <w:p w14:paraId="4D795545">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7471320C">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7BBBE1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220407F9">
                  <w:pPr>
                    <w:pStyle w:val="40"/>
                    <w:bidi w:val="0"/>
                    <w:jc w:val="center"/>
                    <w:rPr>
                      <w:rFonts w:hint="default" w:ascii="Times New Roman" w:hAnsi="Times New Roman" w:cs="Times New Roman"/>
                      <w:color w:val="0000FF"/>
                      <w:sz w:val="21"/>
                      <w:szCs w:val="21"/>
                    </w:rPr>
                  </w:pPr>
                </w:p>
              </w:tc>
              <w:tc>
                <w:tcPr>
                  <w:tcW w:w="368" w:type="pct"/>
                  <w:vMerge w:val="restart"/>
                  <w:tcBorders>
                    <w:top w:val="nil"/>
                  </w:tcBorders>
                  <w:shd w:val="clear" w:color="auto" w:fill="auto"/>
                  <w:vAlign w:val="center"/>
                </w:tcPr>
                <w:p w14:paraId="29EFC6D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w:t>
                  </w:r>
                </w:p>
              </w:tc>
              <w:tc>
                <w:tcPr>
                  <w:tcW w:w="1081" w:type="pct"/>
                  <w:tcBorders>
                    <w:bottom w:val="single" w:color="000000" w:sz="10" w:space="0"/>
                  </w:tcBorders>
                  <w:shd w:val="clear" w:color="auto" w:fill="auto"/>
                  <w:vAlign w:val="center"/>
                </w:tcPr>
                <w:p w14:paraId="3B664D7F">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正望新材料厂房（丙类，二级）</w:t>
                  </w:r>
                </w:p>
              </w:tc>
              <w:tc>
                <w:tcPr>
                  <w:tcW w:w="585" w:type="pct"/>
                  <w:tcBorders>
                    <w:bottom w:val="single" w:color="000000" w:sz="10" w:space="0"/>
                  </w:tcBorders>
                  <w:shd w:val="clear" w:color="auto" w:fill="auto"/>
                  <w:vAlign w:val="center"/>
                </w:tcPr>
                <w:p w14:paraId="589F1121">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w:t>
                  </w:r>
                </w:p>
              </w:tc>
              <w:tc>
                <w:tcPr>
                  <w:tcW w:w="507" w:type="pct"/>
                  <w:tcBorders>
                    <w:bottom w:val="single" w:color="000000" w:sz="10" w:space="0"/>
                  </w:tcBorders>
                  <w:shd w:val="clear" w:color="auto" w:fill="auto"/>
                  <w:vAlign w:val="center"/>
                </w:tcPr>
                <w:p w14:paraId="0BB12EFE">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55.89</w:t>
                  </w:r>
                </w:p>
              </w:tc>
              <w:tc>
                <w:tcPr>
                  <w:tcW w:w="1281" w:type="pct"/>
                  <w:tcBorders>
                    <w:bottom w:val="single" w:color="000000" w:sz="10" w:space="0"/>
                  </w:tcBorders>
                  <w:shd w:val="clear" w:color="auto" w:fill="auto"/>
                  <w:vAlign w:val="center"/>
                </w:tcPr>
                <w:p w14:paraId="7453E8A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794E1D9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0186B8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2C81E866">
                  <w:pPr>
                    <w:pStyle w:val="40"/>
                    <w:bidi w:val="0"/>
                    <w:jc w:val="center"/>
                    <w:rPr>
                      <w:rFonts w:hint="default" w:ascii="Times New Roman" w:hAnsi="Times New Roman" w:cs="Times New Roman"/>
                      <w:color w:val="0000FF"/>
                      <w:sz w:val="21"/>
                      <w:szCs w:val="21"/>
                    </w:rPr>
                  </w:pPr>
                </w:p>
              </w:tc>
              <w:tc>
                <w:tcPr>
                  <w:tcW w:w="368" w:type="pct"/>
                  <w:vMerge w:val="continue"/>
                  <w:tcBorders>
                    <w:bottom w:val="single" w:color="000000" w:sz="10" w:space="0"/>
                  </w:tcBorders>
                  <w:vAlign w:val="center"/>
                </w:tcPr>
                <w:p w14:paraId="4567FD06">
                  <w:pPr>
                    <w:pStyle w:val="40"/>
                    <w:bidi w:val="0"/>
                    <w:jc w:val="center"/>
                    <w:rPr>
                      <w:rFonts w:hint="default" w:ascii="Times New Roman" w:hAnsi="Times New Roman" w:cs="Times New Roman"/>
                      <w:color w:val="0000FF"/>
                      <w:sz w:val="21"/>
                      <w:szCs w:val="21"/>
                    </w:rPr>
                  </w:pPr>
                </w:p>
              </w:tc>
              <w:tc>
                <w:tcPr>
                  <w:tcW w:w="1081" w:type="pct"/>
                  <w:tcBorders>
                    <w:bottom w:val="single" w:color="000000" w:sz="10" w:space="0"/>
                  </w:tcBorders>
                  <w:shd w:val="clear" w:color="auto" w:fill="auto"/>
                  <w:vAlign w:val="center"/>
                </w:tcPr>
                <w:p w14:paraId="4C377D8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正望新材料厂房（戊类，二级）</w:t>
                  </w:r>
                </w:p>
              </w:tc>
              <w:tc>
                <w:tcPr>
                  <w:tcW w:w="585" w:type="pct"/>
                  <w:tcBorders>
                    <w:bottom w:val="single" w:color="000000" w:sz="10" w:space="0"/>
                  </w:tcBorders>
                  <w:shd w:val="clear" w:color="auto" w:fill="auto"/>
                  <w:vAlign w:val="center"/>
                </w:tcPr>
                <w:p w14:paraId="40BC4EE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w:t>
                  </w:r>
                </w:p>
              </w:tc>
              <w:tc>
                <w:tcPr>
                  <w:tcW w:w="507" w:type="pct"/>
                  <w:tcBorders>
                    <w:bottom w:val="single" w:color="000000" w:sz="10" w:space="0"/>
                  </w:tcBorders>
                  <w:shd w:val="clear" w:color="auto" w:fill="auto"/>
                  <w:vAlign w:val="center"/>
                </w:tcPr>
                <w:p w14:paraId="63C1407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44.21</w:t>
                  </w:r>
                </w:p>
              </w:tc>
              <w:tc>
                <w:tcPr>
                  <w:tcW w:w="1281" w:type="pct"/>
                  <w:tcBorders>
                    <w:bottom w:val="single" w:color="000000" w:sz="10" w:space="0"/>
                  </w:tcBorders>
                  <w:shd w:val="clear" w:color="auto" w:fill="auto"/>
                  <w:vAlign w:val="center"/>
                </w:tcPr>
                <w:p w14:paraId="6595EC22">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3DA2D343">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2A33C2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64" w:hRule="atLeast"/>
              </w:trPr>
              <w:tc>
                <w:tcPr>
                  <w:tcW w:w="747" w:type="pct"/>
                  <w:vMerge w:val="continue"/>
                  <w:tcBorders>
                    <w:left w:val="single" w:color="000000" w:sz="10" w:space="0"/>
                  </w:tcBorders>
                  <w:vAlign w:val="center"/>
                </w:tcPr>
                <w:p w14:paraId="1B8A8F99">
                  <w:pPr>
                    <w:pStyle w:val="40"/>
                    <w:bidi w:val="0"/>
                    <w:jc w:val="center"/>
                    <w:rPr>
                      <w:rFonts w:hint="default" w:ascii="Times New Roman" w:hAnsi="Times New Roman" w:cs="Times New Roman"/>
                      <w:color w:val="0000FF"/>
                      <w:sz w:val="21"/>
                      <w:szCs w:val="21"/>
                    </w:rPr>
                  </w:pPr>
                </w:p>
              </w:tc>
              <w:tc>
                <w:tcPr>
                  <w:tcW w:w="368" w:type="pct"/>
                  <w:tcBorders>
                    <w:top w:val="nil"/>
                    <w:bottom w:val="single" w:color="000000" w:sz="10" w:space="0"/>
                  </w:tcBorders>
                  <w:shd w:val="clear" w:color="auto" w:fill="auto"/>
                  <w:vAlign w:val="center"/>
                </w:tcPr>
                <w:p w14:paraId="0C3577BB">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w:t>
                  </w:r>
                </w:p>
              </w:tc>
              <w:tc>
                <w:tcPr>
                  <w:tcW w:w="1081" w:type="pct"/>
                  <w:tcBorders>
                    <w:bottom w:val="single" w:color="000000" w:sz="10" w:space="0"/>
                  </w:tcBorders>
                  <w:shd w:val="clear" w:color="auto" w:fill="auto"/>
                  <w:vAlign w:val="center"/>
                </w:tcPr>
                <w:p w14:paraId="217976F6">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大连大特 1#仓库（ 甲类、二级）</w:t>
                  </w:r>
                </w:p>
              </w:tc>
              <w:tc>
                <w:tcPr>
                  <w:tcW w:w="585" w:type="pct"/>
                  <w:tcBorders>
                    <w:bottom w:val="single" w:color="000000" w:sz="10" w:space="0"/>
                  </w:tcBorders>
                  <w:shd w:val="clear" w:color="auto" w:fill="auto"/>
                  <w:vAlign w:val="center"/>
                </w:tcPr>
                <w:p w14:paraId="2D6AF2E0">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w:t>
                  </w:r>
                </w:p>
              </w:tc>
              <w:tc>
                <w:tcPr>
                  <w:tcW w:w="507" w:type="pct"/>
                  <w:tcBorders>
                    <w:bottom w:val="single" w:color="000000" w:sz="10" w:space="0"/>
                  </w:tcBorders>
                  <w:shd w:val="clear" w:color="auto" w:fill="auto"/>
                  <w:vAlign w:val="center"/>
                </w:tcPr>
                <w:p w14:paraId="4B7131D7">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61.3</w:t>
                  </w:r>
                </w:p>
              </w:tc>
              <w:tc>
                <w:tcPr>
                  <w:tcW w:w="1281" w:type="pct"/>
                  <w:tcBorders>
                    <w:bottom w:val="single" w:color="000000" w:sz="10" w:space="0"/>
                  </w:tcBorders>
                  <w:shd w:val="clear" w:color="auto" w:fill="auto"/>
                  <w:vAlign w:val="center"/>
                </w:tcPr>
                <w:p w14:paraId="45067438">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427" w:type="pct"/>
                  <w:tcBorders>
                    <w:bottom w:val="single" w:color="000000" w:sz="10" w:space="0"/>
                    <w:right w:val="single" w:color="000000" w:sz="10" w:space="0"/>
                  </w:tcBorders>
                  <w:shd w:val="clear" w:color="auto" w:fill="auto"/>
                  <w:vAlign w:val="center"/>
                </w:tcPr>
                <w:p w14:paraId="26EAEC74">
                  <w:pPr>
                    <w:pStyle w:val="40"/>
                    <w:bidi w:val="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5A2255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restart"/>
                  <w:tcBorders>
                    <w:left w:val="single" w:color="000000" w:sz="10" w:space="0"/>
                  </w:tcBorders>
                  <w:vAlign w:val="center"/>
                </w:tcPr>
                <w:p w14:paraId="24E184A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卸车台</w:t>
                  </w:r>
                </w:p>
                <w:p w14:paraId="5AFCD9A5">
                  <w:pPr>
                    <w:pStyle w:val="40"/>
                    <w:bidi w:val="0"/>
                    <w:jc w:val="center"/>
                    <w:rPr>
                      <w:rFonts w:hint="eastAsia" w:ascii="Times New Roman" w:hAnsi="Times New Roman" w:eastAsia="宋体" w:cs="Times New Roman"/>
                      <w:color w:val="0000FF"/>
                      <w:sz w:val="21"/>
                      <w:szCs w:val="21"/>
                      <w:lang w:eastAsia="zh-CN"/>
                    </w:rPr>
                  </w:pPr>
                  <w:r>
                    <w:rPr>
                      <w:rFonts w:hint="default" w:ascii="Times New Roman" w:hAnsi="Times New Roman" w:cs="Times New Roman"/>
                      <w:color w:val="0000FF"/>
                      <w:sz w:val="21"/>
                      <w:szCs w:val="21"/>
                    </w:rPr>
                    <w:t>（ 甲类、二级</w:t>
                  </w:r>
                  <w:r>
                    <w:rPr>
                      <w:rFonts w:hint="eastAsia" w:ascii="Times New Roman" w:hAnsi="Times New Roman" w:cs="Times New Roman"/>
                      <w:color w:val="0000FF"/>
                      <w:sz w:val="21"/>
                      <w:szCs w:val="21"/>
                      <w:lang w:eastAsia="zh-CN"/>
                    </w:rPr>
                    <w:t>）</w:t>
                  </w:r>
                </w:p>
              </w:tc>
              <w:tc>
                <w:tcPr>
                  <w:tcW w:w="368" w:type="pct"/>
                  <w:vMerge w:val="restart"/>
                  <w:tcBorders>
                    <w:bottom w:val="nil"/>
                  </w:tcBorders>
                  <w:shd w:val="clear" w:color="auto" w:fill="auto"/>
                  <w:vAlign w:val="center"/>
                </w:tcPr>
                <w:p w14:paraId="72FE8E28">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北侧</w:t>
                  </w:r>
                </w:p>
                <w:p w14:paraId="20E2A073">
                  <w:pPr>
                    <w:pStyle w:val="40"/>
                    <w:bidi w:val="0"/>
                    <w:jc w:val="center"/>
                    <w:rPr>
                      <w:rFonts w:hint="default" w:ascii="Times New Roman" w:hAnsi="Times New Roman" w:cs="Times New Roman"/>
                      <w:color w:val="0000FF"/>
                      <w:sz w:val="21"/>
                      <w:szCs w:val="21"/>
                    </w:rPr>
                  </w:pPr>
                </w:p>
              </w:tc>
              <w:tc>
                <w:tcPr>
                  <w:tcW w:w="1081" w:type="pct"/>
                  <w:shd w:val="clear" w:color="auto" w:fill="auto"/>
                  <w:vAlign w:val="center"/>
                </w:tcPr>
                <w:p w14:paraId="4076272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泽原路（园区</w:t>
                  </w:r>
                </w:p>
                <w:p w14:paraId="3B6AFBB8">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路）</w:t>
                  </w:r>
                </w:p>
              </w:tc>
              <w:tc>
                <w:tcPr>
                  <w:tcW w:w="585" w:type="pct"/>
                  <w:shd w:val="clear" w:color="auto" w:fill="auto"/>
                  <w:vAlign w:val="center"/>
                </w:tcPr>
                <w:p w14:paraId="22E930AE">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25</w:t>
                  </w:r>
                </w:p>
              </w:tc>
              <w:tc>
                <w:tcPr>
                  <w:tcW w:w="507" w:type="pct"/>
                  <w:shd w:val="clear" w:color="auto" w:fill="auto"/>
                  <w:vAlign w:val="center"/>
                </w:tcPr>
                <w:p w14:paraId="6FC1B86C">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210.3</w:t>
                  </w:r>
                </w:p>
              </w:tc>
              <w:tc>
                <w:tcPr>
                  <w:tcW w:w="1281" w:type="pct"/>
                  <w:shd w:val="clear" w:color="auto" w:fill="auto"/>
                  <w:vAlign w:val="center"/>
                </w:tcPr>
                <w:p w14:paraId="233733F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10CC6CF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w:t>
                  </w:r>
                </w:p>
                <w:p w14:paraId="17B2A98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 51142-2015）</w:t>
                  </w:r>
                </w:p>
                <w:p w14:paraId="2D07E4E5">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第 5.2. 16 条</w:t>
                  </w:r>
                </w:p>
              </w:tc>
              <w:tc>
                <w:tcPr>
                  <w:tcW w:w="427" w:type="pct"/>
                  <w:tcBorders>
                    <w:right w:val="single" w:color="000000" w:sz="10" w:space="0"/>
                  </w:tcBorders>
                  <w:shd w:val="clear" w:color="auto" w:fill="auto"/>
                  <w:vAlign w:val="center"/>
                </w:tcPr>
                <w:p w14:paraId="45F59CC6">
                  <w:pPr>
                    <w:bidi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符合</w:t>
                  </w:r>
                </w:p>
              </w:tc>
            </w:tr>
            <w:tr w14:paraId="12C845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19F65482">
                  <w:pPr>
                    <w:pStyle w:val="40"/>
                    <w:bidi w:val="0"/>
                    <w:jc w:val="center"/>
                    <w:rPr>
                      <w:rFonts w:hint="eastAsia" w:ascii="Times New Roman" w:hAnsi="Times New Roman" w:eastAsia="宋体" w:cs="Times New Roman"/>
                      <w:color w:val="0000FF"/>
                      <w:sz w:val="21"/>
                      <w:szCs w:val="21"/>
                      <w:lang w:eastAsia="zh-CN"/>
                    </w:rPr>
                  </w:pPr>
                </w:p>
              </w:tc>
              <w:tc>
                <w:tcPr>
                  <w:tcW w:w="368" w:type="pct"/>
                  <w:vMerge w:val="continue"/>
                  <w:tcBorders>
                    <w:top w:val="nil"/>
                    <w:bottom w:val="nil"/>
                  </w:tcBorders>
                  <w:vAlign w:val="center"/>
                </w:tcPr>
                <w:p w14:paraId="310B4D03">
                  <w:pPr>
                    <w:pStyle w:val="40"/>
                    <w:bidi w:val="0"/>
                    <w:jc w:val="center"/>
                    <w:rPr>
                      <w:rFonts w:hint="default" w:ascii="Times New Roman" w:hAnsi="Times New Roman" w:cs="Times New Roman"/>
                      <w:color w:val="0000FF"/>
                      <w:sz w:val="21"/>
                      <w:szCs w:val="21"/>
                    </w:rPr>
                  </w:pPr>
                </w:p>
              </w:tc>
              <w:tc>
                <w:tcPr>
                  <w:tcW w:w="1081" w:type="pct"/>
                  <w:shd w:val="clear" w:color="auto" w:fill="auto"/>
                  <w:vAlign w:val="center"/>
                </w:tcPr>
                <w:p w14:paraId="1B67E4E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220kv 高压线（杆高</w:t>
                  </w:r>
                </w:p>
                <w:p w14:paraId="31DA43EE">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40m）</w:t>
                  </w:r>
                </w:p>
              </w:tc>
              <w:tc>
                <w:tcPr>
                  <w:tcW w:w="585" w:type="pct"/>
                  <w:shd w:val="clear" w:color="auto" w:fill="auto"/>
                  <w:vAlign w:val="center"/>
                </w:tcPr>
                <w:p w14:paraId="7F6FF6CD">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60（1.5H）</w:t>
                  </w:r>
                </w:p>
              </w:tc>
              <w:tc>
                <w:tcPr>
                  <w:tcW w:w="507" w:type="pct"/>
                  <w:shd w:val="clear" w:color="auto" w:fill="auto"/>
                  <w:vAlign w:val="center"/>
                </w:tcPr>
                <w:p w14:paraId="27B42182">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200.3</w:t>
                  </w:r>
                </w:p>
              </w:tc>
              <w:tc>
                <w:tcPr>
                  <w:tcW w:w="1281" w:type="pct"/>
                  <w:shd w:val="clear" w:color="auto" w:fill="auto"/>
                  <w:vAlign w:val="center"/>
                </w:tcPr>
                <w:p w14:paraId="5C47BBC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5057789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w:t>
                  </w:r>
                </w:p>
                <w:p w14:paraId="0CFB11C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 51142-2015）</w:t>
                  </w:r>
                </w:p>
                <w:p w14:paraId="275D4D78">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第 5.2. 16 条</w:t>
                  </w:r>
                </w:p>
              </w:tc>
              <w:tc>
                <w:tcPr>
                  <w:tcW w:w="427" w:type="pct"/>
                  <w:tcBorders>
                    <w:right w:val="single" w:color="000000" w:sz="10" w:space="0"/>
                  </w:tcBorders>
                  <w:shd w:val="clear" w:color="auto" w:fill="auto"/>
                  <w:vAlign w:val="center"/>
                </w:tcPr>
                <w:p w14:paraId="41D8B25F">
                  <w:pPr>
                    <w:bidi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符合</w:t>
                  </w:r>
                </w:p>
              </w:tc>
            </w:tr>
            <w:tr w14:paraId="18C6B8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5ED2F23B">
                  <w:pPr>
                    <w:pStyle w:val="40"/>
                    <w:bidi w:val="0"/>
                    <w:jc w:val="center"/>
                    <w:rPr>
                      <w:rFonts w:hint="default" w:ascii="Times New Roman" w:hAnsi="Times New Roman" w:cs="Times New Roman"/>
                      <w:color w:val="0000FF"/>
                      <w:sz w:val="21"/>
                      <w:szCs w:val="21"/>
                    </w:rPr>
                  </w:pPr>
                </w:p>
              </w:tc>
              <w:tc>
                <w:tcPr>
                  <w:tcW w:w="368" w:type="pct"/>
                  <w:vMerge w:val="continue"/>
                  <w:tcBorders>
                    <w:top w:val="nil"/>
                  </w:tcBorders>
                  <w:vAlign w:val="center"/>
                </w:tcPr>
                <w:p w14:paraId="44DC47A9">
                  <w:pPr>
                    <w:pStyle w:val="40"/>
                    <w:bidi w:val="0"/>
                    <w:jc w:val="center"/>
                    <w:rPr>
                      <w:rFonts w:hint="default" w:ascii="Times New Roman" w:hAnsi="Times New Roman" w:cs="Times New Roman"/>
                      <w:color w:val="0000FF"/>
                      <w:sz w:val="21"/>
                      <w:szCs w:val="21"/>
                    </w:rPr>
                  </w:pPr>
                </w:p>
              </w:tc>
              <w:tc>
                <w:tcPr>
                  <w:tcW w:w="1081" w:type="pct"/>
                  <w:shd w:val="clear" w:color="auto" w:fill="auto"/>
                  <w:vAlign w:val="center"/>
                </w:tcPr>
                <w:p w14:paraId="59E1AF02">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110kv 变电站</w:t>
                  </w:r>
                </w:p>
              </w:tc>
              <w:tc>
                <w:tcPr>
                  <w:tcW w:w="585" w:type="pct"/>
                  <w:shd w:val="clear" w:color="auto" w:fill="auto"/>
                  <w:vAlign w:val="center"/>
                </w:tcPr>
                <w:p w14:paraId="03A5D06C">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45</w:t>
                  </w:r>
                </w:p>
              </w:tc>
              <w:tc>
                <w:tcPr>
                  <w:tcW w:w="507" w:type="pct"/>
                  <w:shd w:val="clear" w:color="auto" w:fill="auto"/>
                  <w:vAlign w:val="center"/>
                </w:tcPr>
                <w:p w14:paraId="4EDC6CDE">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169.83</w:t>
                  </w:r>
                </w:p>
              </w:tc>
              <w:tc>
                <w:tcPr>
                  <w:tcW w:w="1281" w:type="pct"/>
                  <w:shd w:val="clear" w:color="auto" w:fill="auto"/>
                  <w:vAlign w:val="center"/>
                </w:tcPr>
                <w:p w14:paraId="1AC4442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141DFF6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w:t>
                  </w:r>
                </w:p>
                <w:p w14:paraId="27DFBC6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 51142-2015）</w:t>
                  </w:r>
                </w:p>
                <w:p w14:paraId="1454A3E9">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第 5.2. 16 条</w:t>
                  </w:r>
                </w:p>
              </w:tc>
              <w:tc>
                <w:tcPr>
                  <w:tcW w:w="427" w:type="pct"/>
                  <w:tcBorders>
                    <w:right w:val="single" w:color="000000" w:sz="10" w:space="0"/>
                  </w:tcBorders>
                  <w:shd w:val="clear" w:color="auto" w:fill="auto"/>
                  <w:vAlign w:val="center"/>
                </w:tcPr>
                <w:p w14:paraId="594AA1A7">
                  <w:pPr>
                    <w:bidi w:val="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sz w:val="21"/>
                      <w:szCs w:val="21"/>
                    </w:rPr>
                    <w:t>符合</w:t>
                  </w:r>
                </w:p>
              </w:tc>
            </w:tr>
            <w:tr w14:paraId="712698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3" w:hRule="atLeast"/>
              </w:trPr>
              <w:tc>
                <w:tcPr>
                  <w:tcW w:w="747" w:type="pct"/>
                  <w:vMerge w:val="continue"/>
                  <w:tcBorders>
                    <w:left w:val="single" w:color="000000" w:sz="10" w:space="0"/>
                  </w:tcBorders>
                  <w:vAlign w:val="center"/>
                </w:tcPr>
                <w:p w14:paraId="009FCE5D">
                  <w:pPr>
                    <w:pStyle w:val="40"/>
                    <w:bidi w:val="0"/>
                    <w:jc w:val="center"/>
                    <w:rPr>
                      <w:rFonts w:hint="default" w:ascii="Times New Roman" w:hAnsi="Times New Roman" w:cs="Times New Roman"/>
                      <w:color w:val="0000FF"/>
                      <w:sz w:val="21"/>
                      <w:szCs w:val="21"/>
                    </w:rPr>
                  </w:pPr>
                </w:p>
              </w:tc>
              <w:tc>
                <w:tcPr>
                  <w:tcW w:w="368" w:type="pct"/>
                  <w:vAlign w:val="center"/>
                </w:tcPr>
                <w:p w14:paraId="08BCC8C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1081" w:type="pct"/>
                  <w:vAlign w:val="center"/>
                </w:tcPr>
                <w:p w14:paraId="7AE1AE9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正望新材料（包头）</w:t>
                  </w:r>
                </w:p>
                <w:p w14:paraId="654E9E2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有限公司</w:t>
                  </w:r>
                </w:p>
                <w:p w14:paraId="15EA28B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钢结构厂房</w:t>
                  </w:r>
                </w:p>
                <w:p w14:paraId="13D0942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85" w:type="pct"/>
                  <w:vAlign w:val="center"/>
                </w:tcPr>
                <w:p w14:paraId="0E08870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14</w:t>
                  </w:r>
                </w:p>
              </w:tc>
              <w:tc>
                <w:tcPr>
                  <w:tcW w:w="507" w:type="pct"/>
                  <w:vAlign w:val="center"/>
                </w:tcPr>
                <w:p w14:paraId="410383E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170.28</w:t>
                  </w:r>
                </w:p>
              </w:tc>
              <w:tc>
                <w:tcPr>
                  <w:tcW w:w="1281" w:type="pct"/>
                  <w:vAlign w:val="center"/>
                </w:tcPr>
                <w:p w14:paraId="27F4098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4046D63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4.2.8 条</w:t>
                  </w:r>
                </w:p>
              </w:tc>
              <w:tc>
                <w:tcPr>
                  <w:tcW w:w="427" w:type="pct"/>
                  <w:tcBorders>
                    <w:right w:val="single" w:color="000000" w:sz="10" w:space="0"/>
                  </w:tcBorders>
                  <w:vAlign w:val="center"/>
                </w:tcPr>
                <w:p w14:paraId="075B236B">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044F8A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68EA3405">
                  <w:pPr>
                    <w:pStyle w:val="40"/>
                    <w:bidi w:val="0"/>
                    <w:jc w:val="center"/>
                    <w:rPr>
                      <w:rFonts w:hint="default" w:ascii="Times New Roman" w:hAnsi="Times New Roman" w:cs="Times New Roman"/>
                      <w:color w:val="0000FF"/>
                      <w:sz w:val="21"/>
                      <w:szCs w:val="21"/>
                    </w:rPr>
                  </w:pPr>
                </w:p>
              </w:tc>
              <w:tc>
                <w:tcPr>
                  <w:tcW w:w="368" w:type="pct"/>
                  <w:vAlign w:val="center"/>
                </w:tcPr>
                <w:p w14:paraId="089D298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1081" w:type="pct"/>
                  <w:vAlign w:val="center"/>
                </w:tcPr>
                <w:p w14:paraId="5476A9D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规划支路</w:t>
                  </w:r>
                </w:p>
              </w:tc>
              <w:tc>
                <w:tcPr>
                  <w:tcW w:w="585" w:type="pct"/>
                  <w:vAlign w:val="center"/>
                </w:tcPr>
                <w:p w14:paraId="389649A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w:t>
                  </w:r>
                </w:p>
              </w:tc>
              <w:tc>
                <w:tcPr>
                  <w:tcW w:w="507" w:type="pct"/>
                  <w:vAlign w:val="center"/>
                </w:tcPr>
                <w:p w14:paraId="26AB62E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72.79</w:t>
                  </w:r>
                </w:p>
              </w:tc>
              <w:tc>
                <w:tcPr>
                  <w:tcW w:w="1281" w:type="pct"/>
                  <w:vAlign w:val="center"/>
                </w:tcPr>
                <w:p w14:paraId="5A1AEC9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70B20A6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w:t>
                  </w:r>
                </w:p>
                <w:p w14:paraId="43A2AA9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 51142-2015）</w:t>
                  </w:r>
                </w:p>
                <w:p w14:paraId="282257E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16 条</w:t>
                  </w:r>
                </w:p>
              </w:tc>
              <w:tc>
                <w:tcPr>
                  <w:tcW w:w="427" w:type="pct"/>
                  <w:tcBorders>
                    <w:right w:val="single" w:color="000000" w:sz="10" w:space="0"/>
                  </w:tcBorders>
                  <w:vAlign w:val="center"/>
                </w:tcPr>
                <w:p w14:paraId="7DD4E5F5">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09EC8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3CC6822F">
                  <w:pPr>
                    <w:pStyle w:val="40"/>
                    <w:bidi w:val="0"/>
                    <w:jc w:val="center"/>
                    <w:rPr>
                      <w:rFonts w:hint="default" w:ascii="Times New Roman" w:hAnsi="Times New Roman" w:cs="Times New Roman"/>
                      <w:color w:val="0000FF"/>
                      <w:sz w:val="21"/>
                      <w:szCs w:val="21"/>
                    </w:rPr>
                  </w:pPr>
                </w:p>
              </w:tc>
              <w:tc>
                <w:tcPr>
                  <w:tcW w:w="368" w:type="pct"/>
                  <w:vMerge w:val="restart"/>
                  <w:tcBorders>
                    <w:bottom w:val="nil"/>
                  </w:tcBorders>
                  <w:vAlign w:val="center"/>
                </w:tcPr>
                <w:p w14:paraId="11423A6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1081" w:type="pct"/>
                  <w:vAlign w:val="center"/>
                </w:tcPr>
                <w:p w14:paraId="27ECBAD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大连大特（同类企</w:t>
                  </w:r>
                </w:p>
                <w:p w14:paraId="21A49B8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业） 消防泵房（戊</w:t>
                  </w:r>
                </w:p>
                <w:p w14:paraId="233EA01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类、二级）</w:t>
                  </w:r>
                </w:p>
              </w:tc>
              <w:tc>
                <w:tcPr>
                  <w:tcW w:w="585" w:type="pct"/>
                  <w:vAlign w:val="center"/>
                </w:tcPr>
                <w:p w14:paraId="740F637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w:t>
                  </w:r>
                </w:p>
              </w:tc>
              <w:tc>
                <w:tcPr>
                  <w:tcW w:w="507" w:type="pct"/>
                  <w:vAlign w:val="center"/>
                </w:tcPr>
                <w:p w14:paraId="0640BBB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40.51</w:t>
                  </w:r>
                </w:p>
              </w:tc>
              <w:tc>
                <w:tcPr>
                  <w:tcW w:w="1281" w:type="pct"/>
                  <w:vAlign w:val="center"/>
                </w:tcPr>
                <w:p w14:paraId="5679204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w:t>
                  </w:r>
                </w:p>
                <w:p w14:paraId="2A51746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防火标准》</w:t>
                  </w:r>
                </w:p>
                <w:p w14:paraId="2503E01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w:t>
                  </w:r>
                </w:p>
                <w:p w14:paraId="7D2FBD2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（2018 年版）表 4.1.10</w:t>
                  </w:r>
                </w:p>
              </w:tc>
              <w:tc>
                <w:tcPr>
                  <w:tcW w:w="427" w:type="pct"/>
                  <w:tcBorders>
                    <w:right w:val="single" w:color="000000" w:sz="10" w:space="0"/>
                  </w:tcBorders>
                  <w:vAlign w:val="center"/>
                </w:tcPr>
                <w:p w14:paraId="5074FF3A">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0A810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42" w:hRule="atLeast"/>
              </w:trPr>
              <w:tc>
                <w:tcPr>
                  <w:tcW w:w="747" w:type="pct"/>
                  <w:vMerge w:val="continue"/>
                  <w:tcBorders>
                    <w:left w:val="single" w:color="000000" w:sz="10" w:space="0"/>
                  </w:tcBorders>
                  <w:vAlign w:val="center"/>
                </w:tcPr>
                <w:p w14:paraId="54F89AA3">
                  <w:pPr>
                    <w:pStyle w:val="40"/>
                    <w:bidi w:val="0"/>
                    <w:jc w:val="center"/>
                    <w:rPr>
                      <w:rFonts w:hint="default" w:ascii="Times New Roman" w:hAnsi="Times New Roman" w:cs="Times New Roman"/>
                      <w:color w:val="0000FF"/>
                      <w:sz w:val="21"/>
                      <w:szCs w:val="21"/>
                    </w:rPr>
                  </w:pPr>
                </w:p>
              </w:tc>
              <w:tc>
                <w:tcPr>
                  <w:tcW w:w="368" w:type="pct"/>
                  <w:vMerge w:val="continue"/>
                  <w:tcBorders>
                    <w:top w:val="nil"/>
                  </w:tcBorders>
                  <w:vAlign w:val="center"/>
                </w:tcPr>
                <w:p w14:paraId="591E96AB">
                  <w:pPr>
                    <w:pStyle w:val="40"/>
                    <w:bidi w:val="0"/>
                    <w:jc w:val="center"/>
                    <w:rPr>
                      <w:rFonts w:hint="default" w:ascii="Times New Roman" w:hAnsi="Times New Roman" w:cs="Times New Roman"/>
                      <w:color w:val="0000FF"/>
                      <w:sz w:val="21"/>
                      <w:szCs w:val="21"/>
                    </w:rPr>
                  </w:pPr>
                </w:p>
              </w:tc>
              <w:tc>
                <w:tcPr>
                  <w:tcW w:w="1081" w:type="pct"/>
                  <w:vAlign w:val="center"/>
                </w:tcPr>
                <w:p w14:paraId="46E5AE8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大连大特气体公司检测车间（丁类、二级）</w:t>
                  </w:r>
                </w:p>
              </w:tc>
              <w:tc>
                <w:tcPr>
                  <w:tcW w:w="585" w:type="pct"/>
                  <w:vAlign w:val="center"/>
                </w:tcPr>
                <w:p w14:paraId="0F54E9D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w:t>
                  </w:r>
                </w:p>
              </w:tc>
              <w:tc>
                <w:tcPr>
                  <w:tcW w:w="507" w:type="pct"/>
                  <w:vAlign w:val="center"/>
                </w:tcPr>
                <w:p w14:paraId="3D49C2A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40.78</w:t>
                  </w:r>
                </w:p>
              </w:tc>
              <w:tc>
                <w:tcPr>
                  <w:tcW w:w="1281" w:type="pct"/>
                  <w:vAlign w:val="center"/>
                </w:tcPr>
                <w:p w14:paraId="5A4B5E0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w:t>
                  </w:r>
                </w:p>
                <w:p w14:paraId="33BE924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程设计规范》</w:t>
                  </w:r>
                </w:p>
                <w:p w14:paraId="196BC65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 51142-2015）</w:t>
                  </w:r>
                </w:p>
                <w:p w14:paraId="050C3CD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16 条</w:t>
                  </w:r>
                </w:p>
              </w:tc>
              <w:tc>
                <w:tcPr>
                  <w:tcW w:w="427" w:type="pct"/>
                  <w:tcBorders>
                    <w:right w:val="single" w:color="000000" w:sz="10" w:space="0"/>
                  </w:tcBorders>
                  <w:vAlign w:val="center"/>
                </w:tcPr>
                <w:p w14:paraId="7BFF5A7C">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74B86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2" w:hRule="atLeast"/>
              </w:trPr>
              <w:tc>
                <w:tcPr>
                  <w:tcW w:w="747" w:type="pct"/>
                  <w:vMerge w:val="restart"/>
                  <w:tcBorders>
                    <w:left w:val="single" w:color="000000" w:sz="10" w:space="0"/>
                    <w:bottom w:val="nil"/>
                  </w:tcBorders>
                  <w:vAlign w:val="center"/>
                </w:tcPr>
                <w:p w14:paraId="5633B10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新瓶库</w:t>
                  </w:r>
                </w:p>
                <w:p w14:paraId="24CCC0C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（丙类、二级）</w:t>
                  </w:r>
                </w:p>
              </w:tc>
              <w:tc>
                <w:tcPr>
                  <w:tcW w:w="368" w:type="pct"/>
                  <w:vAlign w:val="center"/>
                </w:tcPr>
                <w:p w14:paraId="2298F73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1081" w:type="pct"/>
                  <w:vAlign w:val="center"/>
                </w:tcPr>
                <w:p w14:paraId="5345D94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正望新材料（包头）</w:t>
                  </w:r>
                </w:p>
                <w:p w14:paraId="051B62B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有限公司</w:t>
                  </w:r>
                </w:p>
                <w:p w14:paraId="590C320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钢结构厂房</w:t>
                  </w:r>
                </w:p>
                <w:p w14:paraId="044994B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85" w:type="pct"/>
                  <w:vAlign w:val="center"/>
                </w:tcPr>
                <w:p w14:paraId="4886E83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vAlign w:val="center"/>
                </w:tcPr>
                <w:p w14:paraId="5FDC71D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31. 12</w:t>
                  </w:r>
                </w:p>
              </w:tc>
              <w:tc>
                <w:tcPr>
                  <w:tcW w:w="1281" w:type="pct"/>
                  <w:vAlign w:val="center"/>
                </w:tcPr>
                <w:p w14:paraId="167A1C8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72CF2A3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427" w:type="pct"/>
                  <w:tcBorders>
                    <w:right w:val="single" w:color="000000" w:sz="10" w:space="0"/>
                  </w:tcBorders>
                  <w:vAlign w:val="center"/>
                </w:tcPr>
                <w:p w14:paraId="2FDB8C06">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E25462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3" w:hRule="atLeast"/>
              </w:trPr>
              <w:tc>
                <w:tcPr>
                  <w:tcW w:w="747" w:type="pct"/>
                  <w:vMerge w:val="continue"/>
                  <w:tcBorders>
                    <w:top w:val="nil"/>
                    <w:left w:val="single" w:color="000000" w:sz="10" w:space="0"/>
                    <w:bottom w:val="nil"/>
                  </w:tcBorders>
                  <w:vAlign w:val="center"/>
                </w:tcPr>
                <w:p w14:paraId="589EB14A">
                  <w:pPr>
                    <w:pStyle w:val="40"/>
                    <w:bidi w:val="0"/>
                    <w:jc w:val="center"/>
                    <w:rPr>
                      <w:rFonts w:hint="default" w:ascii="Times New Roman" w:hAnsi="Times New Roman" w:cs="Times New Roman"/>
                      <w:color w:val="0000FF"/>
                      <w:sz w:val="21"/>
                      <w:szCs w:val="21"/>
                    </w:rPr>
                  </w:pPr>
                </w:p>
              </w:tc>
              <w:tc>
                <w:tcPr>
                  <w:tcW w:w="368" w:type="pct"/>
                  <w:vMerge w:val="restart"/>
                  <w:tcBorders>
                    <w:bottom w:val="nil"/>
                  </w:tcBorders>
                  <w:vAlign w:val="center"/>
                </w:tcPr>
                <w:p w14:paraId="7445DF2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1081" w:type="pct"/>
                  <w:vAlign w:val="center"/>
                </w:tcPr>
                <w:p w14:paraId="0F8F777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668EBA3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1#仓库</w:t>
                  </w:r>
                </w:p>
                <w:p w14:paraId="5C308BA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 甲类、二级）</w:t>
                  </w:r>
                </w:p>
              </w:tc>
              <w:tc>
                <w:tcPr>
                  <w:tcW w:w="585" w:type="pct"/>
                  <w:vAlign w:val="center"/>
                </w:tcPr>
                <w:p w14:paraId="2F38E39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507" w:type="pct"/>
                  <w:vAlign w:val="center"/>
                </w:tcPr>
                <w:p w14:paraId="3DC7BFB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25.62</w:t>
                  </w:r>
                </w:p>
              </w:tc>
              <w:tc>
                <w:tcPr>
                  <w:tcW w:w="1281" w:type="pct"/>
                  <w:vAlign w:val="center"/>
                </w:tcPr>
                <w:p w14:paraId="4551811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326D64E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3.5. 1 条</w:t>
                  </w:r>
                </w:p>
              </w:tc>
              <w:tc>
                <w:tcPr>
                  <w:tcW w:w="427" w:type="pct"/>
                  <w:tcBorders>
                    <w:right w:val="single" w:color="000000" w:sz="10" w:space="0"/>
                  </w:tcBorders>
                  <w:vAlign w:val="center"/>
                </w:tcPr>
                <w:p w14:paraId="49325F5D">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1A71F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3" w:hRule="atLeast"/>
              </w:trPr>
              <w:tc>
                <w:tcPr>
                  <w:tcW w:w="747" w:type="pct"/>
                  <w:vMerge w:val="continue"/>
                  <w:tcBorders>
                    <w:top w:val="nil"/>
                    <w:left w:val="single" w:color="000000" w:sz="10" w:space="0"/>
                  </w:tcBorders>
                  <w:vAlign w:val="center"/>
                </w:tcPr>
                <w:p w14:paraId="16CA5420">
                  <w:pPr>
                    <w:pStyle w:val="40"/>
                    <w:bidi w:val="0"/>
                    <w:jc w:val="center"/>
                    <w:rPr>
                      <w:rFonts w:hint="default" w:ascii="Times New Roman" w:hAnsi="Times New Roman" w:cs="Times New Roman"/>
                      <w:color w:val="0000FF"/>
                      <w:sz w:val="21"/>
                      <w:szCs w:val="21"/>
                    </w:rPr>
                  </w:pPr>
                </w:p>
              </w:tc>
              <w:tc>
                <w:tcPr>
                  <w:tcW w:w="368" w:type="pct"/>
                  <w:vMerge w:val="continue"/>
                  <w:tcBorders>
                    <w:top w:val="nil"/>
                  </w:tcBorders>
                  <w:vAlign w:val="center"/>
                </w:tcPr>
                <w:p w14:paraId="164B46B9">
                  <w:pPr>
                    <w:pStyle w:val="40"/>
                    <w:bidi w:val="0"/>
                    <w:jc w:val="center"/>
                    <w:rPr>
                      <w:rFonts w:hint="default" w:ascii="Times New Roman" w:hAnsi="Times New Roman" w:cs="Times New Roman"/>
                      <w:color w:val="0000FF"/>
                      <w:sz w:val="21"/>
                      <w:szCs w:val="21"/>
                    </w:rPr>
                  </w:pPr>
                </w:p>
              </w:tc>
              <w:tc>
                <w:tcPr>
                  <w:tcW w:w="1081" w:type="pct"/>
                  <w:vAlign w:val="center"/>
                </w:tcPr>
                <w:p w14:paraId="1181918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6B91071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2#仓库</w:t>
                  </w:r>
                </w:p>
                <w:p w14:paraId="1100E5D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 甲类、二级）</w:t>
                  </w:r>
                </w:p>
              </w:tc>
              <w:tc>
                <w:tcPr>
                  <w:tcW w:w="585" w:type="pct"/>
                  <w:vAlign w:val="center"/>
                </w:tcPr>
                <w:p w14:paraId="7F5E7AB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507" w:type="pct"/>
                  <w:vAlign w:val="center"/>
                </w:tcPr>
                <w:p w14:paraId="4884C555">
                  <w:pPr>
                    <w:pStyle w:val="40"/>
                    <w:bidi w:val="0"/>
                    <w:jc w:val="center"/>
                    <w:rPr>
                      <w:rFonts w:hint="default" w:ascii="Times New Roman" w:hAnsi="Times New Roman" w:cs="Times New Roman"/>
                      <w:color w:val="0000FF"/>
                      <w:sz w:val="21"/>
                      <w:szCs w:val="21"/>
                    </w:rPr>
                  </w:pPr>
                </w:p>
                <w:p w14:paraId="487000B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27. 10</w:t>
                  </w:r>
                </w:p>
              </w:tc>
              <w:tc>
                <w:tcPr>
                  <w:tcW w:w="1281" w:type="pct"/>
                  <w:vAlign w:val="center"/>
                </w:tcPr>
                <w:p w14:paraId="7DE95BD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3E298BF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3.5. 1 条</w:t>
                  </w:r>
                </w:p>
              </w:tc>
              <w:tc>
                <w:tcPr>
                  <w:tcW w:w="427" w:type="pct"/>
                  <w:tcBorders>
                    <w:right w:val="single" w:color="000000" w:sz="10" w:space="0"/>
                  </w:tcBorders>
                  <w:vAlign w:val="center"/>
                </w:tcPr>
                <w:p w14:paraId="4F4D99EB">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E3091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3" w:hRule="atLeast"/>
              </w:trPr>
              <w:tc>
                <w:tcPr>
                  <w:tcW w:w="747" w:type="pct"/>
                  <w:vMerge w:val="restart"/>
                  <w:tcBorders>
                    <w:left w:val="single" w:color="000000" w:sz="10" w:space="0"/>
                    <w:bottom w:val="nil"/>
                  </w:tcBorders>
                  <w:vAlign w:val="center"/>
                </w:tcPr>
                <w:p w14:paraId="187DCA5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辅助用房</w:t>
                  </w:r>
                </w:p>
                <w:p w14:paraId="7746887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（丁类、二级）</w:t>
                  </w:r>
                </w:p>
              </w:tc>
              <w:tc>
                <w:tcPr>
                  <w:tcW w:w="368" w:type="pct"/>
                  <w:vAlign w:val="center"/>
                </w:tcPr>
                <w:p w14:paraId="5EA50BC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1081" w:type="pct"/>
                  <w:vAlign w:val="center"/>
                </w:tcPr>
                <w:p w14:paraId="4BE37A87">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正望新材料（包头）</w:t>
                  </w:r>
                </w:p>
                <w:p w14:paraId="2CE4176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有限公司</w:t>
                  </w:r>
                </w:p>
                <w:p w14:paraId="29D8547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1#厂房</w:t>
                  </w:r>
                </w:p>
                <w:p w14:paraId="645B04D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(丙类、二级)</w:t>
                  </w:r>
                </w:p>
              </w:tc>
              <w:tc>
                <w:tcPr>
                  <w:tcW w:w="585" w:type="pct"/>
                  <w:vAlign w:val="center"/>
                </w:tcPr>
                <w:p w14:paraId="4DCFD7D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vAlign w:val="center"/>
                </w:tcPr>
                <w:p w14:paraId="58D6A19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224.88</w:t>
                  </w:r>
                </w:p>
              </w:tc>
              <w:tc>
                <w:tcPr>
                  <w:tcW w:w="1281" w:type="pct"/>
                  <w:vAlign w:val="center"/>
                </w:tcPr>
                <w:p w14:paraId="5313804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0C4773AD">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427" w:type="pct"/>
                  <w:tcBorders>
                    <w:right w:val="single" w:color="000000" w:sz="10" w:space="0"/>
                  </w:tcBorders>
                  <w:vAlign w:val="center"/>
                </w:tcPr>
                <w:p w14:paraId="573CD148">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28981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747" w:type="pct"/>
                  <w:vMerge w:val="continue"/>
                  <w:tcBorders>
                    <w:top w:val="nil"/>
                    <w:left w:val="single" w:color="000000" w:sz="10" w:space="0"/>
                    <w:bottom w:val="nil"/>
                  </w:tcBorders>
                  <w:vAlign w:val="center"/>
                </w:tcPr>
                <w:p w14:paraId="10235035">
                  <w:pPr>
                    <w:pStyle w:val="40"/>
                    <w:bidi w:val="0"/>
                    <w:jc w:val="center"/>
                    <w:rPr>
                      <w:rFonts w:hint="default" w:ascii="Times New Roman" w:hAnsi="Times New Roman" w:cs="Times New Roman"/>
                      <w:color w:val="0000FF"/>
                      <w:sz w:val="21"/>
                      <w:szCs w:val="21"/>
                    </w:rPr>
                  </w:pPr>
                </w:p>
              </w:tc>
              <w:tc>
                <w:tcPr>
                  <w:tcW w:w="368" w:type="pct"/>
                  <w:vAlign w:val="center"/>
                </w:tcPr>
                <w:p w14:paraId="4E0E973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1081" w:type="pct"/>
                  <w:vAlign w:val="center"/>
                </w:tcPr>
                <w:p w14:paraId="14D3DB6B">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规划支路</w:t>
                  </w:r>
                </w:p>
              </w:tc>
              <w:tc>
                <w:tcPr>
                  <w:tcW w:w="585" w:type="pct"/>
                  <w:vAlign w:val="center"/>
                </w:tcPr>
                <w:p w14:paraId="6D69756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507" w:type="pct"/>
                  <w:vAlign w:val="center"/>
                </w:tcPr>
                <w:p w14:paraId="2F03958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11.90</w:t>
                  </w:r>
                </w:p>
              </w:tc>
              <w:tc>
                <w:tcPr>
                  <w:tcW w:w="1281" w:type="pct"/>
                  <w:vAlign w:val="center"/>
                </w:tcPr>
                <w:p w14:paraId="2BA5054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427" w:type="pct"/>
                  <w:tcBorders>
                    <w:right w:val="single" w:color="000000" w:sz="10" w:space="0"/>
                  </w:tcBorders>
                  <w:vAlign w:val="center"/>
                </w:tcPr>
                <w:p w14:paraId="15956A0E">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03491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3" w:hRule="atLeast"/>
              </w:trPr>
              <w:tc>
                <w:tcPr>
                  <w:tcW w:w="747" w:type="pct"/>
                  <w:vMerge w:val="continue"/>
                  <w:tcBorders>
                    <w:top w:val="nil"/>
                    <w:left w:val="single" w:color="000000" w:sz="10" w:space="0"/>
                    <w:bottom w:val="nil"/>
                  </w:tcBorders>
                  <w:vAlign w:val="center"/>
                </w:tcPr>
                <w:p w14:paraId="136C9D23">
                  <w:pPr>
                    <w:pStyle w:val="40"/>
                    <w:bidi w:val="0"/>
                    <w:jc w:val="center"/>
                    <w:rPr>
                      <w:rFonts w:hint="default" w:ascii="Times New Roman" w:hAnsi="Times New Roman" w:cs="Times New Roman"/>
                      <w:color w:val="0000FF"/>
                      <w:sz w:val="21"/>
                      <w:szCs w:val="21"/>
                    </w:rPr>
                  </w:pPr>
                </w:p>
              </w:tc>
              <w:tc>
                <w:tcPr>
                  <w:tcW w:w="368" w:type="pct"/>
                  <w:vMerge w:val="restart"/>
                  <w:tcBorders>
                    <w:bottom w:val="nil"/>
                  </w:tcBorders>
                  <w:vAlign w:val="center"/>
                </w:tcPr>
                <w:p w14:paraId="1DE23DA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1081" w:type="pct"/>
                  <w:vAlign w:val="center"/>
                </w:tcPr>
                <w:p w14:paraId="718FDB39">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686BB77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办公楼</w:t>
                  </w:r>
                </w:p>
                <w:p w14:paraId="5778B37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（民建、二级）</w:t>
                  </w:r>
                </w:p>
              </w:tc>
              <w:tc>
                <w:tcPr>
                  <w:tcW w:w="585" w:type="pct"/>
                  <w:vAlign w:val="center"/>
                </w:tcPr>
                <w:p w14:paraId="161269F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vAlign w:val="center"/>
                </w:tcPr>
                <w:p w14:paraId="3DF5040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87.29</w:t>
                  </w:r>
                </w:p>
              </w:tc>
              <w:tc>
                <w:tcPr>
                  <w:tcW w:w="1281" w:type="pct"/>
                  <w:vAlign w:val="center"/>
                </w:tcPr>
                <w:p w14:paraId="06552E1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4E6141D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427" w:type="pct"/>
                  <w:tcBorders>
                    <w:right w:val="single" w:color="000000" w:sz="10" w:space="0"/>
                  </w:tcBorders>
                  <w:vAlign w:val="center"/>
                </w:tcPr>
                <w:p w14:paraId="60FA2EB4">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BA4B3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3" w:hRule="atLeast"/>
              </w:trPr>
              <w:tc>
                <w:tcPr>
                  <w:tcW w:w="747" w:type="pct"/>
                  <w:vMerge w:val="continue"/>
                  <w:tcBorders>
                    <w:top w:val="nil"/>
                    <w:left w:val="single" w:color="000000" w:sz="10" w:space="0"/>
                    <w:bottom w:val="single" w:color="auto" w:sz="4" w:space="0"/>
                  </w:tcBorders>
                  <w:vAlign w:val="center"/>
                </w:tcPr>
                <w:p w14:paraId="3051F49E">
                  <w:pPr>
                    <w:pStyle w:val="40"/>
                    <w:bidi w:val="0"/>
                    <w:jc w:val="center"/>
                    <w:rPr>
                      <w:rFonts w:hint="default" w:ascii="Times New Roman" w:hAnsi="Times New Roman" w:cs="Times New Roman"/>
                      <w:color w:val="0000FF"/>
                      <w:sz w:val="21"/>
                      <w:szCs w:val="21"/>
                    </w:rPr>
                  </w:pPr>
                </w:p>
              </w:tc>
              <w:tc>
                <w:tcPr>
                  <w:tcW w:w="368" w:type="pct"/>
                  <w:vMerge w:val="continue"/>
                  <w:tcBorders>
                    <w:top w:val="nil"/>
                    <w:bottom w:val="single" w:color="auto" w:sz="4" w:space="0"/>
                  </w:tcBorders>
                  <w:vAlign w:val="center"/>
                </w:tcPr>
                <w:p w14:paraId="26D9932C">
                  <w:pPr>
                    <w:pStyle w:val="40"/>
                    <w:bidi w:val="0"/>
                    <w:jc w:val="center"/>
                    <w:rPr>
                      <w:rFonts w:hint="default" w:ascii="Times New Roman" w:hAnsi="Times New Roman" w:cs="Times New Roman"/>
                      <w:color w:val="0000FF"/>
                      <w:sz w:val="21"/>
                      <w:szCs w:val="21"/>
                    </w:rPr>
                  </w:pPr>
                </w:p>
              </w:tc>
              <w:tc>
                <w:tcPr>
                  <w:tcW w:w="1081" w:type="pct"/>
                  <w:tcBorders>
                    <w:bottom w:val="single" w:color="auto" w:sz="4" w:space="0"/>
                  </w:tcBorders>
                  <w:vAlign w:val="center"/>
                </w:tcPr>
                <w:p w14:paraId="30FADA7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1889100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w:t>
                  </w:r>
                </w:p>
                <w:p w14:paraId="43C1BE9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85" w:type="pct"/>
                  <w:tcBorders>
                    <w:bottom w:val="single" w:color="auto" w:sz="4" w:space="0"/>
                  </w:tcBorders>
                  <w:vAlign w:val="center"/>
                </w:tcPr>
                <w:p w14:paraId="7517F53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tcBorders>
                    <w:bottom w:val="single" w:color="auto" w:sz="4" w:space="0"/>
                  </w:tcBorders>
                  <w:vAlign w:val="center"/>
                </w:tcPr>
                <w:p w14:paraId="6CAE2C7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94.30</w:t>
                  </w:r>
                </w:p>
              </w:tc>
              <w:tc>
                <w:tcPr>
                  <w:tcW w:w="1281" w:type="pct"/>
                  <w:tcBorders>
                    <w:bottom w:val="single" w:color="auto" w:sz="4" w:space="0"/>
                  </w:tcBorders>
                  <w:vAlign w:val="center"/>
                </w:tcPr>
                <w:p w14:paraId="2D5083E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1BC1035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427" w:type="pct"/>
                  <w:tcBorders>
                    <w:bottom w:val="single" w:color="auto" w:sz="4" w:space="0"/>
                    <w:right w:val="single" w:color="000000" w:sz="10" w:space="0"/>
                  </w:tcBorders>
                  <w:vAlign w:val="center"/>
                </w:tcPr>
                <w:p w14:paraId="7FE3E818">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FE5AA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3" w:hRule="atLeast"/>
              </w:trPr>
              <w:tc>
                <w:tcPr>
                  <w:tcW w:w="747" w:type="pct"/>
                  <w:vMerge w:val="restart"/>
                  <w:tcBorders>
                    <w:top w:val="single" w:color="auto" w:sz="4" w:space="0"/>
                    <w:left w:val="single" w:color="auto" w:sz="4" w:space="0"/>
                    <w:bottom w:val="single" w:color="auto" w:sz="4" w:space="0"/>
                    <w:right w:val="single" w:color="auto" w:sz="4" w:space="0"/>
                  </w:tcBorders>
                  <w:vAlign w:val="center"/>
                </w:tcPr>
                <w:p w14:paraId="690D501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控制室（丁类、二级）</w:t>
                  </w:r>
                </w:p>
              </w:tc>
              <w:tc>
                <w:tcPr>
                  <w:tcW w:w="368" w:type="pct"/>
                  <w:tcBorders>
                    <w:top w:val="single" w:color="auto" w:sz="4" w:space="0"/>
                    <w:left w:val="single" w:color="auto" w:sz="4" w:space="0"/>
                    <w:bottom w:val="single" w:color="auto" w:sz="4" w:space="0"/>
                    <w:right w:val="single" w:color="auto" w:sz="4" w:space="0"/>
                  </w:tcBorders>
                  <w:vAlign w:val="center"/>
                </w:tcPr>
                <w:p w14:paraId="3AF95A3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1081" w:type="pct"/>
                  <w:tcBorders>
                    <w:top w:val="single" w:color="auto" w:sz="4" w:space="0"/>
                    <w:left w:val="single" w:color="auto" w:sz="4" w:space="0"/>
                    <w:bottom w:val="single" w:color="auto" w:sz="4" w:space="0"/>
                    <w:right w:val="single" w:color="auto" w:sz="4" w:space="0"/>
                  </w:tcBorders>
                  <w:vAlign w:val="center"/>
                </w:tcPr>
                <w:p w14:paraId="2AC16C1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正望新材料（包头）</w:t>
                  </w:r>
                </w:p>
                <w:p w14:paraId="07DBCFB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有限公司</w:t>
                  </w:r>
                </w:p>
                <w:p w14:paraId="7BE95B2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1#厂房</w:t>
                  </w:r>
                </w:p>
                <w:p w14:paraId="0EFAE7D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(丙类、二级)</w:t>
                  </w:r>
                </w:p>
              </w:tc>
              <w:tc>
                <w:tcPr>
                  <w:tcW w:w="585" w:type="pct"/>
                  <w:tcBorders>
                    <w:top w:val="single" w:color="auto" w:sz="4" w:space="0"/>
                    <w:left w:val="single" w:color="auto" w:sz="4" w:space="0"/>
                    <w:bottom w:val="single" w:color="auto" w:sz="4" w:space="0"/>
                    <w:right w:val="single" w:color="auto" w:sz="4" w:space="0"/>
                  </w:tcBorders>
                  <w:vAlign w:val="center"/>
                </w:tcPr>
                <w:p w14:paraId="14380102">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tcBorders>
                    <w:top w:val="single" w:color="auto" w:sz="4" w:space="0"/>
                    <w:left w:val="single" w:color="auto" w:sz="4" w:space="0"/>
                    <w:bottom w:val="single" w:color="auto" w:sz="4" w:space="0"/>
                    <w:right w:val="single" w:color="auto" w:sz="4" w:space="0"/>
                  </w:tcBorders>
                  <w:vAlign w:val="center"/>
                </w:tcPr>
                <w:p w14:paraId="4933740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205.09</w:t>
                  </w:r>
                </w:p>
              </w:tc>
              <w:tc>
                <w:tcPr>
                  <w:tcW w:w="1281" w:type="pct"/>
                  <w:tcBorders>
                    <w:top w:val="single" w:color="auto" w:sz="4" w:space="0"/>
                    <w:left w:val="single" w:color="auto" w:sz="4" w:space="0"/>
                    <w:bottom w:val="single" w:color="auto" w:sz="4" w:space="0"/>
                    <w:right w:val="single" w:color="auto" w:sz="4" w:space="0"/>
                  </w:tcBorders>
                  <w:vAlign w:val="center"/>
                </w:tcPr>
                <w:p w14:paraId="5E0CE35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7C4D783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427" w:type="pct"/>
                  <w:tcBorders>
                    <w:top w:val="single" w:color="auto" w:sz="4" w:space="0"/>
                    <w:left w:val="single" w:color="auto" w:sz="4" w:space="0"/>
                    <w:bottom w:val="single" w:color="auto" w:sz="4" w:space="0"/>
                    <w:right w:val="single" w:color="auto" w:sz="4" w:space="0"/>
                  </w:tcBorders>
                  <w:vAlign w:val="center"/>
                </w:tcPr>
                <w:p w14:paraId="49B779E7">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B95FE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4" w:hRule="atLeast"/>
              </w:trPr>
              <w:tc>
                <w:tcPr>
                  <w:tcW w:w="747" w:type="pct"/>
                  <w:vMerge w:val="continue"/>
                  <w:tcBorders>
                    <w:top w:val="single" w:color="auto" w:sz="4" w:space="0"/>
                    <w:left w:val="single" w:color="auto" w:sz="4" w:space="0"/>
                    <w:bottom w:val="single" w:color="auto" w:sz="4" w:space="0"/>
                    <w:right w:val="single" w:color="auto" w:sz="4" w:space="0"/>
                  </w:tcBorders>
                  <w:vAlign w:val="center"/>
                </w:tcPr>
                <w:p w14:paraId="42C80DC5">
                  <w:pPr>
                    <w:pStyle w:val="40"/>
                    <w:bidi w:val="0"/>
                    <w:jc w:val="center"/>
                    <w:rPr>
                      <w:rFonts w:hint="default" w:ascii="Times New Roman" w:hAnsi="Times New Roman" w:cs="Times New Roman"/>
                      <w:color w:val="0000FF"/>
                      <w:sz w:val="21"/>
                      <w:szCs w:val="21"/>
                    </w:rPr>
                  </w:pPr>
                </w:p>
              </w:tc>
              <w:tc>
                <w:tcPr>
                  <w:tcW w:w="368" w:type="pct"/>
                  <w:tcBorders>
                    <w:top w:val="single" w:color="auto" w:sz="4" w:space="0"/>
                    <w:left w:val="single" w:color="auto" w:sz="4" w:space="0"/>
                    <w:bottom w:val="single" w:color="auto" w:sz="4" w:space="0"/>
                    <w:right w:val="single" w:color="auto" w:sz="4" w:space="0"/>
                  </w:tcBorders>
                  <w:vAlign w:val="center"/>
                </w:tcPr>
                <w:p w14:paraId="4B4046C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1081" w:type="pct"/>
                  <w:tcBorders>
                    <w:top w:val="single" w:color="auto" w:sz="4" w:space="0"/>
                    <w:left w:val="single" w:color="auto" w:sz="4" w:space="0"/>
                    <w:bottom w:val="single" w:color="auto" w:sz="4" w:space="0"/>
                    <w:right w:val="single" w:color="auto" w:sz="4" w:space="0"/>
                  </w:tcBorders>
                  <w:vAlign w:val="center"/>
                </w:tcPr>
                <w:p w14:paraId="4CCF745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规划支路</w:t>
                  </w:r>
                </w:p>
              </w:tc>
              <w:tc>
                <w:tcPr>
                  <w:tcW w:w="585" w:type="pct"/>
                  <w:tcBorders>
                    <w:top w:val="single" w:color="auto" w:sz="4" w:space="0"/>
                    <w:left w:val="single" w:color="auto" w:sz="4" w:space="0"/>
                    <w:bottom w:val="single" w:color="auto" w:sz="4" w:space="0"/>
                    <w:right w:val="single" w:color="auto" w:sz="4" w:space="0"/>
                  </w:tcBorders>
                  <w:vAlign w:val="center"/>
                </w:tcPr>
                <w:p w14:paraId="359EF33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507" w:type="pct"/>
                  <w:tcBorders>
                    <w:top w:val="single" w:color="auto" w:sz="4" w:space="0"/>
                    <w:left w:val="single" w:color="auto" w:sz="4" w:space="0"/>
                    <w:bottom w:val="single" w:color="auto" w:sz="4" w:space="0"/>
                    <w:right w:val="single" w:color="auto" w:sz="4" w:space="0"/>
                  </w:tcBorders>
                  <w:vAlign w:val="center"/>
                </w:tcPr>
                <w:p w14:paraId="71A398B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38.22</w:t>
                  </w:r>
                </w:p>
              </w:tc>
              <w:tc>
                <w:tcPr>
                  <w:tcW w:w="1281" w:type="pct"/>
                  <w:tcBorders>
                    <w:top w:val="single" w:color="auto" w:sz="4" w:space="0"/>
                    <w:left w:val="single" w:color="auto" w:sz="4" w:space="0"/>
                    <w:bottom w:val="single" w:color="auto" w:sz="4" w:space="0"/>
                    <w:right w:val="single" w:color="auto" w:sz="4" w:space="0"/>
                  </w:tcBorders>
                  <w:vAlign w:val="center"/>
                </w:tcPr>
                <w:p w14:paraId="4931D55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427" w:type="pct"/>
                  <w:tcBorders>
                    <w:top w:val="single" w:color="auto" w:sz="4" w:space="0"/>
                    <w:left w:val="single" w:color="auto" w:sz="4" w:space="0"/>
                    <w:bottom w:val="single" w:color="auto" w:sz="4" w:space="0"/>
                    <w:right w:val="single" w:color="auto" w:sz="4" w:space="0"/>
                  </w:tcBorders>
                  <w:vAlign w:val="center"/>
                </w:tcPr>
                <w:p w14:paraId="4872F995">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A3686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3" w:hRule="atLeast"/>
              </w:trPr>
              <w:tc>
                <w:tcPr>
                  <w:tcW w:w="747" w:type="pct"/>
                  <w:vMerge w:val="continue"/>
                  <w:tcBorders>
                    <w:top w:val="single" w:color="auto" w:sz="4" w:space="0"/>
                    <w:left w:val="single" w:color="auto" w:sz="4" w:space="0"/>
                    <w:bottom w:val="single" w:color="auto" w:sz="4" w:space="0"/>
                    <w:right w:val="single" w:color="auto" w:sz="4" w:space="0"/>
                  </w:tcBorders>
                  <w:vAlign w:val="center"/>
                </w:tcPr>
                <w:p w14:paraId="23C353C5">
                  <w:pPr>
                    <w:pStyle w:val="40"/>
                    <w:bidi w:val="0"/>
                    <w:jc w:val="center"/>
                    <w:rPr>
                      <w:rFonts w:hint="default" w:ascii="Times New Roman" w:hAnsi="Times New Roman" w:cs="Times New Roman"/>
                      <w:color w:val="0000FF"/>
                      <w:sz w:val="21"/>
                      <w:szCs w:val="21"/>
                    </w:rPr>
                  </w:pPr>
                </w:p>
              </w:tc>
              <w:tc>
                <w:tcPr>
                  <w:tcW w:w="368" w:type="pct"/>
                  <w:vMerge w:val="restart"/>
                  <w:tcBorders>
                    <w:top w:val="single" w:color="auto" w:sz="4" w:space="0"/>
                    <w:left w:val="single" w:color="auto" w:sz="4" w:space="0"/>
                    <w:bottom w:val="single" w:color="auto" w:sz="4" w:space="0"/>
                    <w:right w:val="single" w:color="auto" w:sz="4" w:space="0"/>
                  </w:tcBorders>
                  <w:vAlign w:val="center"/>
                </w:tcPr>
                <w:p w14:paraId="7C0B83B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1081" w:type="pct"/>
                  <w:tcBorders>
                    <w:top w:val="single" w:color="auto" w:sz="4" w:space="0"/>
                    <w:left w:val="single" w:color="auto" w:sz="4" w:space="0"/>
                    <w:bottom w:val="single" w:color="auto" w:sz="4" w:space="0"/>
                    <w:right w:val="single" w:color="auto" w:sz="4" w:space="0"/>
                  </w:tcBorders>
                  <w:vAlign w:val="center"/>
                </w:tcPr>
                <w:p w14:paraId="089D8860">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6419BA41">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办公楼</w:t>
                  </w:r>
                </w:p>
                <w:p w14:paraId="6CAE388C">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（民建、二级）</w:t>
                  </w:r>
                </w:p>
              </w:tc>
              <w:tc>
                <w:tcPr>
                  <w:tcW w:w="585" w:type="pct"/>
                  <w:tcBorders>
                    <w:top w:val="single" w:color="auto" w:sz="4" w:space="0"/>
                    <w:left w:val="single" w:color="auto" w:sz="4" w:space="0"/>
                    <w:bottom w:val="single" w:color="auto" w:sz="4" w:space="0"/>
                    <w:right w:val="single" w:color="auto" w:sz="4" w:space="0"/>
                  </w:tcBorders>
                  <w:vAlign w:val="center"/>
                </w:tcPr>
                <w:p w14:paraId="64F14A65">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tcBorders>
                    <w:top w:val="single" w:color="auto" w:sz="4" w:space="0"/>
                    <w:left w:val="single" w:color="auto" w:sz="4" w:space="0"/>
                    <w:bottom w:val="single" w:color="auto" w:sz="4" w:space="0"/>
                    <w:right w:val="single" w:color="auto" w:sz="4" w:space="0"/>
                  </w:tcBorders>
                  <w:vAlign w:val="center"/>
                </w:tcPr>
                <w:p w14:paraId="649973F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86.69</w:t>
                  </w:r>
                </w:p>
              </w:tc>
              <w:tc>
                <w:tcPr>
                  <w:tcW w:w="1281" w:type="pct"/>
                  <w:tcBorders>
                    <w:top w:val="single" w:color="auto" w:sz="4" w:space="0"/>
                    <w:left w:val="single" w:color="auto" w:sz="4" w:space="0"/>
                    <w:bottom w:val="single" w:color="auto" w:sz="4" w:space="0"/>
                    <w:right w:val="single" w:color="auto" w:sz="4" w:space="0"/>
                  </w:tcBorders>
                  <w:vAlign w:val="center"/>
                </w:tcPr>
                <w:p w14:paraId="485D723F">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798CFCA3">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427" w:type="pct"/>
                  <w:tcBorders>
                    <w:top w:val="single" w:color="auto" w:sz="4" w:space="0"/>
                    <w:left w:val="single" w:color="auto" w:sz="4" w:space="0"/>
                    <w:bottom w:val="single" w:color="auto" w:sz="4" w:space="0"/>
                    <w:right w:val="single" w:color="auto" w:sz="4" w:space="0"/>
                  </w:tcBorders>
                  <w:vAlign w:val="center"/>
                </w:tcPr>
                <w:p w14:paraId="3F8CDFA6">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B77B7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5" w:hRule="atLeast"/>
              </w:trPr>
              <w:tc>
                <w:tcPr>
                  <w:tcW w:w="747" w:type="pct"/>
                  <w:vMerge w:val="continue"/>
                  <w:tcBorders>
                    <w:top w:val="single" w:color="auto" w:sz="4" w:space="0"/>
                    <w:left w:val="single" w:color="auto" w:sz="4" w:space="0"/>
                    <w:bottom w:val="single" w:color="auto" w:sz="4" w:space="0"/>
                    <w:right w:val="single" w:color="auto" w:sz="4" w:space="0"/>
                  </w:tcBorders>
                  <w:vAlign w:val="center"/>
                </w:tcPr>
                <w:p w14:paraId="14D09C8B">
                  <w:pPr>
                    <w:pStyle w:val="40"/>
                    <w:bidi w:val="0"/>
                    <w:jc w:val="center"/>
                    <w:rPr>
                      <w:rFonts w:hint="default" w:ascii="Times New Roman" w:hAnsi="Times New Roman" w:cs="Times New Roman"/>
                      <w:color w:val="0000FF"/>
                      <w:sz w:val="21"/>
                      <w:szCs w:val="21"/>
                    </w:rPr>
                  </w:pPr>
                </w:p>
              </w:tc>
              <w:tc>
                <w:tcPr>
                  <w:tcW w:w="368" w:type="pct"/>
                  <w:vMerge w:val="continue"/>
                  <w:tcBorders>
                    <w:top w:val="single" w:color="auto" w:sz="4" w:space="0"/>
                    <w:left w:val="single" w:color="auto" w:sz="4" w:space="0"/>
                    <w:bottom w:val="single" w:color="auto" w:sz="4" w:space="0"/>
                    <w:right w:val="single" w:color="auto" w:sz="4" w:space="0"/>
                  </w:tcBorders>
                  <w:vAlign w:val="center"/>
                </w:tcPr>
                <w:p w14:paraId="79B939DF">
                  <w:pPr>
                    <w:pStyle w:val="40"/>
                    <w:bidi w:val="0"/>
                    <w:jc w:val="center"/>
                    <w:rPr>
                      <w:rFonts w:hint="default" w:ascii="Times New Roman" w:hAnsi="Times New Roman" w:cs="Times New Roman"/>
                      <w:color w:val="0000FF"/>
                      <w:sz w:val="21"/>
                      <w:szCs w:val="21"/>
                    </w:rPr>
                  </w:pPr>
                </w:p>
              </w:tc>
              <w:tc>
                <w:tcPr>
                  <w:tcW w:w="1081" w:type="pct"/>
                  <w:tcBorders>
                    <w:top w:val="single" w:color="auto" w:sz="4" w:space="0"/>
                    <w:left w:val="single" w:color="auto" w:sz="4" w:space="0"/>
                    <w:bottom w:val="single" w:color="auto" w:sz="4" w:space="0"/>
                    <w:right w:val="single" w:color="auto" w:sz="4" w:space="0"/>
                  </w:tcBorders>
                  <w:vAlign w:val="center"/>
                </w:tcPr>
                <w:p w14:paraId="784C854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39760378">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w:t>
                  </w:r>
                </w:p>
                <w:p w14:paraId="6E23961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85" w:type="pct"/>
                  <w:tcBorders>
                    <w:top w:val="single" w:color="auto" w:sz="4" w:space="0"/>
                    <w:left w:val="single" w:color="auto" w:sz="4" w:space="0"/>
                    <w:bottom w:val="single" w:color="auto" w:sz="4" w:space="0"/>
                    <w:right w:val="single" w:color="auto" w:sz="4" w:space="0"/>
                  </w:tcBorders>
                  <w:vAlign w:val="center"/>
                </w:tcPr>
                <w:p w14:paraId="6CDED3CA">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507" w:type="pct"/>
                  <w:tcBorders>
                    <w:top w:val="single" w:color="auto" w:sz="4" w:space="0"/>
                    <w:left w:val="single" w:color="auto" w:sz="4" w:space="0"/>
                    <w:bottom w:val="single" w:color="auto" w:sz="4" w:space="0"/>
                    <w:right w:val="single" w:color="auto" w:sz="4" w:space="0"/>
                  </w:tcBorders>
                  <w:vAlign w:val="center"/>
                </w:tcPr>
                <w:p w14:paraId="098D6786">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88. 13</w:t>
                  </w:r>
                </w:p>
              </w:tc>
              <w:tc>
                <w:tcPr>
                  <w:tcW w:w="1281" w:type="pct"/>
                  <w:tcBorders>
                    <w:top w:val="single" w:color="auto" w:sz="4" w:space="0"/>
                    <w:left w:val="single" w:color="auto" w:sz="4" w:space="0"/>
                    <w:bottom w:val="single" w:color="auto" w:sz="4" w:space="0"/>
                    <w:right w:val="single" w:color="auto" w:sz="4" w:space="0"/>
                  </w:tcBorders>
                  <w:vAlign w:val="center"/>
                </w:tcPr>
                <w:p w14:paraId="449F573E">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4F749D44">
                  <w:pPr>
                    <w:pStyle w:val="40"/>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427" w:type="pct"/>
                  <w:tcBorders>
                    <w:top w:val="single" w:color="auto" w:sz="4" w:space="0"/>
                    <w:left w:val="single" w:color="auto" w:sz="4" w:space="0"/>
                    <w:bottom w:val="single" w:color="auto" w:sz="4" w:space="0"/>
                    <w:right w:val="single" w:color="auto" w:sz="4" w:space="0"/>
                  </w:tcBorders>
                  <w:vAlign w:val="center"/>
                </w:tcPr>
                <w:p w14:paraId="5F2F9064">
                  <w:pPr>
                    <w:bidi w:val="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3A3E9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5" w:hRule="atLeast"/>
              </w:trPr>
              <w:tc>
                <w:tcPr>
                  <w:tcW w:w="1192" w:type="dxa"/>
                  <w:vMerge w:val="restart"/>
                  <w:tcBorders>
                    <w:top w:val="single" w:color="auto" w:sz="4" w:space="0"/>
                    <w:left w:val="single" w:color="auto" w:sz="4" w:space="0"/>
                    <w:bottom w:val="single" w:color="auto" w:sz="4" w:space="0"/>
                    <w:right w:val="single" w:color="auto" w:sz="4" w:space="0"/>
                  </w:tcBorders>
                  <w:vAlign w:val="center"/>
                </w:tcPr>
                <w:p w14:paraId="0D4A44AD">
                  <w:pPr>
                    <w:pStyle w:val="40"/>
                    <w:bidi w:val="0"/>
                    <w:jc w:val="center"/>
                    <w:rPr>
                      <w:color w:val="0000FF"/>
                    </w:rPr>
                  </w:pPr>
                  <w:r>
                    <w:rPr>
                      <w:color w:val="0000FF"/>
                    </w:rPr>
                    <w:t>气瓶检测间</w:t>
                  </w:r>
                </w:p>
                <w:p w14:paraId="355B31C3">
                  <w:pPr>
                    <w:pStyle w:val="40"/>
                    <w:bidi w:val="0"/>
                    <w:jc w:val="center"/>
                    <w:rPr>
                      <w:color w:val="0000FF"/>
                    </w:rPr>
                  </w:pPr>
                  <w:r>
                    <w:rPr>
                      <w:color w:val="0000FF"/>
                    </w:rPr>
                    <w:t>（丁类、二</w:t>
                  </w:r>
                </w:p>
                <w:p w14:paraId="50107D93">
                  <w:pPr>
                    <w:pStyle w:val="40"/>
                    <w:bidi w:val="0"/>
                    <w:jc w:val="center"/>
                    <w:rPr>
                      <w:rFonts w:hint="default"/>
                      <w:color w:val="0000FF"/>
                    </w:rPr>
                  </w:pPr>
                  <w:r>
                    <w:rPr>
                      <w:color w:val="0000FF"/>
                    </w:rPr>
                    <w:t>级）</w:t>
                  </w:r>
                </w:p>
              </w:tc>
              <w:tc>
                <w:tcPr>
                  <w:tcW w:w="587" w:type="dxa"/>
                  <w:tcBorders>
                    <w:top w:val="single" w:color="auto" w:sz="4" w:space="0"/>
                    <w:left w:val="single" w:color="auto" w:sz="4" w:space="0"/>
                    <w:bottom w:val="single" w:color="auto" w:sz="4" w:space="0"/>
                    <w:right w:val="single" w:color="auto" w:sz="4" w:space="0"/>
                  </w:tcBorders>
                  <w:vAlign w:val="center"/>
                </w:tcPr>
                <w:p w14:paraId="268B2114">
                  <w:pPr>
                    <w:pStyle w:val="40"/>
                    <w:bidi w:val="0"/>
                    <w:jc w:val="center"/>
                    <w:rPr>
                      <w:rFonts w:hint="default"/>
                      <w:color w:val="0000FF"/>
                    </w:rPr>
                  </w:pPr>
                  <w:r>
                    <w:rPr>
                      <w:color w:val="0000FF"/>
                    </w:rPr>
                    <w:t>西侧</w:t>
                  </w:r>
                </w:p>
              </w:tc>
              <w:tc>
                <w:tcPr>
                  <w:tcW w:w="1725" w:type="dxa"/>
                  <w:tcBorders>
                    <w:top w:val="single" w:color="auto" w:sz="4" w:space="0"/>
                    <w:left w:val="single" w:color="auto" w:sz="4" w:space="0"/>
                    <w:bottom w:val="single" w:color="auto" w:sz="4" w:space="0"/>
                    <w:right w:val="single" w:color="auto" w:sz="4" w:space="0"/>
                  </w:tcBorders>
                  <w:vAlign w:val="center"/>
                </w:tcPr>
                <w:p w14:paraId="16AE172E">
                  <w:pPr>
                    <w:pStyle w:val="40"/>
                    <w:bidi w:val="0"/>
                    <w:jc w:val="center"/>
                    <w:rPr>
                      <w:rFonts w:hint="default"/>
                      <w:color w:val="0000FF"/>
                    </w:rPr>
                  </w:pPr>
                  <w:r>
                    <w:rPr>
                      <w:color w:val="0000FF"/>
                    </w:rPr>
                    <w:t>规划支路</w:t>
                  </w:r>
                </w:p>
              </w:tc>
              <w:tc>
                <w:tcPr>
                  <w:tcW w:w="934" w:type="dxa"/>
                  <w:tcBorders>
                    <w:top w:val="single" w:color="auto" w:sz="4" w:space="0"/>
                    <w:left w:val="single" w:color="auto" w:sz="4" w:space="0"/>
                    <w:bottom w:val="single" w:color="auto" w:sz="4" w:space="0"/>
                    <w:right w:val="single" w:color="auto" w:sz="4" w:space="0"/>
                  </w:tcBorders>
                  <w:vAlign w:val="center"/>
                </w:tcPr>
                <w:p w14:paraId="7CD14B45">
                  <w:pPr>
                    <w:pStyle w:val="40"/>
                    <w:bidi w:val="0"/>
                    <w:jc w:val="center"/>
                    <w:rPr>
                      <w:rFonts w:hint="default"/>
                      <w:color w:val="0000FF"/>
                    </w:rPr>
                  </w:pPr>
                  <w:r>
                    <w:rPr>
                      <w:color w:val="0000FF"/>
                    </w:rPr>
                    <w:t>/</w:t>
                  </w:r>
                </w:p>
              </w:tc>
              <w:tc>
                <w:tcPr>
                  <w:tcW w:w="809" w:type="dxa"/>
                  <w:tcBorders>
                    <w:top w:val="single" w:color="auto" w:sz="4" w:space="0"/>
                    <w:left w:val="single" w:color="auto" w:sz="4" w:space="0"/>
                    <w:bottom w:val="single" w:color="auto" w:sz="4" w:space="0"/>
                    <w:right w:val="single" w:color="auto" w:sz="4" w:space="0"/>
                  </w:tcBorders>
                  <w:vAlign w:val="center"/>
                </w:tcPr>
                <w:p w14:paraId="030E734A">
                  <w:pPr>
                    <w:pStyle w:val="40"/>
                    <w:bidi w:val="0"/>
                    <w:jc w:val="center"/>
                    <w:rPr>
                      <w:rFonts w:hint="default"/>
                      <w:color w:val="0000FF"/>
                    </w:rPr>
                  </w:pPr>
                  <w:r>
                    <w:rPr>
                      <w:color w:val="0000FF"/>
                    </w:rPr>
                    <w:t>11.78</w:t>
                  </w:r>
                </w:p>
              </w:tc>
              <w:tc>
                <w:tcPr>
                  <w:tcW w:w="2044" w:type="dxa"/>
                  <w:tcBorders>
                    <w:top w:val="single" w:color="auto" w:sz="4" w:space="0"/>
                    <w:left w:val="single" w:color="auto" w:sz="4" w:space="0"/>
                    <w:bottom w:val="single" w:color="auto" w:sz="4" w:space="0"/>
                    <w:right w:val="single" w:color="auto" w:sz="4" w:space="0"/>
                  </w:tcBorders>
                  <w:vAlign w:val="center"/>
                </w:tcPr>
                <w:p w14:paraId="568BA04E">
                  <w:pPr>
                    <w:pStyle w:val="40"/>
                    <w:bidi w:val="0"/>
                    <w:jc w:val="center"/>
                    <w:rPr>
                      <w:rFonts w:hint="default"/>
                      <w:color w:val="0000FF"/>
                    </w:rPr>
                  </w:pPr>
                  <w:r>
                    <w:rPr>
                      <w:color w:val="0000FF"/>
                    </w:rPr>
                    <w:t>/</w:t>
                  </w:r>
                </w:p>
              </w:tc>
              <w:tc>
                <w:tcPr>
                  <w:tcW w:w="682" w:type="dxa"/>
                  <w:tcBorders>
                    <w:top w:val="single" w:color="auto" w:sz="4" w:space="0"/>
                    <w:left w:val="single" w:color="auto" w:sz="4" w:space="0"/>
                    <w:bottom w:val="single" w:color="auto" w:sz="4" w:space="0"/>
                    <w:right w:val="single" w:color="auto" w:sz="4" w:space="0"/>
                  </w:tcBorders>
                  <w:vAlign w:val="center"/>
                </w:tcPr>
                <w:p w14:paraId="179FAEA0">
                  <w:pPr>
                    <w:pStyle w:val="40"/>
                    <w:bidi w:val="0"/>
                    <w:jc w:val="center"/>
                    <w:rPr>
                      <w:rFonts w:hint="default"/>
                      <w:color w:val="0000FF"/>
                    </w:rPr>
                  </w:pPr>
                  <w:r>
                    <w:rPr>
                      <w:color w:val="0000FF"/>
                    </w:rPr>
                    <w:t>符合</w:t>
                  </w:r>
                </w:p>
              </w:tc>
            </w:tr>
            <w:tr w14:paraId="77C3B1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05" w:hRule="atLeast"/>
              </w:trPr>
              <w:tc>
                <w:tcPr>
                  <w:tcW w:w="1192" w:type="dxa"/>
                  <w:vMerge w:val="continue"/>
                  <w:tcBorders>
                    <w:top w:val="single" w:color="auto" w:sz="4" w:space="0"/>
                    <w:left w:val="single" w:color="auto" w:sz="4" w:space="0"/>
                    <w:bottom w:val="single" w:color="auto" w:sz="4" w:space="0"/>
                    <w:right w:val="single" w:color="auto" w:sz="4" w:space="0"/>
                  </w:tcBorders>
                  <w:vAlign w:val="center"/>
                </w:tcPr>
                <w:p w14:paraId="5A7C480F">
                  <w:pPr>
                    <w:pStyle w:val="40"/>
                    <w:bidi w:val="0"/>
                    <w:jc w:val="center"/>
                    <w:rPr>
                      <w:rFonts w:hint="default"/>
                      <w:color w:val="0000FF"/>
                    </w:rPr>
                  </w:pPr>
                </w:p>
              </w:tc>
              <w:tc>
                <w:tcPr>
                  <w:tcW w:w="587" w:type="dxa"/>
                  <w:tcBorders>
                    <w:top w:val="single" w:color="auto" w:sz="4" w:space="0"/>
                    <w:left w:val="single" w:color="auto" w:sz="4" w:space="0"/>
                    <w:bottom w:val="single" w:color="auto" w:sz="4" w:space="0"/>
                    <w:right w:val="single" w:color="auto" w:sz="4" w:space="0"/>
                  </w:tcBorders>
                  <w:vAlign w:val="center"/>
                </w:tcPr>
                <w:p w14:paraId="3FBE1707">
                  <w:pPr>
                    <w:pStyle w:val="40"/>
                    <w:bidi w:val="0"/>
                    <w:jc w:val="center"/>
                    <w:rPr>
                      <w:rFonts w:hint="default"/>
                      <w:color w:val="0000FF"/>
                    </w:rPr>
                  </w:pPr>
                  <w:r>
                    <w:rPr>
                      <w:color w:val="0000FF"/>
                    </w:rPr>
                    <w:t>南侧</w:t>
                  </w:r>
                </w:p>
              </w:tc>
              <w:tc>
                <w:tcPr>
                  <w:tcW w:w="1725" w:type="dxa"/>
                  <w:tcBorders>
                    <w:top w:val="single" w:color="auto" w:sz="4" w:space="0"/>
                    <w:left w:val="single" w:color="auto" w:sz="4" w:space="0"/>
                    <w:bottom w:val="single" w:color="auto" w:sz="4" w:space="0"/>
                    <w:right w:val="single" w:color="auto" w:sz="4" w:space="0"/>
                  </w:tcBorders>
                  <w:vAlign w:val="center"/>
                </w:tcPr>
                <w:p w14:paraId="78F602B4">
                  <w:pPr>
                    <w:pStyle w:val="40"/>
                    <w:bidi w:val="0"/>
                    <w:jc w:val="center"/>
                    <w:rPr>
                      <w:color w:val="0000FF"/>
                    </w:rPr>
                  </w:pPr>
                  <w:r>
                    <w:rPr>
                      <w:color w:val="0000FF"/>
                    </w:rPr>
                    <w:t>大连大特气体公司</w:t>
                  </w:r>
                </w:p>
                <w:p w14:paraId="7A2F73C8">
                  <w:pPr>
                    <w:pStyle w:val="40"/>
                    <w:bidi w:val="0"/>
                    <w:jc w:val="center"/>
                    <w:rPr>
                      <w:color w:val="0000FF"/>
                    </w:rPr>
                  </w:pPr>
                  <w:r>
                    <w:rPr>
                      <w:color w:val="0000FF"/>
                    </w:rPr>
                    <w:t>办公楼</w:t>
                  </w:r>
                </w:p>
                <w:p w14:paraId="105DA8F7">
                  <w:pPr>
                    <w:pStyle w:val="40"/>
                    <w:bidi w:val="0"/>
                    <w:jc w:val="center"/>
                    <w:rPr>
                      <w:rFonts w:hint="default"/>
                      <w:color w:val="0000FF"/>
                    </w:rPr>
                  </w:pPr>
                  <w:r>
                    <w:rPr>
                      <w:color w:val="0000FF"/>
                    </w:rPr>
                    <w:t>（民建、二级）</w:t>
                  </w:r>
                </w:p>
              </w:tc>
              <w:tc>
                <w:tcPr>
                  <w:tcW w:w="934" w:type="dxa"/>
                  <w:tcBorders>
                    <w:top w:val="single" w:color="auto" w:sz="4" w:space="0"/>
                    <w:left w:val="single" w:color="auto" w:sz="4" w:space="0"/>
                    <w:bottom w:val="single" w:color="auto" w:sz="4" w:space="0"/>
                    <w:right w:val="single" w:color="auto" w:sz="4" w:space="0"/>
                  </w:tcBorders>
                  <w:vAlign w:val="center"/>
                </w:tcPr>
                <w:p w14:paraId="29AEC4AF">
                  <w:pPr>
                    <w:pStyle w:val="40"/>
                    <w:bidi w:val="0"/>
                    <w:jc w:val="center"/>
                    <w:rPr>
                      <w:rFonts w:hint="default"/>
                      <w:color w:val="0000FF"/>
                    </w:rPr>
                  </w:pPr>
                  <w:r>
                    <w:rPr>
                      <w:color w:val="0000FF"/>
                    </w:rPr>
                    <w:t>10</w:t>
                  </w:r>
                </w:p>
              </w:tc>
              <w:tc>
                <w:tcPr>
                  <w:tcW w:w="809" w:type="dxa"/>
                  <w:tcBorders>
                    <w:top w:val="single" w:color="auto" w:sz="4" w:space="0"/>
                    <w:left w:val="single" w:color="auto" w:sz="4" w:space="0"/>
                    <w:bottom w:val="single" w:color="auto" w:sz="4" w:space="0"/>
                    <w:right w:val="single" w:color="auto" w:sz="4" w:space="0"/>
                  </w:tcBorders>
                  <w:vAlign w:val="center"/>
                </w:tcPr>
                <w:p w14:paraId="3E0E8C8A">
                  <w:pPr>
                    <w:pStyle w:val="40"/>
                    <w:bidi w:val="0"/>
                    <w:jc w:val="center"/>
                    <w:rPr>
                      <w:rFonts w:hint="default"/>
                      <w:color w:val="0000FF"/>
                    </w:rPr>
                  </w:pPr>
                  <w:r>
                    <w:rPr>
                      <w:color w:val="0000FF"/>
                    </w:rPr>
                    <w:t>18.55</w:t>
                  </w:r>
                </w:p>
              </w:tc>
              <w:tc>
                <w:tcPr>
                  <w:tcW w:w="2044" w:type="dxa"/>
                  <w:tcBorders>
                    <w:top w:val="single" w:color="auto" w:sz="4" w:space="0"/>
                    <w:left w:val="single" w:color="auto" w:sz="4" w:space="0"/>
                    <w:bottom w:val="single" w:color="auto" w:sz="4" w:space="0"/>
                    <w:right w:val="single" w:color="auto" w:sz="4" w:space="0"/>
                  </w:tcBorders>
                  <w:vAlign w:val="center"/>
                </w:tcPr>
                <w:p w14:paraId="06E53F14">
                  <w:pPr>
                    <w:pStyle w:val="40"/>
                    <w:bidi w:val="0"/>
                    <w:jc w:val="center"/>
                    <w:rPr>
                      <w:color w:val="0000FF"/>
                    </w:rPr>
                  </w:pPr>
                  <w:r>
                    <w:rPr>
                      <w:color w:val="0000FF"/>
                    </w:rPr>
                    <w:t>《建筑设计防火规范》 （GB50016-2014，2018</w:t>
                  </w:r>
                </w:p>
                <w:p w14:paraId="516D36CB">
                  <w:pPr>
                    <w:pStyle w:val="40"/>
                    <w:bidi w:val="0"/>
                    <w:jc w:val="center"/>
                    <w:rPr>
                      <w:rFonts w:hint="default"/>
                      <w:color w:val="0000FF"/>
                    </w:rPr>
                  </w:pPr>
                  <w:r>
                    <w:rPr>
                      <w:color w:val="0000FF"/>
                    </w:rPr>
                    <w:t>年版） 第 3.4. 1 条</w:t>
                  </w:r>
                </w:p>
              </w:tc>
              <w:tc>
                <w:tcPr>
                  <w:tcW w:w="682" w:type="dxa"/>
                  <w:tcBorders>
                    <w:top w:val="single" w:color="auto" w:sz="4" w:space="0"/>
                    <w:left w:val="single" w:color="auto" w:sz="4" w:space="0"/>
                    <w:bottom w:val="single" w:color="auto" w:sz="4" w:space="0"/>
                    <w:right w:val="single" w:color="auto" w:sz="4" w:space="0"/>
                  </w:tcBorders>
                  <w:vAlign w:val="center"/>
                </w:tcPr>
                <w:p w14:paraId="25C08D20">
                  <w:pPr>
                    <w:pStyle w:val="40"/>
                    <w:bidi w:val="0"/>
                    <w:jc w:val="center"/>
                    <w:rPr>
                      <w:color w:val="0000FF"/>
                    </w:rPr>
                  </w:pPr>
                </w:p>
                <w:p w14:paraId="778B0AA6">
                  <w:pPr>
                    <w:pStyle w:val="40"/>
                    <w:bidi w:val="0"/>
                    <w:jc w:val="center"/>
                    <w:rPr>
                      <w:rFonts w:hint="default"/>
                      <w:color w:val="0000FF"/>
                    </w:rPr>
                  </w:pPr>
                  <w:r>
                    <w:rPr>
                      <w:color w:val="0000FF"/>
                    </w:rPr>
                    <w:t>符合</w:t>
                  </w:r>
                </w:p>
              </w:tc>
            </w:tr>
          </w:tbl>
          <w:p w14:paraId="55C8E2DE">
            <w:pPr>
              <w:keepNext w:val="0"/>
              <w:keepLines w:val="0"/>
              <w:pageBreakBefore w:val="0"/>
              <w:widowControl/>
              <w:suppressLineNumbers w:val="0"/>
              <w:kinsoku/>
              <w:wordWrap/>
              <w:overflowPunct/>
              <w:topLinePunct w:val="0"/>
              <w:autoSpaceDE/>
              <w:autoSpaceDN/>
              <w:bidi w:val="0"/>
              <w:adjustRightInd/>
              <w:snapToGrid/>
              <w:spacing w:before="313" w:beforeLines="100" w:line="360" w:lineRule="auto"/>
              <w:ind w:right="0" w:firstLine="422" w:firstLineChars="200"/>
              <w:jc w:val="center"/>
              <w:textAlignment w:val="auto"/>
              <w:rPr>
                <w:rFonts w:hint="eastAsia" w:ascii="Times New Roman" w:hAnsi="Times New Roman" w:eastAsia="宋体" w:cs="Times New Roman"/>
                <w:b/>
                <w:bCs/>
                <w:color w:val="0000FF"/>
                <w:sz w:val="21"/>
                <w:szCs w:val="21"/>
                <w:highlight w:val="none"/>
                <w:lang w:val="en-US" w:eastAsia="zh-CN"/>
              </w:rPr>
            </w:pPr>
            <w:r>
              <w:rPr>
                <w:rFonts w:hint="eastAsia" w:ascii="Times New Roman" w:hAnsi="Times New Roman" w:eastAsia="宋体" w:cs="Times New Roman"/>
                <w:b/>
                <w:bCs/>
                <w:color w:val="0000FF"/>
                <w:sz w:val="21"/>
                <w:szCs w:val="21"/>
                <w:highlight w:val="none"/>
                <w:lang w:val="en-US" w:eastAsia="zh-CN"/>
              </w:rPr>
              <w:t>表2.3-4    本项目主要建构筑物安全距离一览表</w:t>
            </w:r>
          </w:p>
          <w:tbl>
            <w:tblPr>
              <w:tblStyle w:val="84"/>
              <w:tblW w:w="79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502"/>
              <w:gridCol w:w="856"/>
              <w:gridCol w:w="1395"/>
              <w:gridCol w:w="871"/>
              <w:gridCol w:w="660"/>
              <w:gridCol w:w="2345"/>
              <w:gridCol w:w="358"/>
            </w:tblGrid>
            <w:tr w14:paraId="4653F8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Align w:val="center"/>
                </w:tcPr>
                <w:p w14:paraId="09582C85">
                  <w:pPr>
                    <w:pStyle w:val="40"/>
                    <w:bidi w:val="0"/>
                    <w:snapToGrid w:val="0"/>
                    <w:ind w:left="0" w:leftChars="0" w:right="0" w:rightChars="0" w:firstLine="0" w:firstLineChars="0"/>
                    <w:jc w:val="center"/>
                    <w:rPr>
                      <w:rFonts w:hint="default" w:ascii="Times New Roman" w:hAnsi="Times New Roman" w:cs="Times New Roman"/>
                      <w:b/>
                      <w:color w:val="0000FF"/>
                      <w:sz w:val="21"/>
                      <w:szCs w:val="21"/>
                    </w:rPr>
                  </w:pPr>
                  <w:r>
                    <w:rPr>
                      <w:rFonts w:hint="default" w:ascii="Times New Roman" w:hAnsi="Times New Roman" w:cs="Times New Roman"/>
                      <w:b/>
                      <w:color w:val="0000FF"/>
                      <w:sz w:val="21"/>
                      <w:szCs w:val="21"/>
                    </w:rPr>
                    <w:t>建筑名称</w:t>
                  </w:r>
                </w:p>
              </w:tc>
              <w:tc>
                <w:tcPr>
                  <w:tcW w:w="536" w:type="pct"/>
                  <w:vAlign w:val="center"/>
                </w:tcPr>
                <w:p w14:paraId="40A0A17C">
                  <w:pPr>
                    <w:pStyle w:val="40"/>
                    <w:bidi w:val="0"/>
                    <w:snapToGrid w:val="0"/>
                    <w:ind w:left="0" w:leftChars="0" w:right="0" w:rightChars="0" w:firstLine="0" w:firstLineChars="0"/>
                    <w:jc w:val="center"/>
                    <w:rPr>
                      <w:rFonts w:hint="default" w:ascii="Times New Roman" w:hAnsi="Times New Roman" w:cs="Times New Roman"/>
                      <w:b/>
                      <w:color w:val="0000FF"/>
                      <w:sz w:val="21"/>
                      <w:szCs w:val="21"/>
                    </w:rPr>
                  </w:pPr>
                  <w:r>
                    <w:rPr>
                      <w:rFonts w:hint="default" w:ascii="Times New Roman" w:hAnsi="Times New Roman" w:cs="Times New Roman"/>
                      <w:b/>
                      <w:color w:val="0000FF"/>
                      <w:sz w:val="21"/>
                      <w:szCs w:val="21"/>
                    </w:rPr>
                    <w:t>方位</w:t>
                  </w:r>
                </w:p>
              </w:tc>
              <w:tc>
                <w:tcPr>
                  <w:tcW w:w="873" w:type="pct"/>
                  <w:vAlign w:val="center"/>
                </w:tcPr>
                <w:p w14:paraId="3C2FA182">
                  <w:pPr>
                    <w:pStyle w:val="40"/>
                    <w:bidi w:val="0"/>
                    <w:snapToGrid w:val="0"/>
                    <w:ind w:left="0" w:leftChars="0" w:right="0" w:rightChars="0" w:firstLine="0" w:firstLineChars="0"/>
                    <w:jc w:val="center"/>
                    <w:rPr>
                      <w:rFonts w:hint="default" w:ascii="Times New Roman" w:hAnsi="Times New Roman" w:cs="Times New Roman"/>
                      <w:b/>
                      <w:color w:val="0000FF"/>
                      <w:sz w:val="21"/>
                      <w:szCs w:val="21"/>
                    </w:rPr>
                  </w:pPr>
                  <w:r>
                    <w:rPr>
                      <w:rFonts w:hint="default" w:ascii="Times New Roman" w:hAnsi="Times New Roman" w:cs="Times New Roman"/>
                      <w:b/>
                      <w:color w:val="0000FF"/>
                      <w:sz w:val="21"/>
                      <w:szCs w:val="21"/>
                    </w:rPr>
                    <w:t>周围建构筑物名称</w:t>
                  </w:r>
                </w:p>
              </w:tc>
              <w:tc>
                <w:tcPr>
                  <w:tcW w:w="545" w:type="pct"/>
                  <w:vAlign w:val="center"/>
                </w:tcPr>
                <w:p w14:paraId="29BEC24B">
                  <w:pPr>
                    <w:pStyle w:val="40"/>
                    <w:bidi w:val="0"/>
                    <w:snapToGrid w:val="0"/>
                    <w:ind w:left="0" w:leftChars="0" w:right="0" w:rightChars="0" w:firstLine="0" w:firstLineChars="0"/>
                    <w:jc w:val="center"/>
                    <w:rPr>
                      <w:rFonts w:hint="default" w:ascii="Times New Roman" w:hAnsi="Times New Roman" w:cs="Times New Roman"/>
                      <w:b/>
                      <w:color w:val="0000FF"/>
                      <w:sz w:val="21"/>
                      <w:szCs w:val="21"/>
                    </w:rPr>
                  </w:pPr>
                  <w:r>
                    <w:rPr>
                      <w:rFonts w:hint="default" w:ascii="Times New Roman" w:hAnsi="Times New Roman" w:cs="Times New Roman"/>
                      <w:b/>
                      <w:color w:val="0000FF"/>
                      <w:sz w:val="21"/>
                      <w:szCs w:val="21"/>
                    </w:rPr>
                    <w:t>规范距离/m</w:t>
                  </w:r>
                </w:p>
              </w:tc>
              <w:tc>
                <w:tcPr>
                  <w:tcW w:w="413" w:type="pct"/>
                  <w:vAlign w:val="center"/>
                </w:tcPr>
                <w:p w14:paraId="5B66E6D6">
                  <w:pPr>
                    <w:pStyle w:val="40"/>
                    <w:bidi w:val="0"/>
                    <w:snapToGrid w:val="0"/>
                    <w:ind w:left="0" w:leftChars="0" w:right="0" w:rightChars="0" w:firstLine="0" w:firstLineChars="0"/>
                    <w:jc w:val="center"/>
                    <w:rPr>
                      <w:rFonts w:hint="default" w:ascii="Times New Roman" w:hAnsi="Times New Roman" w:cs="Times New Roman"/>
                      <w:b/>
                      <w:color w:val="0000FF"/>
                      <w:sz w:val="21"/>
                      <w:szCs w:val="21"/>
                    </w:rPr>
                  </w:pPr>
                  <w:r>
                    <w:rPr>
                      <w:rFonts w:hint="default" w:ascii="Times New Roman" w:hAnsi="Times New Roman" w:cs="Times New Roman"/>
                      <w:b/>
                      <w:color w:val="0000FF"/>
                      <w:sz w:val="21"/>
                      <w:szCs w:val="21"/>
                    </w:rPr>
                    <w:t>设计距离/m</w:t>
                  </w:r>
                </w:p>
              </w:tc>
              <w:tc>
                <w:tcPr>
                  <w:tcW w:w="1468" w:type="pct"/>
                  <w:vAlign w:val="center"/>
                </w:tcPr>
                <w:p w14:paraId="3698F900">
                  <w:pPr>
                    <w:pStyle w:val="40"/>
                    <w:bidi w:val="0"/>
                    <w:snapToGrid w:val="0"/>
                    <w:ind w:left="0" w:leftChars="0" w:right="0" w:rightChars="0" w:firstLine="0" w:firstLineChars="0"/>
                    <w:jc w:val="center"/>
                    <w:rPr>
                      <w:rFonts w:hint="default" w:ascii="Times New Roman" w:hAnsi="Times New Roman" w:cs="Times New Roman"/>
                      <w:b/>
                      <w:color w:val="0000FF"/>
                      <w:sz w:val="21"/>
                      <w:szCs w:val="21"/>
                    </w:rPr>
                  </w:pPr>
                  <w:r>
                    <w:rPr>
                      <w:rFonts w:hint="default" w:ascii="Times New Roman" w:hAnsi="Times New Roman" w:cs="Times New Roman"/>
                      <w:b/>
                      <w:color w:val="0000FF"/>
                      <w:sz w:val="21"/>
                      <w:szCs w:val="21"/>
                    </w:rPr>
                    <w:t>标准依据</w:t>
                  </w:r>
                </w:p>
              </w:tc>
              <w:tc>
                <w:tcPr>
                  <w:tcW w:w="222" w:type="pct"/>
                  <w:vAlign w:val="center"/>
                </w:tcPr>
                <w:p w14:paraId="496A2A1F">
                  <w:pPr>
                    <w:pStyle w:val="40"/>
                    <w:bidi w:val="0"/>
                    <w:snapToGrid w:val="0"/>
                    <w:ind w:left="0" w:leftChars="0" w:right="0" w:rightChars="0" w:firstLine="0" w:firstLineChars="0"/>
                    <w:jc w:val="center"/>
                    <w:rPr>
                      <w:rFonts w:hint="default" w:ascii="Times New Roman" w:hAnsi="Times New Roman" w:cs="Times New Roman"/>
                      <w:b/>
                      <w:color w:val="0000FF"/>
                      <w:sz w:val="21"/>
                      <w:szCs w:val="21"/>
                    </w:rPr>
                  </w:pPr>
                  <w:r>
                    <w:rPr>
                      <w:rFonts w:hint="default" w:ascii="Times New Roman" w:hAnsi="Times New Roman" w:cs="Times New Roman"/>
                      <w:b/>
                      <w:color w:val="0000FF"/>
                      <w:sz w:val="21"/>
                      <w:szCs w:val="21"/>
                    </w:rPr>
                    <w:t>符合性</w:t>
                  </w:r>
                </w:p>
              </w:tc>
            </w:tr>
            <w:tr w14:paraId="35A55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70E16FB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辅助用房</w:t>
                  </w:r>
                </w:p>
                <w:p w14:paraId="4876D9A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（丁类，二级）</w:t>
                  </w:r>
                </w:p>
              </w:tc>
              <w:tc>
                <w:tcPr>
                  <w:tcW w:w="536" w:type="pct"/>
                  <w:vAlign w:val="center"/>
                </w:tcPr>
                <w:p w14:paraId="0538F2A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7B8D0E0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厂区围墙</w:t>
                  </w:r>
                </w:p>
              </w:tc>
              <w:tc>
                <w:tcPr>
                  <w:tcW w:w="545" w:type="pct"/>
                  <w:vAlign w:val="center"/>
                </w:tcPr>
                <w:p w14:paraId="1D8D1D1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5.00</w:t>
                  </w:r>
                </w:p>
              </w:tc>
              <w:tc>
                <w:tcPr>
                  <w:tcW w:w="413" w:type="pct"/>
                  <w:vAlign w:val="center"/>
                </w:tcPr>
                <w:p w14:paraId="235D6D2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10.23</w:t>
                  </w:r>
                </w:p>
              </w:tc>
              <w:tc>
                <w:tcPr>
                  <w:tcW w:w="1468" w:type="pct"/>
                  <w:vAlign w:val="center"/>
                </w:tcPr>
                <w:p w14:paraId="1E25434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1D5EB67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第3.4.12 条</w:t>
                  </w:r>
                </w:p>
              </w:tc>
              <w:tc>
                <w:tcPr>
                  <w:tcW w:w="222" w:type="pct"/>
                  <w:vAlign w:val="center"/>
                </w:tcPr>
                <w:p w14:paraId="353C078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DB4D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98C77E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1C576B9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7A5F2F4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厂区围墙</w:t>
                  </w:r>
                </w:p>
              </w:tc>
              <w:tc>
                <w:tcPr>
                  <w:tcW w:w="545" w:type="pct"/>
                  <w:vAlign w:val="center"/>
                </w:tcPr>
                <w:p w14:paraId="25C8D6B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5.00</w:t>
                  </w:r>
                </w:p>
              </w:tc>
              <w:tc>
                <w:tcPr>
                  <w:tcW w:w="413" w:type="pct"/>
                  <w:vAlign w:val="center"/>
                </w:tcPr>
                <w:p w14:paraId="7863AA0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6.86</w:t>
                  </w:r>
                </w:p>
              </w:tc>
              <w:tc>
                <w:tcPr>
                  <w:tcW w:w="1468" w:type="pct"/>
                  <w:vAlign w:val="center"/>
                </w:tcPr>
                <w:p w14:paraId="1491D6C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51E1D4A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（GB50016-2014） 第3.4.12 条</w:t>
                  </w:r>
                </w:p>
              </w:tc>
              <w:tc>
                <w:tcPr>
                  <w:tcW w:w="222" w:type="pct"/>
                  <w:vAlign w:val="center"/>
                </w:tcPr>
                <w:p w14:paraId="7006CC5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42AC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2C7048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423E92A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1E137B4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门卫（民建，二级）</w:t>
                  </w:r>
                </w:p>
              </w:tc>
              <w:tc>
                <w:tcPr>
                  <w:tcW w:w="545" w:type="pct"/>
                  <w:vAlign w:val="center"/>
                </w:tcPr>
                <w:p w14:paraId="28CD35A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084E245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24.41</w:t>
                  </w:r>
                </w:p>
              </w:tc>
              <w:tc>
                <w:tcPr>
                  <w:tcW w:w="1468" w:type="pct"/>
                  <w:vAlign w:val="center"/>
                </w:tcPr>
                <w:p w14:paraId="6E512F4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513555A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表3.4.1</w:t>
                  </w:r>
                </w:p>
              </w:tc>
              <w:tc>
                <w:tcPr>
                  <w:tcW w:w="222" w:type="pct"/>
                  <w:vAlign w:val="center"/>
                </w:tcPr>
                <w:p w14:paraId="78CE3E7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48A1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B5A033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2A20846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4F3A231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气瓶检验间 （丁类，二级）</w:t>
                  </w:r>
                </w:p>
              </w:tc>
              <w:tc>
                <w:tcPr>
                  <w:tcW w:w="545" w:type="pct"/>
                  <w:vAlign w:val="center"/>
                </w:tcPr>
                <w:p w14:paraId="7FD9AEF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077443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42.02</w:t>
                  </w:r>
                </w:p>
              </w:tc>
              <w:tc>
                <w:tcPr>
                  <w:tcW w:w="1468" w:type="pct"/>
                  <w:vAlign w:val="center"/>
                </w:tcPr>
                <w:p w14:paraId="563860C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5FE065E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表3.4.1</w:t>
                  </w:r>
                </w:p>
              </w:tc>
              <w:tc>
                <w:tcPr>
                  <w:tcW w:w="222" w:type="pct"/>
                  <w:vAlign w:val="center"/>
                </w:tcPr>
                <w:p w14:paraId="49D8678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5E300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9F6312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6CFF57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16A4E15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控制室</w:t>
                  </w:r>
                </w:p>
                <w:p w14:paraId="3553ED4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（全厂第一类</w:t>
                  </w:r>
                </w:p>
                <w:p w14:paraId="1D5E594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重要设施，丁</w:t>
                  </w:r>
                </w:p>
                <w:p w14:paraId="18136C9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类，一级）</w:t>
                  </w:r>
                </w:p>
              </w:tc>
              <w:tc>
                <w:tcPr>
                  <w:tcW w:w="545" w:type="pct"/>
                  <w:vAlign w:val="center"/>
                </w:tcPr>
                <w:p w14:paraId="7E7D3CA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49CBFF3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10.28</w:t>
                  </w:r>
                </w:p>
              </w:tc>
              <w:tc>
                <w:tcPr>
                  <w:tcW w:w="1468" w:type="pct"/>
                  <w:vAlign w:val="center"/>
                </w:tcPr>
                <w:p w14:paraId="09C0472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2FDF829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表3.4.1</w:t>
                  </w:r>
                </w:p>
              </w:tc>
              <w:tc>
                <w:tcPr>
                  <w:tcW w:w="222" w:type="pct"/>
                  <w:vAlign w:val="center"/>
                </w:tcPr>
                <w:p w14:paraId="0E99A6F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3CAE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5EFCE8A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控制室（全厂</w:t>
                  </w:r>
                </w:p>
                <w:p w14:paraId="1F5461E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第一类重要设</w:t>
                  </w:r>
                </w:p>
                <w:p w14:paraId="3C11CC5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施，丁类，一</w:t>
                  </w:r>
                </w:p>
                <w:p w14:paraId="7863DE5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级）</w:t>
                  </w:r>
                </w:p>
              </w:tc>
              <w:tc>
                <w:tcPr>
                  <w:tcW w:w="536" w:type="pct"/>
                  <w:vAlign w:val="center"/>
                </w:tcPr>
                <w:p w14:paraId="2D72281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36E28D5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厂区围墙</w:t>
                  </w:r>
                </w:p>
              </w:tc>
              <w:tc>
                <w:tcPr>
                  <w:tcW w:w="545" w:type="pct"/>
                  <w:vAlign w:val="center"/>
                </w:tcPr>
                <w:p w14:paraId="2CC3910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5.00</w:t>
                  </w:r>
                </w:p>
              </w:tc>
              <w:tc>
                <w:tcPr>
                  <w:tcW w:w="413" w:type="pct"/>
                  <w:vAlign w:val="center"/>
                </w:tcPr>
                <w:p w14:paraId="0C80E56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9.87</w:t>
                  </w:r>
                </w:p>
              </w:tc>
              <w:tc>
                <w:tcPr>
                  <w:tcW w:w="1468" w:type="pct"/>
                  <w:vAlign w:val="center"/>
                </w:tcPr>
                <w:p w14:paraId="6DFE63E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59C15D9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第3.4.12 条</w:t>
                  </w:r>
                </w:p>
              </w:tc>
              <w:tc>
                <w:tcPr>
                  <w:tcW w:w="222" w:type="pct"/>
                  <w:vAlign w:val="center"/>
                </w:tcPr>
                <w:p w14:paraId="34F4937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7A16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C25234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5AB21C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276E29A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辅助用房（丁类，二级）</w:t>
                  </w:r>
                </w:p>
              </w:tc>
              <w:tc>
                <w:tcPr>
                  <w:tcW w:w="545" w:type="pct"/>
                  <w:vAlign w:val="center"/>
                </w:tcPr>
                <w:p w14:paraId="214CBE6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5BFE68C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10.28</w:t>
                  </w:r>
                </w:p>
              </w:tc>
              <w:tc>
                <w:tcPr>
                  <w:tcW w:w="1468" w:type="pct"/>
                  <w:vAlign w:val="center"/>
                </w:tcPr>
                <w:p w14:paraId="073D072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23F23A0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表3.4.1</w:t>
                  </w:r>
                </w:p>
              </w:tc>
              <w:tc>
                <w:tcPr>
                  <w:tcW w:w="222" w:type="pct"/>
                  <w:vAlign w:val="center"/>
                </w:tcPr>
                <w:p w14:paraId="7E0F205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BF80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3B567F8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6B409C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290F965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气瓶检验间 （丁类，二级）</w:t>
                  </w:r>
                </w:p>
              </w:tc>
              <w:tc>
                <w:tcPr>
                  <w:tcW w:w="545" w:type="pct"/>
                  <w:vAlign w:val="center"/>
                </w:tcPr>
                <w:p w14:paraId="64EF7E4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1468A1A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41.42</w:t>
                  </w:r>
                </w:p>
              </w:tc>
              <w:tc>
                <w:tcPr>
                  <w:tcW w:w="1468" w:type="pct"/>
                  <w:vAlign w:val="center"/>
                </w:tcPr>
                <w:p w14:paraId="16DA56C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4F2032A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表3.4.1</w:t>
                  </w:r>
                </w:p>
              </w:tc>
              <w:tc>
                <w:tcPr>
                  <w:tcW w:w="222" w:type="pct"/>
                  <w:vAlign w:val="center"/>
                </w:tcPr>
                <w:p w14:paraId="12B99F9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B070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3D66F3A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2FAC5AE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7662328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卸车台（丙烷卸车臂，甲类）</w:t>
                  </w:r>
                </w:p>
              </w:tc>
              <w:tc>
                <w:tcPr>
                  <w:tcW w:w="545" w:type="pct"/>
                  <w:vAlign w:val="center"/>
                </w:tcPr>
                <w:p w14:paraId="12B7F14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40.00</w:t>
                  </w:r>
                </w:p>
              </w:tc>
              <w:tc>
                <w:tcPr>
                  <w:tcW w:w="413" w:type="pct"/>
                  <w:vAlign w:val="center"/>
                </w:tcPr>
                <w:p w14:paraId="14FF303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55.03</w:t>
                  </w:r>
                </w:p>
              </w:tc>
              <w:tc>
                <w:tcPr>
                  <w:tcW w:w="1468" w:type="pct"/>
                  <w:vAlign w:val="center"/>
                </w:tcPr>
                <w:p w14:paraId="163C912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02A5A76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（GB50160-2008）表 4.2.12</w:t>
                  </w:r>
                </w:p>
              </w:tc>
              <w:tc>
                <w:tcPr>
                  <w:tcW w:w="222" w:type="pct"/>
                  <w:vAlign w:val="center"/>
                </w:tcPr>
                <w:p w14:paraId="35485DF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0F189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9C91BA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906413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73CFC42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消防泵房（全</w:t>
                  </w:r>
                </w:p>
                <w:p w14:paraId="5377661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厂第一类重要</w:t>
                  </w:r>
                </w:p>
                <w:p w14:paraId="7A3C0FA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设施，戊类，</w:t>
                  </w:r>
                </w:p>
                <w:p w14:paraId="34E2297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二级）</w:t>
                  </w:r>
                </w:p>
              </w:tc>
              <w:tc>
                <w:tcPr>
                  <w:tcW w:w="545" w:type="pct"/>
                  <w:vAlign w:val="center"/>
                </w:tcPr>
                <w:p w14:paraId="2A43DA4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5937B1F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10.18</w:t>
                  </w:r>
                </w:p>
              </w:tc>
              <w:tc>
                <w:tcPr>
                  <w:tcW w:w="1468" w:type="pct"/>
                  <w:vAlign w:val="center"/>
                </w:tcPr>
                <w:p w14:paraId="1C86139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3EAC2A2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表3.4.1</w:t>
                  </w:r>
                </w:p>
              </w:tc>
              <w:tc>
                <w:tcPr>
                  <w:tcW w:w="222" w:type="pct"/>
                  <w:vAlign w:val="center"/>
                </w:tcPr>
                <w:p w14:paraId="7BA45B9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AE52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5ED7F1B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消防泵房（全</w:t>
                  </w:r>
                </w:p>
                <w:p w14:paraId="3C5BCAA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厂第一类重要</w:t>
                  </w:r>
                </w:p>
                <w:p w14:paraId="4CA82A1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设施，戊类，</w:t>
                  </w:r>
                </w:p>
                <w:p w14:paraId="1D7489D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二级）</w:t>
                  </w:r>
                </w:p>
              </w:tc>
              <w:tc>
                <w:tcPr>
                  <w:tcW w:w="536" w:type="pct"/>
                  <w:vAlign w:val="center"/>
                </w:tcPr>
                <w:p w14:paraId="60C930E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432276C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厂区围墙</w:t>
                  </w:r>
                </w:p>
              </w:tc>
              <w:tc>
                <w:tcPr>
                  <w:tcW w:w="545" w:type="pct"/>
                  <w:vAlign w:val="center"/>
                </w:tcPr>
                <w:p w14:paraId="72D5B46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5.00</w:t>
                  </w:r>
                </w:p>
              </w:tc>
              <w:tc>
                <w:tcPr>
                  <w:tcW w:w="413" w:type="pct"/>
                  <w:vAlign w:val="center"/>
                </w:tcPr>
                <w:p w14:paraId="35A9CC3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10.23</w:t>
                  </w:r>
                </w:p>
              </w:tc>
              <w:tc>
                <w:tcPr>
                  <w:tcW w:w="1468" w:type="pct"/>
                  <w:vAlign w:val="center"/>
                </w:tcPr>
                <w:p w14:paraId="280213A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1EE70A7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第3.4.12 条</w:t>
                  </w:r>
                </w:p>
              </w:tc>
              <w:tc>
                <w:tcPr>
                  <w:tcW w:w="222" w:type="pct"/>
                  <w:vAlign w:val="center"/>
                </w:tcPr>
                <w:p w14:paraId="75D0F0E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AD89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3A0C08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3F5C876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48D9382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控制室（全厂</w:t>
                  </w:r>
                </w:p>
                <w:p w14:paraId="58FB73E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第一类重要设</w:t>
                  </w:r>
                </w:p>
                <w:p w14:paraId="71C29B3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施，丁类，一</w:t>
                  </w:r>
                </w:p>
                <w:p w14:paraId="04E952D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级）</w:t>
                  </w:r>
                </w:p>
              </w:tc>
              <w:tc>
                <w:tcPr>
                  <w:tcW w:w="545" w:type="pct"/>
                  <w:vAlign w:val="center"/>
                </w:tcPr>
                <w:p w14:paraId="3830CF6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76E8E98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10.18</w:t>
                  </w:r>
                </w:p>
              </w:tc>
              <w:tc>
                <w:tcPr>
                  <w:tcW w:w="1468" w:type="pct"/>
                  <w:vAlign w:val="center"/>
                </w:tcPr>
                <w:p w14:paraId="059751B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7A651D2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表3.4.1</w:t>
                  </w:r>
                </w:p>
              </w:tc>
              <w:tc>
                <w:tcPr>
                  <w:tcW w:w="222" w:type="pct"/>
                  <w:vAlign w:val="center"/>
                </w:tcPr>
                <w:p w14:paraId="1855F3C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C0C6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5F1FD2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143A590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1C2577D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卸车台（丙烷卸车臂，甲类）</w:t>
                  </w:r>
                </w:p>
              </w:tc>
              <w:tc>
                <w:tcPr>
                  <w:tcW w:w="545" w:type="pct"/>
                  <w:vAlign w:val="center"/>
                </w:tcPr>
                <w:p w14:paraId="438D4E1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40.00</w:t>
                  </w:r>
                </w:p>
              </w:tc>
              <w:tc>
                <w:tcPr>
                  <w:tcW w:w="413" w:type="pct"/>
                  <w:vAlign w:val="center"/>
                </w:tcPr>
                <w:p w14:paraId="669339C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49.03</w:t>
                  </w:r>
                </w:p>
              </w:tc>
              <w:tc>
                <w:tcPr>
                  <w:tcW w:w="1468" w:type="pct"/>
                  <w:vAlign w:val="center"/>
                </w:tcPr>
                <w:p w14:paraId="5C62783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3469CD5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（GB50160-2008）表 4.2.12</w:t>
                  </w:r>
                </w:p>
              </w:tc>
              <w:tc>
                <w:tcPr>
                  <w:tcW w:w="222" w:type="pct"/>
                  <w:vAlign w:val="center"/>
                </w:tcPr>
                <w:p w14:paraId="474BDD1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23EA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E6683F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4D5050D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7B9D08C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埋地 LPG 储罐（ 甲类，V 总 =150m³ , V 单</w:t>
                  </w:r>
                </w:p>
                <w:p w14:paraId="2854568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=50m³ )</w:t>
                  </w:r>
                </w:p>
              </w:tc>
              <w:tc>
                <w:tcPr>
                  <w:tcW w:w="545" w:type="pct"/>
                  <w:vAlign w:val="center"/>
                </w:tcPr>
                <w:p w14:paraId="6C78A63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40*50%=</w:t>
                  </w:r>
                </w:p>
                <w:p w14:paraId="2F7275D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w:t>
                  </w:r>
                </w:p>
              </w:tc>
              <w:tc>
                <w:tcPr>
                  <w:tcW w:w="413" w:type="pct"/>
                  <w:vAlign w:val="center"/>
                </w:tcPr>
                <w:p w14:paraId="1B3F0BB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59.43</w:t>
                  </w:r>
                </w:p>
              </w:tc>
              <w:tc>
                <w:tcPr>
                  <w:tcW w:w="1468" w:type="pct"/>
                  <w:vAlign w:val="center"/>
                </w:tcPr>
                <w:p w14:paraId="0508023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11A79DC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5.2.10 条 注 2</w:t>
                  </w:r>
                </w:p>
              </w:tc>
              <w:tc>
                <w:tcPr>
                  <w:tcW w:w="222" w:type="pct"/>
                  <w:vAlign w:val="center"/>
                </w:tcPr>
                <w:p w14:paraId="2C49FAE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917E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3C7F7A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1DC4CAF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781EB38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埋地丙烷储罐（ 甲类，V 总 =150m³ , V 单</w:t>
                  </w:r>
                </w:p>
                <w:p w14:paraId="654AF45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=50m³ )</w:t>
                  </w:r>
                </w:p>
              </w:tc>
              <w:tc>
                <w:tcPr>
                  <w:tcW w:w="545" w:type="pct"/>
                  <w:vAlign w:val="center"/>
                </w:tcPr>
                <w:p w14:paraId="171819F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55*50%=</w:t>
                  </w:r>
                </w:p>
                <w:p w14:paraId="15E872F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27.50</w:t>
                  </w:r>
                </w:p>
              </w:tc>
              <w:tc>
                <w:tcPr>
                  <w:tcW w:w="413" w:type="pct"/>
                  <w:vAlign w:val="center"/>
                </w:tcPr>
                <w:p w14:paraId="23101C7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36.77</w:t>
                  </w:r>
                </w:p>
              </w:tc>
              <w:tc>
                <w:tcPr>
                  <w:tcW w:w="1468" w:type="pct"/>
                  <w:vAlign w:val="center"/>
                </w:tcPr>
                <w:p w14:paraId="5A6A0F6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w:t>
                  </w:r>
                </w:p>
                <w:p w14:paraId="1F65BA0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（GB50160-2008）表 4.2.12注 5</w:t>
                  </w:r>
                </w:p>
              </w:tc>
              <w:tc>
                <w:tcPr>
                  <w:tcW w:w="222" w:type="pct"/>
                  <w:vAlign w:val="center"/>
                </w:tcPr>
                <w:p w14:paraId="1E55E38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EB95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088E8A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36656A7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19410AF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烃泵</w:t>
                  </w:r>
                </w:p>
              </w:tc>
              <w:tc>
                <w:tcPr>
                  <w:tcW w:w="545" w:type="pct"/>
                  <w:vAlign w:val="center"/>
                </w:tcPr>
                <w:p w14:paraId="1229A12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w:t>
                  </w:r>
                </w:p>
              </w:tc>
              <w:tc>
                <w:tcPr>
                  <w:tcW w:w="413" w:type="pct"/>
                  <w:vAlign w:val="center"/>
                </w:tcPr>
                <w:p w14:paraId="20894CB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42.38</w:t>
                  </w:r>
                </w:p>
              </w:tc>
              <w:tc>
                <w:tcPr>
                  <w:tcW w:w="1468" w:type="pct"/>
                  <w:vAlign w:val="center"/>
                </w:tcPr>
                <w:p w14:paraId="3FE2359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7B7EBDF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（GB50160-2008）表 4.2.12</w:t>
                  </w:r>
                </w:p>
              </w:tc>
              <w:tc>
                <w:tcPr>
                  <w:tcW w:w="222" w:type="pct"/>
                  <w:vAlign w:val="center"/>
                </w:tcPr>
                <w:p w14:paraId="3FAEDD8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B3AD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39BABB3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埋地液化石油气储罐区（ 甲类，V 总=150m ³ , V 单=50m³ )</w:t>
                  </w:r>
                </w:p>
              </w:tc>
              <w:tc>
                <w:tcPr>
                  <w:tcW w:w="536" w:type="pct"/>
                  <w:vAlign w:val="center"/>
                </w:tcPr>
                <w:p w14:paraId="2A3DB9B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50A6218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LPG 灌瓶间 （ 甲类、二级）</w:t>
                  </w:r>
                </w:p>
              </w:tc>
              <w:tc>
                <w:tcPr>
                  <w:tcW w:w="545" w:type="pct"/>
                  <w:vAlign w:val="center"/>
                </w:tcPr>
                <w:p w14:paraId="2FDB2CE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17CA9BC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16.01</w:t>
                  </w:r>
                </w:p>
              </w:tc>
              <w:tc>
                <w:tcPr>
                  <w:tcW w:w="1468" w:type="pct"/>
                  <w:vAlign w:val="center"/>
                </w:tcPr>
                <w:p w14:paraId="624669A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 （GB 51142-2015）</w:t>
                  </w:r>
                </w:p>
                <w:p w14:paraId="2F6A3C9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10 条 注 2</w:t>
                  </w:r>
                </w:p>
              </w:tc>
              <w:tc>
                <w:tcPr>
                  <w:tcW w:w="222" w:type="pct"/>
                  <w:vAlign w:val="center"/>
                </w:tcPr>
                <w:p w14:paraId="2B60A69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943D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954661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090DAB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东北侧</w:t>
                  </w:r>
                </w:p>
              </w:tc>
              <w:tc>
                <w:tcPr>
                  <w:tcW w:w="873" w:type="pct"/>
                  <w:vAlign w:val="center"/>
                </w:tcPr>
                <w:p w14:paraId="313CE0E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丙烷灌瓶间 （ 甲类、二级）</w:t>
                  </w:r>
                </w:p>
              </w:tc>
              <w:tc>
                <w:tcPr>
                  <w:tcW w:w="545" w:type="pct"/>
                  <w:vAlign w:val="center"/>
                </w:tcPr>
                <w:p w14:paraId="50702F4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35*50%=</w:t>
                  </w:r>
                </w:p>
                <w:p w14:paraId="400B1D2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17.50</w:t>
                  </w:r>
                </w:p>
              </w:tc>
              <w:tc>
                <w:tcPr>
                  <w:tcW w:w="413" w:type="pct"/>
                  <w:vAlign w:val="center"/>
                </w:tcPr>
                <w:p w14:paraId="68E3AB0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36.70</w:t>
                  </w:r>
                </w:p>
              </w:tc>
              <w:tc>
                <w:tcPr>
                  <w:tcW w:w="1468" w:type="pct"/>
                  <w:vAlign w:val="center"/>
                </w:tcPr>
                <w:p w14:paraId="525B3CE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280C38D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（GB50160-2008）表 4.2.12注 5</w:t>
                  </w:r>
                </w:p>
              </w:tc>
              <w:tc>
                <w:tcPr>
                  <w:tcW w:w="222" w:type="pct"/>
                  <w:vAlign w:val="center"/>
                </w:tcPr>
                <w:p w14:paraId="7F07725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AD22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D3CA92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restart"/>
                  <w:vAlign w:val="center"/>
                </w:tcPr>
                <w:p w14:paraId="291F6E4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296A8CD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w:t>
                  </w:r>
                </w:p>
                <w:p w14:paraId="61E95E7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45" w:type="pct"/>
                  <w:vAlign w:val="center"/>
                </w:tcPr>
                <w:p w14:paraId="634165D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w:t>
                  </w:r>
                </w:p>
              </w:tc>
              <w:tc>
                <w:tcPr>
                  <w:tcW w:w="413" w:type="pct"/>
                  <w:vAlign w:val="center"/>
                </w:tcPr>
                <w:p w14:paraId="5AFFB7D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59.43</w:t>
                  </w:r>
                </w:p>
              </w:tc>
              <w:tc>
                <w:tcPr>
                  <w:tcW w:w="1468" w:type="pct"/>
                  <w:vAlign w:val="center"/>
                </w:tcPr>
                <w:p w14:paraId="15DA9FF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03199BF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10 条 注 2</w:t>
                  </w:r>
                </w:p>
              </w:tc>
              <w:tc>
                <w:tcPr>
                  <w:tcW w:w="222" w:type="pct"/>
                  <w:vAlign w:val="center"/>
                </w:tcPr>
                <w:p w14:paraId="688B8F2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0452B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FB7F1B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056B8A5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2C2C457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控制室</w:t>
                  </w:r>
                </w:p>
                <w:p w14:paraId="4495B11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(丁类，二级)</w:t>
                  </w:r>
                </w:p>
              </w:tc>
              <w:tc>
                <w:tcPr>
                  <w:tcW w:w="545" w:type="pct"/>
                  <w:vAlign w:val="center"/>
                </w:tcPr>
                <w:p w14:paraId="4E61FA3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1584C9B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71.38</w:t>
                  </w:r>
                </w:p>
              </w:tc>
              <w:tc>
                <w:tcPr>
                  <w:tcW w:w="1468" w:type="pct"/>
                  <w:vAlign w:val="center"/>
                </w:tcPr>
                <w:p w14:paraId="0AB0F5B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4662355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10 条 注 2</w:t>
                  </w:r>
                </w:p>
              </w:tc>
              <w:tc>
                <w:tcPr>
                  <w:tcW w:w="222" w:type="pct"/>
                  <w:vAlign w:val="center"/>
                </w:tcPr>
                <w:p w14:paraId="2D4B6A9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4C56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2E5C69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7E7961D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5B7E1E3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卸车台</w:t>
                  </w:r>
                </w:p>
                <w:p w14:paraId="686DC4A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 甲类、二级）</w:t>
                  </w:r>
                </w:p>
              </w:tc>
              <w:tc>
                <w:tcPr>
                  <w:tcW w:w="545" w:type="pct"/>
                  <w:vAlign w:val="center"/>
                </w:tcPr>
                <w:p w14:paraId="7F66AAE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07DEEE2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20.95</w:t>
                  </w:r>
                </w:p>
              </w:tc>
              <w:tc>
                <w:tcPr>
                  <w:tcW w:w="1468" w:type="pct"/>
                  <w:vAlign w:val="center"/>
                </w:tcPr>
                <w:p w14:paraId="5C3696D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2DD6CBA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10 条 注 2</w:t>
                  </w:r>
                </w:p>
              </w:tc>
              <w:tc>
                <w:tcPr>
                  <w:tcW w:w="222" w:type="pct"/>
                  <w:vAlign w:val="center"/>
                </w:tcPr>
                <w:p w14:paraId="31D7056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9A75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E74923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066FA7D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6EDC690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站区围墙</w:t>
                  </w:r>
                </w:p>
              </w:tc>
              <w:tc>
                <w:tcPr>
                  <w:tcW w:w="545" w:type="pct"/>
                  <w:vAlign w:val="center"/>
                </w:tcPr>
                <w:p w14:paraId="5C0A931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3C96355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25.4</w:t>
                  </w:r>
                </w:p>
              </w:tc>
              <w:tc>
                <w:tcPr>
                  <w:tcW w:w="1468" w:type="pct"/>
                  <w:vAlign w:val="center"/>
                </w:tcPr>
                <w:p w14:paraId="79511FB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6B069D6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10 条 注 2</w:t>
                  </w:r>
                </w:p>
              </w:tc>
              <w:tc>
                <w:tcPr>
                  <w:tcW w:w="222" w:type="pct"/>
                  <w:vAlign w:val="center"/>
                </w:tcPr>
                <w:p w14:paraId="3F0CA45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1210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3351915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75AB8B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0DF9665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主要道路</w:t>
                  </w:r>
                </w:p>
              </w:tc>
              <w:tc>
                <w:tcPr>
                  <w:tcW w:w="545" w:type="pct"/>
                  <w:vAlign w:val="center"/>
                </w:tcPr>
                <w:p w14:paraId="6B5831B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7.5</w:t>
                  </w:r>
                </w:p>
              </w:tc>
              <w:tc>
                <w:tcPr>
                  <w:tcW w:w="413" w:type="pct"/>
                  <w:vAlign w:val="center"/>
                </w:tcPr>
                <w:p w14:paraId="1C42A3F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8. 15</w:t>
                  </w:r>
                </w:p>
              </w:tc>
              <w:tc>
                <w:tcPr>
                  <w:tcW w:w="1468" w:type="pct"/>
                  <w:vAlign w:val="center"/>
                </w:tcPr>
                <w:p w14:paraId="718705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36692C3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5.2.8 条 注 3</w:t>
                  </w:r>
                </w:p>
              </w:tc>
              <w:tc>
                <w:tcPr>
                  <w:tcW w:w="222" w:type="pct"/>
                  <w:vAlign w:val="center"/>
                </w:tcPr>
                <w:p w14:paraId="12D92E8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8B2D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6596C16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5C08EA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6E53286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丙烷泵（ 甲类）</w:t>
                  </w:r>
                </w:p>
              </w:tc>
              <w:tc>
                <w:tcPr>
                  <w:tcW w:w="545" w:type="pct"/>
                  <w:vAlign w:val="center"/>
                </w:tcPr>
                <w:p w14:paraId="6EB8948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15.00</w:t>
                  </w:r>
                </w:p>
              </w:tc>
              <w:tc>
                <w:tcPr>
                  <w:tcW w:w="413" w:type="pct"/>
                  <w:vAlign w:val="center"/>
                </w:tcPr>
                <w:p w14:paraId="5C225D4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27.28</w:t>
                  </w:r>
                </w:p>
              </w:tc>
              <w:tc>
                <w:tcPr>
                  <w:tcW w:w="1468" w:type="pct"/>
                  <w:vAlign w:val="center"/>
                </w:tcPr>
                <w:p w14:paraId="09D509D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129693E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 第 5.3.5条 1 款</w:t>
                  </w:r>
                </w:p>
              </w:tc>
              <w:tc>
                <w:tcPr>
                  <w:tcW w:w="222" w:type="pct"/>
                  <w:vAlign w:val="center"/>
                </w:tcPr>
                <w:p w14:paraId="04B907E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6519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4EE8F38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LPG 灌瓶间（ 甲类，二级）</w:t>
                  </w:r>
                </w:p>
              </w:tc>
              <w:tc>
                <w:tcPr>
                  <w:tcW w:w="536" w:type="pct"/>
                  <w:vAlign w:val="center"/>
                </w:tcPr>
                <w:p w14:paraId="4A81E9C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45265CA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新瓶库</w:t>
                  </w:r>
                </w:p>
                <w:p w14:paraId="0F41359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（丙类、二级）</w:t>
                  </w:r>
                </w:p>
              </w:tc>
              <w:tc>
                <w:tcPr>
                  <w:tcW w:w="545" w:type="pct"/>
                  <w:vAlign w:val="center"/>
                </w:tcPr>
                <w:p w14:paraId="0ECD943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413" w:type="pct"/>
                  <w:vAlign w:val="center"/>
                </w:tcPr>
                <w:p w14:paraId="5A5E0B7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29.74</w:t>
                  </w:r>
                </w:p>
              </w:tc>
              <w:tc>
                <w:tcPr>
                  <w:tcW w:w="1468" w:type="pct"/>
                  <w:vAlign w:val="center"/>
                </w:tcPr>
                <w:p w14:paraId="68DE77A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6E8864E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15 条</w:t>
                  </w:r>
                </w:p>
              </w:tc>
              <w:tc>
                <w:tcPr>
                  <w:tcW w:w="222" w:type="pct"/>
                  <w:vAlign w:val="center"/>
                </w:tcPr>
                <w:p w14:paraId="7A3927D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4E55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537A59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5AC9EF4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东北</w:t>
                  </w:r>
                </w:p>
              </w:tc>
              <w:tc>
                <w:tcPr>
                  <w:tcW w:w="873" w:type="pct"/>
                  <w:vAlign w:val="center"/>
                </w:tcPr>
                <w:p w14:paraId="40F9145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气体灌瓶间 （乙类，二级）</w:t>
                  </w:r>
                </w:p>
              </w:tc>
              <w:tc>
                <w:tcPr>
                  <w:tcW w:w="545" w:type="pct"/>
                  <w:vAlign w:val="center"/>
                </w:tcPr>
                <w:p w14:paraId="71C4830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413" w:type="pct"/>
                  <w:vAlign w:val="center"/>
                </w:tcPr>
                <w:p w14:paraId="7032F1A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43.26</w:t>
                  </w:r>
                </w:p>
              </w:tc>
              <w:tc>
                <w:tcPr>
                  <w:tcW w:w="1468" w:type="pct"/>
                  <w:vAlign w:val="center"/>
                </w:tcPr>
                <w:p w14:paraId="1266D2D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7AEBBF7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14 条</w:t>
                  </w:r>
                </w:p>
              </w:tc>
              <w:tc>
                <w:tcPr>
                  <w:tcW w:w="222" w:type="pct"/>
                  <w:vAlign w:val="center"/>
                </w:tcPr>
                <w:p w14:paraId="76B0B4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00BA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D79EE7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6042A5C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5A36EE3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埋地液化石油气罐区（ 甲类）</w:t>
                  </w:r>
                </w:p>
              </w:tc>
              <w:tc>
                <w:tcPr>
                  <w:tcW w:w="545" w:type="pct"/>
                  <w:vAlign w:val="center"/>
                </w:tcPr>
                <w:p w14:paraId="0BF00DC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2D54D25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16.01</w:t>
                  </w:r>
                </w:p>
              </w:tc>
              <w:tc>
                <w:tcPr>
                  <w:tcW w:w="1468" w:type="pct"/>
                  <w:vAlign w:val="center"/>
                </w:tcPr>
                <w:p w14:paraId="5A22786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w:t>
                  </w:r>
                </w:p>
                <w:p w14:paraId="368EA6B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规范》 （GB 51142-2015）</w:t>
                  </w:r>
                </w:p>
                <w:p w14:paraId="7E0C72B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10 条 注 2</w:t>
                  </w:r>
                </w:p>
              </w:tc>
              <w:tc>
                <w:tcPr>
                  <w:tcW w:w="222" w:type="pct"/>
                  <w:vAlign w:val="center"/>
                </w:tcPr>
                <w:p w14:paraId="1409BF0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A9EA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C447CF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3EAF8C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西北侧</w:t>
                  </w:r>
                </w:p>
              </w:tc>
              <w:tc>
                <w:tcPr>
                  <w:tcW w:w="873" w:type="pct"/>
                  <w:vAlign w:val="center"/>
                </w:tcPr>
                <w:p w14:paraId="20E483A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w:t>
                  </w:r>
                </w:p>
                <w:p w14:paraId="7F36CD3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45" w:type="pct"/>
                  <w:vAlign w:val="center"/>
                </w:tcPr>
                <w:p w14:paraId="0233E4B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w:t>
                  </w:r>
                </w:p>
              </w:tc>
              <w:tc>
                <w:tcPr>
                  <w:tcW w:w="413" w:type="pct"/>
                  <w:vAlign w:val="center"/>
                </w:tcPr>
                <w:p w14:paraId="47EDDDF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82.72</w:t>
                  </w:r>
                </w:p>
              </w:tc>
              <w:tc>
                <w:tcPr>
                  <w:tcW w:w="1468" w:type="pct"/>
                  <w:vAlign w:val="center"/>
                </w:tcPr>
                <w:p w14:paraId="0BFFDFD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7042556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15 条</w:t>
                  </w:r>
                </w:p>
              </w:tc>
              <w:tc>
                <w:tcPr>
                  <w:tcW w:w="222" w:type="pct"/>
                  <w:vAlign w:val="center"/>
                </w:tcPr>
                <w:p w14:paraId="7F1540C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222A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F5E671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60DE9E3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67238B1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站区围墙</w:t>
                  </w:r>
                </w:p>
              </w:tc>
              <w:tc>
                <w:tcPr>
                  <w:tcW w:w="545" w:type="pct"/>
                  <w:vAlign w:val="center"/>
                </w:tcPr>
                <w:p w14:paraId="00E889B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58BFE18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18.52</w:t>
                  </w:r>
                </w:p>
              </w:tc>
              <w:tc>
                <w:tcPr>
                  <w:tcW w:w="1468" w:type="pct"/>
                  <w:vAlign w:val="center"/>
                </w:tcPr>
                <w:p w14:paraId="6C0803B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4E01FED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15 条</w:t>
                  </w:r>
                </w:p>
              </w:tc>
              <w:tc>
                <w:tcPr>
                  <w:tcW w:w="222" w:type="pct"/>
                  <w:vAlign w:val="center"/>
                </w:tcPr>
                <w:p w14:paraId="34EE21A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085D8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1D5811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restart"/>
                  <w:vAlign w:val="center"/>
                </w:tcPr>
                <w:p w14:paraId="46B9D46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15A2603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丙烷灌瓶间 （ 甲类、二级）</w:t>
                  </w:r>
                </w:p>
              </w:tc>
              <w:tc>
                <w:tcPr>
                  <w:tcW w:w="545" w:type="pct"/>
                  <w:vAlign w:val="center"/>
                </w:tcPr>
                <w:p w14:paraId="097481E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w:t>
                  </w:r>
                </w:p>
              </w:tc>
              <w:tc>
                <w:tcPr>
                  <w:tcW w:w="413" w:type="pct"/>
                  <w:vAlign w:val="center"/>
                </w:tcPr>
                <w:p w14:paraId="75C18A9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36.35</w:t>
                  </w:r>
                </w:p>
              </w:tc>
              <w:tc>
                <w:tcPr>
                  <w:tcW w:w="1468" w:type="pct"/>
                  <w:vAlign w:val="center"/>
                </w:tcPr>
                <w:p w14:paraId="29D4AD1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《石油化工企业设计防火标准》GB50160-2008 ，2018 年版）第 4.2. 12 条</w:t>
                  </w:r>
                </w:p>
              </w:tc>
              <w:tc>
                <w:tcPr>
                  <w:tcW w:w="222" w:type="pct"/>
                  <w:vAlign w:val="center"/>
                </w:tcPr>
                <w:p w14:paraId="46B5E74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DFAC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1E4B80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50452D9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15DF389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丙烷储罐区（ 甲类）</w:t>
                  </w:r>
                </w:p>
              </w:tc>
              <w:tc>
                <w:tcPr>
                  <w:tcW w:w="545" w:type="pct"/>
                  <w:vAlign w:val="center"/>
                </w:tcPr>
                <w:p w14:paraId="4BD1CEB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w:t>
                  </w:r>
                </w:p>
              </w:tc>
              <w:tc>
                <w:tcPr>
                  <w:tcW w:w="413" w:type="pct"/>
                  <w:vAlign w:val="center"/>
                </w:tcPr>
                <w:p w14:paraId="0792D0E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53. 18</w:t>
                  </w:r>
                </w:p>
              </w:tc>
              <w:tc>
                <w:tcPr>
                  <w:tcW w:w="1468" w:type="pct"/>
                  <w:vAlign w:val="center"/>
                </w:tcPr>
                <w:p w14:paraId="2F892EE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《石油化工企业设计防火标准》GB50160-2008 ，2018 年版）第 4.2. 12 条</w:t>
                  </w:r>
                </w:p>
              </w:tc>
              <w:tc>
                <w:tcPr>
                  <w:tcW w:w="222" w:type="pct"/>
                  <w:vAlign w:val="center"/>
                </w:tcPr>
                <w:p w14:paraId="3AD121E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322F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1E0FE7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7EB4F80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582AE2E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主要道路</w:t>
                  </w:r>
                </w:p>
              </w:tc>
              <w:tc>
                <w:tcPr>
                  <w:tcW w:w="545" w:type="pct"/>
                  <w:vAlign w:val="center"/>
                </w:tcPr>
                <w:p w14:paraId="2203D5E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2764736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15.25</w:t>
                  </w:r>
                </w:p>
              </w:tc>
              <w:tc>
                <w:tcPr>
                  <w:tcW w:w="1468" w:type="pct"/>
                  <w:vAlign w:val="center"/>
                </w:tcPr>
                <w:p w14:paraId="0DD3B1E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35C607C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15 条</w:t>
                  </w:r>
                </w:p>
              </w:tc>
              <w:tc>
                <w:tcPr>
                  <w:tcW w:w="222" w:type="pct"/>
                  <w:vAlign w:val="center"/>
                </w:tcPr>
                <w:p w14:paraId="4160841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83A4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shd w:val="clear" w:color="auto" w:fill="auto"/>
                  <w:vAlign w:val="center"/>
                </w:tcPr>
                <w:p w14:paraId="5306BE1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埋地丙烷储罐</w:t>
                  </w:r>
                </w:p>
                <w:p w14:paraId="4D112BD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区（ 甲类，V</w:t>
                  </w:r>
                </w:p>
                <w:p w14:paraId="29FDB35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总=150m³ , V</w:t>
                  </w:r>
                </w:p>
                <w:p w14:paraId="0CE99CD4">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单=50m³ )</w:t>
                  </w:r>
                </w:p>
              </w:tc>
              <w:tc>
                <w:tcPr>
                  <w:tcW w:w="536" w:type="pct"/>
                  <w:shd w:val="clear" w:color="auto" w:fill="auto"/>
                  <w:vAlign w:val="center"/>
                </w:tcPr>
                <w:p w14:paraId="441F169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873" w:type="pct"/>
                  <w:shd w:val="clear" w:color="auto" w:fill="auto"/>
                  <w:vAlign w:val="center"/>
                </w:tcPr>
                <w:p w14:paraId="7E48F21E">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厂区围墙</w:t>
                  </w:r>
                </w:p>
              </w:tc>
              <w:tc>
                <w:tcPr>
                  <w:tcW w:w="545" w:type="pct"/>
                  <w:shd w:val="clear" w:color="auto" w:fill="auto"/>
                  <w:vAlign w:val="center"/>
                </w:tcPr>
                <w:p w14:paraId="2307397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30*50%=</w:t>
                  </w:r>
                </w:p>
                <w:p w14:paraId="0E55B80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15.00</w:t>
                  </w:r>
                </w:p>
              </w:tc>
              <w:tc>
                <w:tcPr>
                  <w:tcW w:w="413" w:type="pct"/>
                  <w:shd w:val="clear" w:color="auto" w:fill="auto"/>
                  <w:vAlign w:val="center"/>
                </w:tcPr>
                <w:p w14:paraId="113DDE7C">
                  <w:pPr>
                    <w:pStyle w:val="40"/>
                    <w:tabs>
                      <w:tab w:val="left" w:pos="243"/>
                    </w:tabs>
                    <w:bidi w:val="0"/>
                    <w:snapToGrid w:val="0"/>
                    <w:ind w:left="0" w:leftChars="0" w:right="0" w:rightChars="0" w:firstLine="0" w:firstLineChars="0"/>
                    <w:jc w:val="left"/>
                    <w:rPr>
                      <w:rFonts w:hint="default" w:ascii="Times New Roman" w:hAnsi="Times New Roman" w:cs="Times New Roman"/>
                      <w:color w:val="0000FF"/>
                      <w:sz w:val="21"/>
                      <w:szCs w:val="21"/>
                      <w:lang w:val="en-US" w:eastAsia="en-US"/>
                    </w:rPr>
                  </w:pPr>
                  <w:r>
                    <w:rPr>
                      <w:rFonts w:hint="eastAsia" w:ascii="Times New Roman" w:hAnsi="Times New Roman" w:cs="Times New Roman"/>
                      <w:color w:val="0000FF"/>
                      <w:sz w:val="21"/>
                      <w:szCs w:val="21"/>
                      <w:lang w:eastAsia="zh-CN"/>
                    </w:rPr>
                    <w:tab/>
                  </w:r>
                  <w:r>
                    <w:rPr>
                      <w:rFonts w:hint="default" w:ascii="Times New Roman" w:hAnsi="Times New Roman" w:cs="Times New Roman"/>
                      <w:color w:val="0000FF"/>
                      <w:sz w:val="21"/>
                      <w:szCs w:val="21"/>
                    </w:rPr>
                    <w:t>16.51</w:t>
                  </w:r>
                </w:p>
              </w:tc>
              <w:tc>
                <w:tcPr>
                  <w:tcW w:w="1468" w:type="pct"/>
                  <w:shd w:val="clear" w:color="auto" w:fill="auto"/>
                  <w:vAlign w:val="center"/>
                </w:tcPr>
                <w:p w14:paraId="5E02045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76CD057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4.2.12注 5</w:t>
                  </w:r>
                </w:p>
              </w:tc>
              <w:tc>
                <w:tcPr>
                  <w:tcW w:w="222" w:type="pct"/>
                  <w:shd w:val="clear" w:color="auto" w:fill="auto"/>
                  <w:vAlign w:val="center"/>
                </w:tcPr>
                <w:p w14:paraId="3F07476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4C93586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4671B01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455E5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BB597A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3972113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西侧</w:t>
                  </w:r>
                </w:p>
              </w:tc>
              <w:tc>
                <w:tcPr>
                  <w:tcW w:w="873" w:type="pct"/>
                  <w:shd w:val="clear" w:color="auto" w:fill="auto"/>
                  <w:vAlign w:val="center"/>
                </w:tcPr>
                <w:p w14:paraId="4C4C8B7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消防泵房（全</w:t>
                  </w:r>
                </w:p>
                <w:p w14:paraId="11FBBF7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厂第一类重要</w:t>
                  </w:r>
                </w:p>
                <w:p w14:paraId="6E1855A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设施，戊类，</w:t>
                  </w:r>
                </w:p>
                <w:p w14:paraId="5A877BE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二级）</w:t>
                  </w:r>
                </w:p>
              </w:tc>
              <w:tc>
                <w:tcPr>
                  <w:tcW w:w="545" w:type="pct"/>
                  <w:shd w:val="clear" w:color="auto" w:fill="auto"/>
                  <w:vAlign w:val="center"/>
                </w:tcPr>
                <w:p w14:paraId="5F9ADFA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55*50%=</w:t>
                  </w:r>
                </w:p>
                <w:p w14:paraId="3626EED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27.50</w:t>
                  </w:r>
                </w:p>
              </w:tc>
              <w:tc>
                <w:tcPr>
                  <w:tcW w:w="413" w:type="pct"/>
                  <w:shd w:val="clear" w:color="auto" w:fill="auto"/>
                  <w:vAlign w:val="center"/>
                </w:tcPr>
                <w:p w14:paraId="79B6A103">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36.77</w:t>
                  </w:r>
                </w:p>
              </w:tc>
              <w:tc>
                <w:tcPr>
                  <w:tcW w:w="1468" w:type="pct"/>
                  <w:shd w:val="clear" w:color="auto" w:fill="auto"/>
                  <w:vAlign w:val="center"/>
                </w:tcPr>
                <w:p w14:paraId="5BF7746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66E6221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4.2.12注 5</w:t>
                  </w:r>
                </w:p>
              </w:tc>
              <w:tc>
                <w:tcPr>
                  <w:tcW w:w="222" w:type="pct"/>
                  <w:shd w:val="clear" w:color="auto" w:fill="auto"/>
                  <w:vAlign w:val="center"/>
                </w:tcPr>
                <w:p w14:paraId="43F53DB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0FE6586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4A187EC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0F1D1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E53AB1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725F55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西南</w:t>
                  </w:r>
                </w:p>
              </w:tc>
              <w:tc>
                <w:tcPr>
                  <w:tcW w:w="873" w:type="pct"/>
                  <w:shd w:val="clear" w:color="auto" w:fill="auto"/>
                  <w:vAlign w:val="center"/>
                </w:tcPr>
                <w:p w14:paraId="562490A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卸车鹤管（ 甲</w:t>
                  </w:r>
                </w:p>
                <w:p w14:paraId="5B97279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类）</w:t>
                  </w:r>
                </w:p>
              </w:tc>
              <w:tc>
                <w:tcPr>
                  <w:tcW w:w="545" w:type="pct"/>
                  <w:shd w:val="clear" w:color="auto" w:fill="auto"/>
                  <w:vAlign w:val="center"/>
                </w:tcPr>
                <w:p w14:paraId="04DA84B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30*50%=</w:t>
                  </w:r>
                </w:p>
                <w:p w14:paraId="7F028E7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15.00</w:t>
                  </w:r>
                </w:p>
              </w:tc>
              <w:tc>
                <w:tcPr>
                  <w:tcW w:w="413" w:type="pct"/>
                  <w:shd w:val="clear" w:color="auto" w:fill="auto"/>
                  <w:vAlign w:val="center"/>
                </w:tcPr>
                <w:p w14:paraId="1226F62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50.37</w:t>
                  </w:r>
                </w:p>
              </w:tc>
              <w:tc>
                <w:tcPr>
                  <w:tcW w:w="1468" w:type="pct"/>
                  <w:shd w:val="clear" w:color="auto" w:fill="auto"/>
                  <w:vAlign w:val="center"/>
                </w:tcPr>
                <w:p w14:paraId="449213F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5D5B2D6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4.2.12注 5</w:t>
                  </w:r>
                </w:p>
              </w:tc>
              <w:tc>
                <w:tcPr>
                  <w:tcW w:w="222" w:type="pct"/>
                  <w:shd w:val="clear" w:color="auto" w:fill="auto"/>
                  <w:vAlign w:val="center"/>
                </w:tcPr>
                <w:p w14:paraId="29EEA1A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621F94F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1272D86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1D533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0D7986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3E55925E">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873" w:type="pct"/>
                  <w:shd w:val="clear" w:color="auto" w:fill="auto"/>
                  <w:vAlign w:val="center"/>
                </w:tcPr>
                <w:p w14:paraId="462B4FA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烃泵（ 甲类）</w:t>
                  </w:r>
                </w:p>
              </w:tc>
              <w:tc>
                <w:tcPr>
                  <w:tcW w:w="545" w:type="pct"/>
                  <w:shd w:val="clear" w:color="auto" w:fill="auto"/>
                  <w:vAlign w:val="center"/>
                </w:tcPr>
                <w:p w14:paraId="15F73F82">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15.00</w:t>
                  </w:r>
                </w:p>
              </w:tc>
              <w:tc>
                <w:tcPr>
                  <w:tcW w:w="413" w:type="pct"/>
                  <w:shd w:val="clear" w:color="auto" w:fill="auto"/>
                  <w:vAlign w:val="center"/>
                </w:tcPr>
                <w:p w14:paraId="087E6BB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15.16</w:t>
                  </w:r>
                </w:p>
              </w:tc>
              <w:tc>
                <w:tcPr>
                  <w:tcW w:w="1468" w:type="pct"/>
                  <w:shd w:val="clear" w:color="auto" w:fill="auto"/>
                  <w:vAlign w:val="center"/>
                </w:tcPr>
                <w:p w14:paraId="1537829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45917D8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 第 5.3.5条 1 款</w:t>
                  </w:r>
                </w:p>
              </w:tc>
              <w:tc>
                <w:tcPr>
                  <w:tcW w:w="222" w:type="pct"/>
                  <w:shd w:val="clear" w:color="auto" w:fill="auto"/>
                  <w:vAlign w:val="center"/>
                </w:tcPr>
                <w:p w14:paraId="14D8358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1DFC276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7BBC071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2BCF2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0B1F35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7855F48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873" w:type="pct"/>
                  <w:shd w:val="clear" w:color="auto" w:fill="auto"/>
                  <w:vAlign w:val="center"/>
                </w:tcPr>
                <w:p w14:paraId="0D8B547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主干道（原料</w:t>
                  </w:r>
                </w:p>
                <w:p w14:paraId="2CDC7D1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及产品运输道</w:t>
                  </w:r>
                </w:p>
                <w:p w14:paraId="3129D69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路）</w:t>
                  </w:r>
                </w:p>
              </w:tc>
              <w:tc>
                <w:tcPr>
                  <w:tcW w:w="545" w:type="pct"/>
                  <w:shd w:val="clear" w:color="auto" w:fill="auto"/>
                  <w:vAlign w:val="center"/>
                </w:tcPr>
                <w:p w14:paraId="3E470F9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15*50%=</w:t>
                  </w:r>
                </w:p>
                <w:p w14:paraId="3FC6559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7.50</w:t>
                  </w:r>
                </w:p>
              </w:tc>
              <w:tc>
                <w:tcPr>
                  <w:tcW w:w="413" w:type="pct"/>
                  <w:shd w:val="clear" w:color="auto" w:fill="auto"/>
                  <w:vAlign w:val="center"/>
                </w:tcPr>
                <w:p w14:paraId="420A665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29.56</w:t>
                  </w:r>
                </w:p>
              </w:tc>
              <w:tc>
                <w:tcPr>
                  <w:tcW w:w="1468" w:type="pct"/>
                  <w:shd w:val="clear" w:color="auto" w:fill="auto"/>
                  <w:vAlign w:val="center"/>
                </w:tcPr>
                <w:p w14:paraId="135E84E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w:t>
                  </w:r>
                </w:p>
                <w:p w14:paraId="1742784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准（2018 年版） 》</w:t>
                  </w:r>
                </w:p>
                <w:p w14:paraId="592DCA8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（GB50160-2008）表 4.2.12</w:t>
                  </w:r>
                </w:p>
                <w:p w14:paraId="23A123A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注 5</w:t>
                  </w:r>
                </w:p>
              </w:tc>
              <w:tc>
                <w:tcPr>
                  <w:tcW w:w="222" w:type="pct"/>
                  <w:shd w:val="clear" w:color="auto" w:fill="auto"/>
                  <w:vAlign w:val="center"/>
                </w:tcPr>
                <w:p w14:paraId="18016E3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37E181B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137F07E3">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09B76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F25EC7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36D824A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东南</w:t>
                  </w:r>
                </w:p>
              </w:tc>
              <w:tc>
                <w:tcPr>
                  <w:tcW w:w="873" w:type="pct"/>
                  <w:shd w:val="clear" w:color="auto" w:fill="auto"/>
                  <w:vAlign w:val="center"/>
                </w:tcPr>
                <w:p w14:paraId="7E42AF2C">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LPG 灌瓶间（ 甲类，二级）</w:t>
                  </w:r>
                </w:p>
              </w:tc>
              <w:tc>
                <w:tcPr>
                  <w:tcW w:w="545" w:type="pct"/>
                  <w:shd w:val="clear" w:color="auto" w:fill="auto"/>
                  <w:vAlign w:val="center"/>
                </w:tcPr>
                <w:p w14:paraId="08BFC99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35*50%=</w:t>
                  </w:r>
                </w:p>
                <w:p w14:paraId="79A9751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17.50</w:t>
                  </w:r>
                </w:p>
              </w:tc>
              <w:tc>
                <w:tcPr>
                  <w:tcW w:w="413" w:type="pct"/>
                  <w:shd w:val="clear" w:color="auto" w:fill="auto"/>
                  <w:vAlign w:val="center"/>
                </w:tcPr>
                <w:p w14:paraId="0A1906B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53.18</w:t>
                  </w:r>
                </w:p>
              </w:tc>
              <w:tc>
                <w:tcPr>
                  <w:tcW w:w="1468" w:type="pct"/>
                  <w:shd w:val="clear" w:color="auto" w:fill="auto"/>
                  <w:vAlign w:val="center"/>
                </w:tcPr>
                <w:p w14:paraId="461D9FF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3785460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4.2.12注 5</w:t>
                  </w:r>
                </w:p>
              </w:tc>
              <w:tc>
                <w:tcPr>
                  <w:tcW w:w="222" w:type="pct"/>
                  <w:shd w:val="clear" w:color="auto" w:fill="auto"/>
                  <w:vAlign w:val="center"/>
                </w:tcPr>
                <w:p w14:paraId="06E453B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7222EF5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65F3980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46098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3122EB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A37FFB4">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东侧</w:t>
                  </w:r>
                </w:p>
              </w:tc>
              <w:tc>
                <w:tcPr>
                  <w:tcW w:w="873" w:type="pct"/>
                  <w:shd w:val="clear" w:color="auto" w:fill="auto"/>
                  <w:vAlign w:val="center"/>
                </w:tcPr>
                <w:p w14:paraId="19645782">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丙烷灌瓶间 （ 甲类，二级）</w:t>
                  </w:r>
                </w:p>
              </w:tc>
              <w:tc>
                <w:tcPr>
                  <w:tcW w:w="545" w:type="pct"/>
                  <w:shd w:val="clear" w:color="auto" w:fill="auto"/>
                  <w:vAlign w:val="center"/>
                </w:tcPr>
                <w:p w14:paraId="7318E9D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35*50%=</w:t>
                  </w:r>
                </w:p>
                <w:p w14:paraId="68C4288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17.50</w:t>
                  </w:r>
                </w:p>
              </w:tc>
              <w:tc>
                <w:tcPr>
                  <w:tcW w:w="413" w:type="pct"/>
                  <w:shd w:val="clear" w:color="auto" w:fill="auto"/>
                  <w:vAlign w:val="center"/>
                </w:tcPr>
                <w:p w14:paraId="025703E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21.37</w:t>
                  </w:r>
                </w:p>
              </w:tc>
              <w:tc>
                <w:tcPr>
                  <w:tcW w:w="1468" w:type="pct"/>
                  <w:shd w:val="clear" w:color="auto" w:fill="auto"/>
                  <w:vAlign w:val="center"/>
                </w:tcPr>
                <w:p w14:paraId="76869E9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w:t>
                  </w:r>
                </w:p>
                <w:p w14:paraId="4D97103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准（2018 年版） 》</w:t>
                  </w:r>
                </w:p>
                <w:p w14:paraId="3A83E22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（GB50160-2008）表 4.2.12</w:t>
                  </w:r>
                </w:p>
                <w:p w14:paraId="04008E4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注 5</w:t>
                  </w:r>
                </w:p>
              </w:tc>
              <w:tc>
                <w:tcPr>
                  <w:tcW w:w="222" w:type="pct"/>
                  <w:shd w:val="clear" w:color="auto" w:fill="auto"/>
                  <w:vAlign w:val="center"/>
                </w:tcPr>
                <w:p w14:paraId="1698FFD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711213C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7D72D0B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19710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shd w:val="clear" w:color="auto" w:fill="auto"/>
                  <w:vAlign w:val="center"/>
                </w:tcPr>
                <w:p w14:paraId="000E9F4E">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丙烷灌瓶间 （ 甲类，二级）</w:t>
                  </w:r>
                </w:p>
              </w:tc>
              <w:tc>
                <w:tcPr>
                  <w:tcW w:w="536" w:type="pct"/>
                  <w:shd w:val="clear" w:color="auto" w:fill="auto"/>
                  <w:vAlign w:val="center"/>
                </w:tcPr>
                <w:p w14:paraId="0FB29B6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873" w:type="pct"/>
                  <w:shd w:val="clear" w:color="auto" w:fill="auto"/>
                  <w:vAlign w:val="center"/>
                </w:tcPr>
                <w:p w14:paraId="7E29363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厂区围墙</w:t>
                  </w:r>
                </w:p>
              </w:tc>
              <w:tc>
                <w:tcPr>
                  <w:tcW w:w="545" w:type="pct"/>
                  <w:shd w:val="clear" w:color="auto" w:fill="auto"/>
                  <w:vAlign w:val="center"/>
                </w:tcPr>
                <w:p w14:paraId="60AADD0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30.00</w:t>
                  </w:r>
                </w:p>
              </w:tc>
              <w:tc>
                <w:tcPr>
                  <w:tcW w:w="413" w:type="pct"/>
                  <w:shd w:val="clear" w:color="auto" w:fill="auto"/>
                  <w:vAlign w:val="center"/>
                </w:tcPr>
                <w:p w14:paraId="0C1F78B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32.49</w:t>
                  </w:r>
                </w:p>
              </w:tc>
              <w:tc>
                <w:tcPr>
                  <w:tcW w:w="1468" w:type="pct"/>
                  <w:shd w:val="clear" w:color="auto" w:fill="auto"/>
                  <w:vAlign w:val="center"/>
                </w:tcPr>
                <w:p w14:paraId="4A30A4E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586B67D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w:t>
                  </w:r>
                </w:p>
              </w:tc>
              <w:tc>
                <w:tcPr>
                  <w:tcW w:w="222" w:type="pct"/>
                  <w:shd w:val="clear" w:color="auto" w:fill="auto"/>
                  <w:vAlign w:val="center"/>
                </w:tcPr>
                <w:p w14:paraId="4D903A0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78D704A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564524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B56999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25BFF4B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873" w:type="pct"/>
                  <w:shd w:val="clear" w:color="auto" w:fill="auto"/>
                  <w:vAlign w:val="center"/>
                </w:tcPr>
                <w:p w14:paraId="27158CA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消防通道（次要道路）</w:t>
                  </w:r>
                </w:p>
              </w:tc>
              <w:tc>
                <w:tcPr>
                  <w:tcW w:w="545" w:type="pct"/>
                  <w:shd w:val="clear" w:color="auto" w:fill="auto"/>
                  <w:vAlign w:val="center"/>
                </w:tcPr>
                <w:p w14:paraId="5D49D27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5.00</w:t>
                  </w:r>
                </w:p>
              </w:tc>
              <w:tc>
                <w:tcPr>
                  <w:tcW w:w="413" w:type="pct"/>
                  <w:shd w:val="clear" w:color="auto" w:fill="auto"/>
                  <w:vAlign w:val="center"/>
                </w:tcPr>
                <w:p w14:paraId="5D0AFEB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23.91</w:t>
                  </w:r>
                </w:p>
              </w:tc>
              <w:tc>
                <w:tcPr>
                  <w:tcW w:w="1468" w:type="pct"/>
                  <w:shd w:val="clear" w:color="auto" w:fill="auto"/>
                  <w:vAlign w:val="center"/>
                </w:tcPr>
                <w:p w14:paraId="2A75E8E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w:t>
                  </w:r>
                </w:p>
                <w:p w14:paraId="191A3A3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（GB50016-2014，2018 年版）第 7.1.8 条</w:t>
                  </w:r>
                </w:p>
              </w:tc>
              <w:tc>
                <w:tcPr>
                  <w:tcW w:w="222" w:type="pct"/>
                  <w:shd w:val="clear" w:color="auto" w:fill="auto"/>
                  <w:vAlign w:val="center"/>
                </w:tcPr>
                <w:p w14:paraId="2F5CA0C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59A94E32">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13210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9F0921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58D8DB1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西北</w:t>
                  </w:r>
                </w:p>
              </w:tc>
              <w:tc>
                <w:tcPr>
                  <w:tcW w:w="873" w:type="pct"/>
                  <w:shd w:val="clear" w:color="auto" w:fill="auto"/>
                  <w:vAlign w:val="center"/>
                </w:tcPr>
                <w:p w14:paraId="71A0B9C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埋地丙烷储罐区（ 甲类）</w:t>
                  </w:r>
                </w:p>
              </w:tc>
              <w:tc>
                <w:tcPr>
                  <w:tcW w:w="545" w:type="pct"/>
                  <w:shd w:val="clear" w:color="auto" w:fill="auto"/>
                  <w:vAlign w:val="center"/>
                </w:tcPr>
                <w:p w14:paraId="7D89805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35*50%=</w:t>
                  </w:r>
                </w:p>
                <w:p w14:paraId="21C5437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17.50</w:t>
                  </w:r>
                </w:p>
              </w:tc>
              <w:tc>
                <w:tcPr>
                  <w:tcW w:w="413" w:type="pct"/>
                  <w:shd w:val="clear" w:color="auto" w:fill="auto"/>
                  <w:vAlign w:val="center"/>
                </w:tcPr>
                <w:p w14:paraId="648D1AA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21.37</w:t>
                  </w:r>
                </w:p>
              </w:tc>
              <w:tc>
                <w:tcPr>
                  <w:tcW w:w="1468" w:type="pct"/>
                  <w:shd w:val="clear" w:color="auto" w:fill="auto"/>
                  <w:vAlign w:val="center"/>
                </w:tcPr>
                <w:p w14:paraId="1CCDFD8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42AD498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4.2.12注 5</w:t>
                  </w:r>
                </w:p>
              </w:tc>
              <w:tc>
                <w:tcPr>
                  <w:tcW w:w="222" w:type="pct"/>
                  <w:shd w:val="clear" w:color="auto" w:fill="auto"/>
                  <w:vAlign w:val="center"/>
                </w:tcPr>
                <w:p w14:paraId="2696247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198C942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67101A82">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5DE9A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241F83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31F08CA4">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西侧</w:t>
                  </w:r>
                </w:p>
              </w:tc>
              <w:tc>
                <w:tcPr>
                  <w:tcW w:w="873" w:type="pct"/>
                  <w:shd w:val="clear" w:color="auto" w:fill="auto"/>
                  <w:vAlign w:val="center"/>
                </w:tcPr>
                <w:p w14:paraId="5D00A97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烃泵（ 甲类）</w:t>
                  </w:r>
                </w:p>
              </w:tc>
              <w:tc>
                <w:tcPr>
                  <w:tcW w:w="545" w:type="pct"/>
                  <w:shd w:val="clear" w:color="auto" w:fill="auto"/>
                  <w:vAlign w:val="center"/>
                </w:tcPr>
                <w:p w14:paraId="07A081E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25.00</w:t>
                  </w:r>
                </w:p>
              </w:tc>
              <w:tc>
                <w:tcPr>
                  <w:tcW w:w="413" w:type="pct"/>
                  <w:shd w:val="clear" w:color="auto" w:fill="auto"/>
                  <w:vAlign w:val="center"/>
                </w:tcPr>
                <w:p w14:paraId="722928E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25.10</w:t>
                  </w:r>
                </w:p>
              </w:tc>
              <w:tc>
                <w:tcPr>
                  <w:tcW w:w="1468" w:type="pct"/>
                  <w:shd w:val="clear" w:color="auto" w:fill="auto"/>
                  <w:vAlign w:val="center"/>
                </w:tcPr>
                <w:p w14:paraId="02BFE71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w:t>
                  </w:r>
                </w:p>
                <w:p w14:paraId="21383A0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w:t>
                  </w:r>
                </w:p>
              </w:tc>
              <w:tc>
                <w:tcPr>
                  <w:tcW w:w="222" w:type="pct"/>
                  <w:shd w:val="clear" w:color="auto" w:fill="auto"/>
                  <w:vAlign w:val="center"/>
                </w:tcPr>
                <w:p w14:paraId="6685B5A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1AC7B1D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01EA8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CA1DB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745327B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西南</w:t>
                  </w:r>
                </w:p>
              </w:tc>
              <w:tc>
                <w:tcPr>
                  <w:tcW w:w="873" w:type="pct"/>
                  <w:shd w:val="clear" w:color="auto" w:fill="auto"/>
                  <w:vAlign w:val="center"/>
                </w:tcPr>
                <w:p w14:paraId="51297BD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埋地 LPG 储罐</w:t>
                  </w:r>
                </w:p>
                <w:p w14:paraId="1D339E64">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 甲类）</w:t>
                  </w:r>
                </w:p>
              </w:tc>
              <w:tc>
                <w:tcPr>
                  <w:tcW w:w="545" w:type="pct"/>
                  <w:shd w:val="clear" w:color="auto" w:fill="auto"/>
                  <w:vAlign w:val="center"/>
                </w:tcPr>
                <w:p w14:paraId="320553C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35*50%=</w:t>
                  </w:r>
                </w:p>
                <w:p w14:paraId="28B332C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17.50</w:t>
                  </w:r>
                </w:p>
              </w:tc>
              <w:tc>
                <w:tcPr>
                  <w:tcW w:w="413" w:type="pct"/>
                  <w:shd w:val="clear" w:color="auto" w:fill="auto"/>
                  <w:vAlign w:val="center"/>
                </w:tcPr>
                <w:p w14:paraId="33EA9F1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36.70</w:t>
                  </w:r>
                </w:p>
              </w:tc>
              <w:tc>
                <w:tcPr>
                  <w:tcW w:w="1468" w:type="pct"/>
                  <w:shd w:val="clear" w:color="auto" w:fill="auto"/>
                  <w:vAlign w:val="center"/>
                </w:tcPr>
                <w:p w14:paraId="550FBF6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39601AF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4.2.12注 5</w:t>
                  </w:r>
                </w:p>
              </w:tc>
              <w:tc>
                <w:tcPr>
                  <w:tcW w:w="222" w:type="pct"/>
                  <w:shd w:val="clear" w:color="auto" w:fill="auto"/>
                  <w:vAlign w:val="center"/>
                </w:tcPr>
                <w:p w14:paraId="793770C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1157FAF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77E2F1F3">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5B146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607BC55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06C68A4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873" w:type="pct"/>
                  <w:shd w:val="clear" w:color="auto" w:fill="auto"/>
                  <w:vAlign w:val="center"/>
                </w:tcPr>
                <w:p w14:paraId="44386D7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主干道（原料</w:t>
                  </w:r>
                </w:p>
                <w:p w14:paraId="61F4233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及产品运输道</w:t>
                  </w:r>
                </w:p>
                <w:p w14:paraId="33650E3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路）</w:t>
                  </w:r>
                </w:p>
              </w:tc>
              <w:tc>
                <w:tcPr>
                  <w:tcW w:w="545" w:type="pct"/>
                  <w:shd w:val="clear" w:color="auto" w:fill="auto"/>
                  <w:vAlign w:val="center"/>
                </w:tcPr>
                <w:p w14:paraId="2602704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10.00</w:t>
                  </w:r>
                </w:p>
              </w:tc>
              <w:tc>
                <w:tcPr>
                  <w:tcW w:w="413" w:type="pct"/>
                  <w:shd w:val="clear" w:color="auto" w:fill="auto"/>
                  <w:vAlign w:val="center"/>
                </w:tcPr>
                <w:p w14:paraId="3B75D20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15.10</w:t>
                  </w:r>
                </w:p>
              </w:tc>
              <w:tc>
                <w:tcPr>
                  <w:tcW w:w="1468" w:type="pct"/>
                  <w:shd w:val="clear" w:color="auto" w:fill="auto"/>
                  <w:vAlign w:val="center"/>
                </w:tcPr>
                <w:p w14:paraId="1D8E12F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78A39C84">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w:t>
                  </w:r>
                </w:p>
              </w:tc>
              <w:tc>
                <w:tcPr>
                  <w:tcW w:w="222" w:type="pct"/>
                  <w:shd w:val="clear" w:color="auto" w:fill="auto"/>
                  <w:vAlign w:val="center"/>
                </w:tcPr>
                <w:p w14:paraId="338F432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3DDA0BD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2484D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5B46DF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32A5468E">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873" w:type="pct"/>
                  <w:shd w:val="clear" w:color="auto" w:fill="auto"/>
                  <w:vAlign w:val="center"/>
                </w:tcPr>
                <w:p w14:paraId="4F7DE593">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LPG 灌瓶间（ 甲类，二级）</w:t>
                  </w:r>
                </w:p>
              </w:tc>
              <w:tc>
                <w:tcPr>
                  <w:tcW w:w="545" w:type="pct"/>
                  <w:shd w:val="clear" w:color="auto" w:fill="auto"/>
                  <w:vAlign w:val="center"/>
                </w:tcPr>
                <w:p w14:paraId="52FAC8C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30</w:t>
                  </w:r>
                </w:p>
              </w:tc>
              <w:tc>
                <w:tcPr>
                  <w:tcW w:w="413" w:type="pct"/>
                  <w:shd w:val="clear" w:color="auto" w:fill="auto"/>
                  <w:vAlign w:val="center"/>
                </w:tcPr>
                <w:p w14:paraId="177BE89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36.35</w:t>
                  </w:r>
                </w:p>
              </w:tc>
              <w:tc>
                <w:tcPr>
                  <w:tcW w:w="1468" w:type="pct"/>
                  <w:shd w:val="clear" w:color="auto" w:fill="auto"/>
                  <w:vAlign w:val="center"/>
                </w:tcPr>
                <w:p w14:paraId="6DBBE3C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168DE81C">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w:t>
                  </w:r>
                </w:p>
              </w:tc>
              <w:tc>
                <w:tcPr>
                  <w:tcW w:w="222" w:type="pct"/>
                  <w:shd w:val="clear" w:color="auto" w:fill="auto"/>
                  <w:vAlign w:val="center"/>
                </w:tcPr>
                <w:p w14:paraId="19B5E7D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3154119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42115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C155BA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0ADBF5C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东侧</w:t>
                  </w:r>
                </w:p>
              </w:tc>
              <w:tc>
                <w:tcPr>
                  <w:tcW w:w="873" w:type="pct"/>
                  <w:shd w:val="clear" w:color="auto" w:fill="auto"/>
                  <w:vAlign w:val="center"/>
                </w:tcPr>
                <w:p w14:paraId="0633599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主干道（原料</w:t>
                  </w:r>
                </w:p>
                <w:p w14:paraId="18376B9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及产品运输道</w:t>
                  </w:r>
                </w:p>
                <w:p w14:paraId="7430AAD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路）</w:t>
                  </w:r>
                </w:p>
              </w:tc>
              <w:tc>
                <w:tcPr>
                  <w:tcW w:w="545" w:type="pct"/>
                  <w:shd w:val="clear" w:color="auto" w:fill="auto"/>
                  <w:vAlign w:val="center"/>
                </w:tcPr>
                <w:p w14:paraId="64BCCB13">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10.00</w:t>
                  </w:r>
                </w:p>
              </w:tc>
              <w:tc>
                <w:tcPr>
                  <w:tcW w:w="413" w:type="pct"/>
                  <w:shd w:val="clear" w:color="auto" w:fill="auto"/>
                  <w:vAlign w:val="center"/>
                </w:tcPr>
                <w:p w14:paraId="4EA6926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14.00</w:t>
                  </w:r>
                </w:p>
              </w:tc>
              <w:tc>
                <w:tcPr>
                  <w:tcW w:w="1468" w:type="pct"/>
                  <w:shd w:val="clear" w:color="auto" w:fill="auto"/>
                  <w:vAlign w:val="center"/>
                </w:tcPr>
                <w:p w14:paraId="7DB5D75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0C96813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w:t>
                  </w:r>
                </w:p>
              </w:tc>
              <w:tc>
                <w:tcPr>
                  <w:tcW w:w="222" w:type="pct"/>
                  <w:shd w:val="clear" w:color="auto" w:fill="auto"/>
                  <w:vAlign w:val="center"/>
                </w:tcPr>
                <w:p w14:paraId="52EBB3B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213AA08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72422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2EA3A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FB195C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东侧</w:t>
                  </w:r>
                </w:p>
              </w:tc>
              <w:tc>
                <w:tcPr>
                  <w:tcW w:w="873" w:type="pct"/>
                  <w:shd w:val="clear" w:color="auto" w:fill="auto"/>
                  <w:vAlign w:val="center"/>
                </w:tcPr>
                <w:p w14:paraId="65789E1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气体灌瓶间 （乙类，二级）</w:t>
                  </w:r>
                </w:p>
              </w:tc>
              <w:tc>
                <w:tcPr>
                  <w:tcW w:w="545" w:type="pct"/>
                  <w:shd w:val="clear" w:color="auto" w:fill="auto"/>
                  <w:vAlign w:val="center"/>
                </w:tcPr>
                <w:p w14:paraId="77714F2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25.00</w:t>
                  </w:r>
                </w:p>
              </w:tc>
              <w:tc>
                <w:tcPr>
                  <w:tcW w:w="413" w:type="pct"/>
                  <w:shd w:val="clear" w:color="auto" w:fill="auto"/>
                  <w:vAlign w:val="center"/>
                </w:tcPr>
                <w:p w14:paraId="1A3098F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30.14</w:t>
                  </w:r>
                </w:p>
              </w:tc>
              <w:tc>
                <w:tcPr>
                  <w:tcW w:w="1468" w:type="pct"/>
                  <w:shd w:val="clear" w:color="auto" w:fill="auto"/>
                  <w:vAlign w:val="center"/>
                </w:tcPr>
                <w:p w14:paraId="64DF58A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6AF4D06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w:t>
                  </w:r>
                </w:p>
              </w:tc>
              <w:tc>
                <w:tcPr>
                  <w:tcW w:w="222" w:type="pct"/>
                  <w:shd w:val="clear" w:color="auto" w:fill="auto"/>
                  <w:vAlign w:val="center"/>
                </w:tcPr>
                <w:p w14:paraId="1966D0D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35FB5323">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12C8C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shd w:val="clear" w:color="auto" w:fill="auto"/>
                  <w:vAlign w:val="center"/>
                </w:tcPr>
                <w:p w14:paraId="483081C2">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气体灌瓶间 （乙类，二级）</w:t>
                  </w:r>
                </w:p>
              </w:tc>
              <w:tc>
                <w:tcPr>
                  <w:tcW w:w="536" w:type="pct"/>
                  <w:shd w:val="clear" w:color="auto" w:fill="auto"/>
                  <w:vAlign w:val="center"/>
                </w:tcPr>
                <w:p w14:paraId="2594159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873" w:type="pct"/>
                  <w:shd w:val="clear" w:color="auto" w:fill="auto"/>
                  <w:vAlign w:val="center"/>
                </w:tcPr>
                <w:p w14:paraId="5D7DE78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厂区围墙</w:t>
                  </w:r>
                </w:p>
              </w:tc>
              <w:tc>
                <w:tcPr>
                  <w:tcW w:w="545" w:type="pct"/>
                  <w:shd w:val="clear" w:color="auto" w:fill="auto"/>
                  <w:vAlign w:val="center"/>
                </w:tcPr>
                <w:p w14:paraId="374E89D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5.00</w:t>
                  </w:r>
                </w:p>
              </w:tc>
              <w:tc>
                <w:tcPr>
                  <w:tcW w:w="413" w:type="pct"/>
                  <w:shd w:val="clear" w:color="auto" w:fill="auto"/>
                  <w:vAlign w:val="center"/>
                </w:tcPr>
                <w:p w14:paraId="1A7EE91E">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21.42</w:t>
                  </w:r>
                </w:p>
              </w:tc>
              <w:tc>
                <w:tcPr>
                  <w:tcW w:w="1468" w:type="pct"/>
                  <w:shd w:val="clear" w:color="auto" w:fill="auto"/>
                  <w:vAlign w:val="center"/>
                </w:tcPr>
                <w:p w14:paraId="226DA2E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2C9EAB7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版） 》 （GB50016-2014） 第3.4.12 条</w:t>
                  </w:r>
                </w:p>
              </w:tc>
              <w:tc>
                <w:tcPr>
                  <w:tcW w:w="222" w:type="pct"/>
                  <w:shd w:val="clear" w:color="auto" w:fill="auto"/>
                  <w:vAlign w:val="center"/>
                </w:tcPr>
                <w:p w14:paraId="347C94E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56D7B93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5B4CB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565A01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442D07A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873" w:type="pct"/>
                  <w:shd w:val="clear" w:color="auto" w:fill="auto"/>
                  <w:vAlign w:val="center"/>
                </w:tcPr>
                <w:p w14:paraId="500EDCD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主干道（原料</w:t>
                  </w:r>
                </w:p>
                <w:p w14:paraId="491B9E7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及产品运输道</w:t>
                  </w:r>
                </w:p>
                <w:p w14:paraId="0E1283A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路）</w:t>
                  </w:r>
                </w:p>
              </w:tc>
              <w:tc>
                <w:tcPr>
                  <w:tcW w:w="545" w:type="pct"/>
                  <w:shd w:val="clear" w:color="auto" w:fill="auto"/>
                  <w:vAlign w:val="center"/>
                </w:tcPr>
                <w:p w14:paraId="7C1DA6F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10.00</w:t>
                  </w:r>
                </w:p>
              </w:tc>
              <w:tc>
                <w:tcPr>
                  <w:tcW w:w="413" w:type="pct"/>
                  <w:shd w:val="clear" w:color="auto" w:fill="auto"/>
                  <w:vAlign w:val="center"/>
                </w:tcPr>
                <w:p w14:paraId="5D2EB28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12.84</w:t>
                  </w:r>
                </w:p>
              </w:tc>
              <w:tc>
                <w:tcPr>
                  <w:tcW w:w="1468" w:type="pct"/>
                  <w:shd w:val="clear" w:color="auto" w:fill="auto"/>
                  <w:vAlign w:val="center"/>
                </w:tcPr>
                <w:p w14:paraId="2FEC957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5153184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3ED2812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0B8AC25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7BB9E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499A75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030BAED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西侧</w:t>
                  </w:r>
                </w:p>
              </w:tc>
              <w:tc>
                <w:tcPr>
                  <w:tcW w:w="873" w:type="pct"/>
                  <w:shd w:val="clear" w:color="auto" w:fill="auto"/>
                  <w:vAlign w:val="center"/>
                </w:tcPr>
                <w:p w14:paraId="38DF696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主干道（原料</w:t>
                  </w:r>
                </w:p>
                <w:p w14:paraId="4E66DFB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及产品运输道</w:t>
                  </w:r>
                </w:p>
                <w:p w14:paraId="4CF9DA1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路）</w:t>
                  </w:r>
                </w:p>
              </w:tc>
              <w:tc>
                <w:tcPr>
                  <w:tcW w:w="545" w:type="pct"/>
                  <w:shd w:val="clear" w:color="auto" w:fill="auto"/>
                  <w:vAlign w:val="center"/>
                </w:tcPr>
                <w:p w14:paraId="1D347A24">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10.00</w:t>
                  </w:r>
                </w:p>
              </w:tc>
              <w:tc>
                <w:tcPr>
                  <w:tcW w:w="413" w:type="pct"/>
                  <w:shd w:val="clear" w:color="auto" w:fill="auto"/>
                  <w:vAlign w:val="center"/>
                </w:tcPr>
                <w:p w14:paraId="621F076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10.14</w:t>
                  </w:r>
                </w:p>
              </w:tc>
              <w:tc>
                <w:tcPr>
                  <w:tcW w:w="1468" w:type="pct"/>
                  <w:shd w:val="clear" w:color="auto" w:fill="auto"/>
                  <w:vAlign w:val="center"/>
                </w:tcPr>
                <w:p w14:paraId="091A673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231A816C">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4903995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3B87029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2C6FB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54A361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2EF483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西侧</w:t>
                  </w:r>
                </w:p>
              </w:tc>
              <w:tc>
                <w:tcPr>
                  <w:tcW w:w="873" w:type="pct"/>
                  <w:shd w:val="clear" w:color="auto" w:fill="auto"/>
                  <w:vAlign w:val="center"/>
                </w:tcPr>
                <w:p w14:paraId="4C00117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丙烷灌瓶间 （ 甲类，二级）</w:t>
                  </w:r>
                </w:p>
              </w:tc>
              <w:tc>
                <w:tcPr>
                  <w:tcW w:w="545" w:type="pct"/>
                  <w:shd w:val="clear" w:color="auto" w:fill="auto"/>
                  <w:vAlign w:val="center"/>
                </w:tcPr>
                <w:p w14:paraId="1B2D168E">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25.00</w:t>
                  </w:r>
                </w:p>
              </w:tc>
              <w:tc>
                <w:tcPr>
                  <w:tcW w:w="413" w:type="pct"/>
                  <w:shd w:val="clear" w:color="auto" w:fill="auto"/>
                  <w:vAlign w:val="center"/>
                </w:tcPr>
                <w:p w14:paraId="336D128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30.14</w:t>
                  </w:r>
                </w:p>
              </w:tc>
              <w:tc>
                <w:tcPr>
                  <w:tcW w:w="1468" w:type="pct"/>
                  <w:shd w:val="clear" w:color="auto" w:fill="auto"/>
                  <w:vAlign w:val="center"/>
                </w:tcPr>
                <w:p w14:paraId="7B119C2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《石油化工企业设计防火标准（2018 年版） 》</w:t>
                  </w:r>
                </w:p>
                <w:p w14:paraId="025277E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（GB50160-2008）表 4.2.12</w:t>
                  </w:r>
                </w:p>
              </w:tc>
              <w:tc>
                <w:tcPr>
                  <w:tcW w:w="222" w:type="pct"/>
                  <w:shd w:val="clear" w:color="auto" w:fill="auto"/>
                  <w:vAlign w:val="center"/>
                </w:tcPr>
                <w:p w14:paraId="15A84EC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2E4E1813">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517F62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FE54BC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6CC122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西南</w:t>
                  </w:r>
                </w:p>
              </w:tc>
              <w:tc>
                <w:tcPr>
                  <w:tcW w:w="873" w:type="pct"/>
                  <w:shd w:val="clear" w:color="auto" w:fill="auto"/>
                  <w:vAlign w:val="center"/>
                </w:tcPr>
                <w:p w14:paraId="621D45BC">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LPG 灌瓶间（ 甲类，二级）</w:t>
                  </w:r>
                </w:p>
              </w:tc>
              <w:tc>
                <w:tcPr>
                  <w:tcW w:w="545" w:type="pct"/>
                  <w:shd w:val="clear" w:color="auto" w:fill="auto"/>
                  <w:vAlign w:val="center"/>
                </w:tcPr>
                <w:p w14:paraId="6D1B62E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12.00</w:t>
                  </w:r>
                </w:p>
              </w:tc>
              <w:tc>
                <w:tcPr>
                  <w:tcW w:w="413" w:type="pct"/>
                  <w:shd w:val="clear" w:color="auto" w:fill="auto"/>
                  <w:vAlign w:val="center"/>
                </w:tcPr>
                <w:p w14:paraId="5F7D9AA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43.26</w:t>
                  </w:r>
                </w:p>
              </w:tc>
              <w:tc>
                <w:tcPr>
                  <w:tcW w:w="1468" w:type="pct"/>
                  <w:shd w:val="clear" w:color="auto" w:fill="auto"/>
                  <w:vAlign w:val="center"/>
                </w:tcPr>
                <w:p w14:paraId="6BCFC60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4CF8CCD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 第 3.0.5</w:t>
                  </w:r>
                </w:p>
              </w:tc>
              <w:tc>
                <w:tcPr>
                  <w:tcW w:w="222" w:type="pct"/>
                  <w:shd w:val="clear" w:color="auto" w:fill="auto"/>
                  <w:vAlign w:val="center"/>
                </w:tcPr>
                <w:p w14:paraId="36359AD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61F9821C">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4E939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61892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DF770E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873" w:type="pct"/>
                  <w:shd w:val="clear" w:color="auto" w:fill="auto"/>
                  <w:vAlign w:val="center"/>
                </w:tcPr>
                <w:p w14:paraId="6289191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液氧储罐</w:t>
                  </w:r>
                </w:p>
                <w:p w14:paraId="13FF81B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（V=50m</w:t>
                  </w:r>
                  <w:r>
                    <w:rPr>
                      <w:rFonts w:hint="default" w:ascii="Times New Roman" w:hAnsi="Times New Roman" w:cs="Times New Roman"/>
                      <w:color w:val="0000FF"/>
                      <w:sz w:val="21"/>
                      <w:szCs w:val="21"/>
                      <w:vertAlign w:val="superscript"/>
                    </w:rPr>
                    <w:t>3</w:t>
                  </w:r>
                  <w:r>
                    <w:rPr>
                      <w:rFonts w:hint="default" w:ascii="Times New Roman" w:hAnsi="Times New Roman" w:cs="Times New Roman"/>
                      <w:color w:val="0000FF"/>
                      <w:sz w:val="21"/>
                      <w:szCs w:val="21"/>
                    </w:rPr>
                    <w:t xml:space="preserve"> ， 乙</w:t>
                  </w:r>
                </w:p>
                <w:p w14:paraId="1015E29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类）</w:t>
                  </w:r>
                </w:p>
              </w:tc>
              <w:tc>
                <w:tcPr>
                  <w:tcW w:w="545" w:type="pct"/>
                  <w:shd w:val="clear" w:color="auto" w:fill="auto"/>
                  <w:vAlign w:val="center"/>
                </w:tcPr>
                <w:p w14:paraId="75BFF08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12.00</w:t>
                  </w:r>
                </w:p>
              </w:tc>
              <w:tc>
                <w:tcPr>
                  <w:tcW w:w="413" w:type="pct"/>
                  <w:shd w:val="clear" w:color="auto" w:fill="auto"/>
                  <w:vAlign w:val="center"/>
                </w:tcPr>
                <w:p w14:paraId="1C8A924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13.10</w:t>
                  </w:r>
                </w:p>
              </w:tc>
              <w:tc>
                <w:tcPr>
                  <w:tcW w:w="1468" w:type="pct"/>
                  <w:shd w:val="clear" w:color="auto" w:fill="auto"/>
                  <w:vAlign w:val="center"/>
                </w:tcPr>
                <w:p w14:paraId="68C58D9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254D1C6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090C9F1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2C3F1022">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645CB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0BCA1D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59613A9F">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873" w:type="pct"/>
                  <w:shd w:val="clear" w:color="auto" w:fill="auto"/>
                  <w:vAlign w:val="center"/>
                </w:tcPr>
                <w:p w14:paraId="447C49E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新瓶库（含危</w:t>
                  </w:r>
                </w:p>
                <w:p w14:paraId="2B5BDB0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废间）（丙类，</w:t>
                  </w:r>
                </w:p>
                <w:p w14:paraId="62965B1C">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二级）</w:t>
                  </w:r>
                </w:p>
              </w:tc>
              <w:tc>
                <w:tcPr>
                  <w:tcW w:w="545" w:type="pct"/>
                  <w:shd w:val="clear" w:color="auto" w:fill="auto"/>
                  <w:vAlign w:val="center"/>
                </w:tcPr>
                <w:p w14:paraId="0092258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10.00</w:t>
                  </w:r>
                </w:p>
              </w:tc>
              <w:tc>
                <w:tcPr>
                  <w:tcW w:w="413" w:type="pct"/>
                  <w:shd w:val="clear" w:color="auto" w:fill="auto"/>
                  <w:vAlign w:val="center"/>
                </w:tcPr>
                <w:p w14:paraId="68DC597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42.32</w:t>
                  </w:r>
                </w:p>
              </w:tc>
              <w:tc>
                <w:tcPr>
                  <w:tcW w:w="1468" w:type="pct"/>
                  <w:shd w:val="clear" w:color="auto" w:fill="auto"/>
                  <w:vAlign w:val="center"/>
                </w:tcPr>
                <w:p w14:paraId="38A616D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239F1F7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177CE25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3CD1F98E">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38A53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6A2E32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C844FA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东侧</w:t>
                  </w:r>
                </w:p>
              </w:tc>
              <w:tc>
                <w:tcPr>
                  <w:tcW w:w="873" w:type="pct"/>
                  <w:shd w:val="clear" w:color="auto" w:fill="auto"/>
                  <w:vAlign w:val="center"/>
                </w:tcPr>
                <w:p w14:paraId="037BA00D">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消防通道（次要道路）</w:t>
                  </w:r>
                </w:p>
              </w:tc>
              <w:tc>
                <w:tcPr>
                  <w:tcW w:w="545" w:type="pct"/>
                  <w:shd w:val="clear" w:color="auto" w:fill="auto"/>
                  <w:vAlign w:val="center"/>
                </w:tcPr>
                <w:p w14:paraId="623F7E6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5.00</w:t>
                  </w:r>
                </w:p>
              </w:tc>
              <w:tc>
                <w:tcPr>
                  <w:tcW w:w="413" w:type="pct"/>
                  <w:shd w:val="clear" w:color="auto" w:fill="auto"/>
                  <w:vAlign w:val="center"/>
                </w:tcPr>
                <w:p w14:paraId="13F0EDBC">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5.11</w:t>
                  </w:r>
                </w:p>
              </w:tc>
              <w:tc>
                <w:tcPr>
                  <w:tcW w:w="1468" w:type="pct"/>
                  <w:shd w:val="clear" w:color="auto" w:fill="auto"/>
                  <w:vAlign w:val="center"/>
                </w:tcPr>
                <w:p w14:paraId="1CD10A4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3C97464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007675C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5B24926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61DA2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4BA8B0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5A9FED8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东侧</w:t>
                  </w:r>
                </w:p>
              </w:tc>
              <w:tc>
                <w:tcPr>
                  <w:tcW w:w="873" w:type="pct"/>
                  <w:shd w:val="clear" w:color="auto" w:fill="auto"/>
                  <w:vAlign w:val="center"/>
                </w:tcPr>
                <w:p w14:paraId="52DEA79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厂区围墙</w:t>
                  </w:r>
                </w:p>
              </w:tc>
              <w:tc>
                <w:tcPr>
                  <w:tcW w:w="545" w:type="pct"/>
                  <w:shd w:val="clear" w:color="auto" w:fill="auto"/>
                  <w:vAlign w:val="center"/>
                </w:tcPr>
                <w:p w14:paraId="744F3C9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5.00</w:t>
                  </w:r>
                </w:p>
              </w:tc>
              <w:tc>
                <w:tcPr>
                  <w:tcW w:w="413" w:type="pct"/>
                  <w:shd w:val="clear" w:color="auto" w:fill="auto"/>
                  <w:vAlign w:val="center"/>
                </w:tcPr>
                <w:p w14:paraId="6F6E92E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13.11</w:t>
                  </w:r>
                </w:p>
              </w:tc>
              <w:tc>
                <w:tcPr>
                  <w:tcW w:w="1468" w:type="pct"/>
                  <w:shd w:val="clear" w:color="auto" w:fill="auto"/>
                  <w:vAlign w:val="center"/>
                </w:tcPr>
                <w:p w14:paraId="3F8FC4B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59EBE29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版） 》 （GB50016-2014） 第3.4.12 条</w:t>
                  </w:r>
                </w:p>
              </w:tc>
              <w:tc>
                <w:tcPr>
                  <w:tcW w:w="222" w:type="pct"/>
                  <w:shd w:val="clear" w:color="auto" w:fill="auto"/>
                  <w:vAlign w:val="center"/>
                </w:tcPr>
                <w:p w14:paraId="24A2E24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1398F994">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2509B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shd w:val="clear" w:color="auto" w:fill="auto"/>
                  <w:vAlign w:val="center"/>
                </w:tcPr>
                <w:p w14:paraId="20B502A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液氧储罐</w:t>
                  </w:r>
                </w:p>
                <w:p w14:paraId="180680F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（V=50m</w:t>
                  </w:r>
                  <w:r>
                    <w:rPr>
                      <w:rFonts w:hint="default" w:ascii="Times New Roman" w:hAnsi="Times New Roman" w:cs="Times New Roman"/>
                      <w:color w:val="0000FF"/>
                      <w:sz w:val="21"/>
                      <w:szCs w:val="21"/>
                      <w:vertAlign w:val="superscript"/>
                    </w:rPr>
                    <w:t>3</w:t>
                  </w:r>
                  <w:r>
                    <w:rPr>
                      <w:rFonts w:hint="default" w:ascii="Times New Roman" w:hAnsi="Times New Roman" w:cs="Times New Roman"/>
                      <w:color w:val="0000FF"/>
                      <w:sz w:val="21"/>
                      <w:szCs w:val="21"/>
                    </w:rPr>
                    <w:t xml:space="preserve"> ，乙</w:t>
                  </w:r>
                </w:p>
                <w:p w14:paraId="31221A2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类）</w:t>
                  </w:r>
                </w:p>
              </w:tc>
              <w:tc>
                <w:tcPr>
                  <w:tcW w:w="536" w:type="pct"/>
                  <w:shd w:val="clear" w:color="auto" w:fill="auto"/>
                  <w:vAlign w:val="center"/>
                </w:tcPr>
                <w:p w14:paraId="6416808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北侧</w:t>
                  </w:r>
                </w:p>
              </w:tc>
              <w:tc>
                <w:tcPr>
                  <w:tcW w:w="873" w:type="pct"/>
                  <w:shd w:val="clear" w:color="auto" w:fill="auto"/>
                  <w:vAlign w:val="center"/>
                </w:tcPr>
                <w:p w14:paraId="09B13F8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气体灌瓶间 （乙类，二级）</w:t>
                  </w:r>
                </w:p>
              </w:tc>
              <w:tc>
                <w:tcPr>
                  <w:tcW w:w="545" w:type="pct"/>
                  <w:shd w:val="clear" w:color="auto" w:fill="auto"/>
                  <w:vAlign w:val="center"/>
                </w:tcPr>
                <w:p w14:paraId="21FB0B5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12.00</w:t>
                  </w:r>
                </w:p>
              </w:tc>
              <w:tc>
                <w:tcPr>
                  <w:tcW w:w="413" w:type="pct"/>
                  <w:shd w:val="clear" w:color="auto" w:fill="auto"/>
                  <w:vAlign w:val="center"/>
                </w:tcPr>
                <w:p w14:paraId="054985F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13.10</w:t>
                  </w:r>
                </w:p>
              </w:tc>
              <w:tc>
                <w:tcPr>
                  <w:tcW w:w="1468" w:type="pct"/>
                  <w:shd w:val="clear" w:color="auto" w:fill="auto"/>
                  <w:vAlign w:val="center"/>
                </w:tcPr>
                <w:p w14:paraId="3E690A6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0006431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47B9464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231ECE9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1AFF0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F59412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04E2B686">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873" w:type="pct"/>
                  <w:shd w:val="clear" w:color="auto" w:fill="auto"/>
                  <w:vAlign w:val="center"/>
                </w:tcPr>
                <w:p w14:paraId="722FF42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主干道（主要</w:t>
                  </w:r>
                </w:p>
                <w:p w14:paraId="5F8EABC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道路）</w:t>
                  </w:r>
                </w:p>
              </w:tc>
              <w:tc>
                <w:tcPr>
                  <w:tcW w:w="545" w:type="pct"/>
                  <w:shd w:val="clear" w:color="auto" w:fill="auto"/>
                  <w:vAlign w:val="center"/>
                </w:tcPr>
                <w:p w14:paraId="7E08CADA">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10.00</w:t>
                  </w:r>
                </w:p>
              </w:tc>
              <w:tc>
                <w:tcPr>
                  <w:tcW w:w="413" w:type="pct"/>
                  <w:shd w:val="clear" w:color="auto" w:fill="auto"/>
                  <w:vAlign w:val="center"/>
                </w:tcPr>
                <w:p w14:paraId="1118774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14.12</w:t>
                  </w:r>
                </w:p>
              </w:tc>
              <w:tc>
                <w:tcPr>
                  <w:tcW w:w="1468" w:type="pct"/>
                  <w:shd w:val="clear" w:color="auto" w:fill="auto"/>
                  <w:vAlign w:val="center"/>
                </w:tcPr>
                <w:p w14:paraId="6C5A44E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6A1505BE">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6D02659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09E18F3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7CDD1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6705EE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4DE358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南侧</w:t>
                  </w:r>
                </w:p>
              </w:tc>
              <w:tc>
                <w:tcPr>
                  <w:tcW w:w="873" w:type="pct"/>
                  <w:shd w:val="clear" w:color="auto" w:fill="auto"/>
                  <w:vAlign w:val="center"/>
                </w:tcPr>
                <w:p w14:paraId="456C787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新瓶库（含危</w:t>
                  </w:r>
                </w:p>
                <w:p w14:paraId="285D170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废间）（丙类，</w:t>
                  </w:r>
                </w:p>
                <w:p w14:paraId="768C5BE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二级）</w:t>
                  </w:r>
                </w:p>
              </w:tc>
              <w:tc>
                <w:tcPr>
                  <w:tcW w:w="545" w:type="pct"/>
                  <w:shd w:val="clear" w:color="auto" w:fill="auto"/>
                  <w:vAlign w:val="center"/>
                </w:tcPr>
                <w:p w14:paraId="7EBAE064">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10.00</w:t>
                  </w:r>
                </w:p>
              </w:tc>
              <w:tc>
                <w:tcPr>
                  <w:tcW w:w="413" w:type="pct"/>
                  <w:shd w:val="clear" w:color="auto" w:fill="auto"/>
                  <w:vAlign w:val="center"/>
                </w:tcPr>
                <w:p w14:paraId="461284EC">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26.20</w:t>
                  </w:r>
                </w:p>
              </w:tc>
              <w:tc>
                <w:tcPr>
                  <w:tcW w:w="1468" w:type="pct"/>
                  <w:shd w:val="clear" w:color="auto" w:fill="auto"/>
                  <w:vAlign w:val="center"/>
                </w:tcPr>
                <w:p w14:paraId="4B5A518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3A44025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3BA3788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2B6594A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5F114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FD6250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0F502799">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西侧</w:t>
                  </w:r>
                </w:p>
              </w:tc>
              <w:tc>
                <w:tcPr>
                  <w:tcW w:w="873" w:type="pct"/>
                  <w:shd w:val="clear" w:color="auto" w:fill="auto"/>
                  <w:vAlign w:val="center"/>
                </w:tcPr>
                <w:p w14:paraId="2AA5039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主干道（主要</w:t>
                  </w:r>
                </w:p>
                <w:p w14:paraId="129B0F53">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道路）</w:t>
                  </w:r>
                </w:p>
              </w:tc>
              <w:tc>
                <w:tcPr>
                  <w:tcW w:w="545" w:type="pct"/>
                  <w:shd w:val="clear" w:color="auto" w:fill="auto"/>
                  <w:vAlign w:val="center"/>
                </w:tcPr>
                <w:p w14:paraId="4383EE5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10.00</w:t>
                  </w:r>
                </w:p>
              </w:tc>
              <w:tc>
                <w:tcPr>
                  <w:tcW w:w="413" w:type="pct"/>
                  <w:shd w:val="clear" w:color="auto" w:fill="auto"/>
                  <w:vAlign w:val="center"/>
                </w:tcPr>
                <w:p w14:paraId="03F55FC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21.31</w:t>
                  </w:r>
                </w:p>
              </w:tc>
              <w:tc>
                <w:tcPr>
                  <w:tcW w:w="1468" w:type="pct"/>
                  <w:shd w:val="clear" w:color="auto" w:fill="auto"/>
                  <w:vAlign w:val="center"/>
                </w:tcPr>
                <w:p w14:paraId="2C645BB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24D4AA37">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09489FE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090D1481">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62BF5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A5736C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shd w:val="clear" w:color="auto" w:fill="auto"/>
                  <w:vAlign w:val="center"/>
                </w:tcPr>
                <w:p w14:paraId="66F171C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东侧</w:t>
                  </w:r>
                </w:p>
              </w:tc>
              <w:tc>
                <w:tcPr>
                  <w:tcW w:w="873" w:type="pct"/>
                  <w:shd w:val="clear" w:color="auto" w:fill="auto"/>
                  <w:vAlign w:val="center"/>
                </w:tcPr>
                <w:p w14:paraId="6C5CE73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消防通道（次要道路）</w:t>
                  </w:r>
                </w:p>
              </w:tc>
              <w:tc>
                <w:tcPr>
                  <w:tcW w:w="545" w:type="pct"/>
                  <w:shd w:val="clear" w:color="auto" w:fill="auto"/>
                  <w:vAlign w:val="center"/>
                </w:tcPr>
                <w:p w14:paraId="0CEBCA35">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5.00</w:t>
                  </w:r>
                </w:p>
              </w:tc>
              <w:tc>
                <w:tcPr>
                  <w:tcW w:w="413" w:type="pct"/>
                  <w:shd w:val="clear" w:color="auto" w:fill="auto"/>
                  <w:vAlign w:val="center"/>
                </w:tcPr>
                <w:p w14:paraId="779EEB50">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18.19</w:t>
                  </w:r>
                </w:p>
              </w:tc>
              <w:tc>
                <w:tcPr>
                  <w:tcW w:w="1468" w:type="pct"/>
                  <w:shd w:val="clear" w:color="auto" w:fill="auto"/>
                  <w:vAlign w:val="center"/>
                </w:tcPr>
                <w:p w14:paraId="091180C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5405474B">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（GB50030-2013）表 3.0.4</w:t>
                  </w:r>
                </w:p>
              </w:tc>
              <w:tc>
                <w:tcPr>
                  <w:tcW w:w="222" w:type="pct"/>
                  <w:shd w:val="clear" w:color="auto" w:fill="auto"/>
                  <w:vAlign w:val="center"/>
                </w:tcPr>
                <w:p w14:paraId="315AD73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p w14:paraId="4E1635F8">
                  <w:pPr>
                    <w:pStyle w:val="40"/>
                    <w:bidi w:val="0"/>
                    <w:snapToGrid w:val="0"/>
                    <w:ind w:left="0" w:leftChars="0" w:right="0" w:rightChars="0" w:firstLine="0" w:firstLineChars="0"/>
                    <w:jc w:val="center"/>
                    <w:rPr>
                      <w:rFonts w:hint="default" w:ascii="Times New Roman" w:hAnsi="Times New Roman" w:cs="Times New Roman"/>
                      <w:color w:val="0000FF"/>
                      <w:sz w:val="21"/>
                      <w:szCs w:val="21"/>
                      <w:lang w:val="en-US" w:eastAsia="en-US"/>
                    </w:rPr>
                  </w:pPr>
                  <w:r>
                    <w:rPr>
                      <w:rFonts w:hint="default" w:ascii="Times New Roman" w:hAnsi="Times New Roman" w:cs="Times New Roman"/>
                      <w:color w:val="0000FF"/>
                      <w:sz w:val="21"/>
                      <w:szCs w:val="21"/>
                    </w:rPr>
                    <w:t>符合</w:t>
                  </w:r>
                </w:p>
              </w:tc>
            </w:tr>
            <w:tr w14:paraId="33579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4B9509D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气瓶检验间 （丁类，二级）</w:t>
                  </w:r>
                </w:p>
              </w:tc>
              <w:tc>
                <w:tcPr>
                  <w:tcW w:w="536" w:type="pct"/>
                  <w:vAlign w:val="center"/>
                </w:tcPr>
                <w:p w14:paraId="645B568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5FCCA11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卸车台</w:t>
                  </w:r>
                </w:p>
                <w:p w14:paraId="63CBD6C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 甲类、二级）</w:t>
                  </w:r>
                </w:p>
              </w:tc>
              <w:tc>
                <w:tcPr>
                  <w:tcW w:w="545" w:type="pct"/>
                  <w:vAlign w:val="center"/>
                </w:tcPr>
                <w:p w14:paraId="2FEFD15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w:t>
                  </w:r>
                </w:p>
              </w:tc>
              <w:tc>
                <w:tcPr>
                  <w:tcW w:w="413" w:type="pct"/>
                  <w:vAlign w:val="center"/>
                </w:tcPr>
                <w:p w14:paraId="0FB3A13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25.92</w:t>
                  </w:r>
                </w:p>
              </w:tc>
              <w:tc>
                <w:tcPr>
                  <w:tcW w:w="1468" w:type="pct"/>
                  <w:vAlign w:val="center"/>
                </w:tcPr>
                <w:p w14:paraId="5142CEF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《石油化工企业设计防火标准》GB50160-2008 ，2018 年版）第 4.2. 12 条</w:t>
                  </w:r>
                </w:p>
              </w:tc>
              <w:tc>
                <w:tcPr>
                  <w:tcW w:w="222" w:type="pct"/>
                  <w:vAlign w:val="center"/>
                </w:tcPr>
                <w:p w14:paraId="2913054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A9A6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32F3F65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5DA1A80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17BAAFB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站区围墙</w:t>
                  </w:r>
                </w:p>
              </w:tc>
              <w:tc>
                <w:tcPr>
                  <w:tcW w:w="545" w:type="pct"/>
                  <w:vAlign w:val="center"/>
                </w:tcPr>
                <w:p w14:paraId="1700358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w:t>
                  </w:r>
                </w:p>
              </w:tc>
              <w:tc>
                <w:tcPr>
                  <w:tcW w:w="413" w:type="pct"/>
                  <w:vAlign w:val="center"/>
                </w:tcPr>
                <w:p w14:paraId="67FD9B8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6.8</w:t>
                  </w:r>
                </w:p>
              </w:tc>
              <w:tc>
                <w:tcPr>
                  <w:tcW w:w="1468" w:type="pct"/>
                  <w:vAlign w:val="center"/>
                </w:tcPr>
                <w:p w14:paraId="32A6EB5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w:t>
                  </w:r>
                </w:p>
                <w:p w14:paraId="64B78DD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（GB50016-2014，2018 年版）第 3.4. 12 条</w:t>
                  </w:r>
                </w:p>
              </w:tc>
              <w:tc>
                <w:tcPr>
                  <w:tcW w:w="222" w:type="pct"/>
                  <w:vAlign w:val="center"/>
                </w:tcPr>
                <w:p w14:paraId="42CFD22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7195B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B157C0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5A3A321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30ED0B4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站区围墙</w:t>
                  </w:r>
                </w:p>
              </w:tc>
              <w:tc>
                <w:tcPr>
                  <w:tcW w:w="545" w:type="pct"/>
                  <w:vAlign w:val="center"/>
                </w:tcPr>
                <w:p w14:paraId="53C7C8A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w:t>
                  </w:r>
                </w:p>
              </w:tc>
              <w:tc>
                <w:tcPr>
                  <w:tcW w:w="413" w:type="pct"/>
                  <w:vAlign w:val="center"/>
                </w:tcPr>
                <w:p w14:paraId="79A812A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13.57</w:t>
                  </w:r>
                </w:p>
              </w:tc>
              <w:tc>
                <w:tcPr>
                  <w:tcW w:w="1468" w:type="pct"/>
                  <w:vAlign w:val="center"/>
                </w:tcPr>
                <w:p w14:paraId="2E22BDB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w:t>
                  </w:r>
                </w:p>
                <w:p w14:paraId="1FAF6A1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（GB50016-2014，2018 年版）第 3.4. 12 条</w:t>
                  </w:r>
                </w:p>
              </w:tc>
              <w:tc>
                <w:tcPr>
                  <w:tcW w:w="222" w:type="pct"/>
                  <w:vAlign w:val="center"/>
                </w:tcPr>
                <w:p w14:paraId="3F99ECC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C323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17E621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restart"/>
                  <w:vAlign w:val="center"/>
                </w:tcPr>
                <w:p w14:paraId="3E1AEF3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71D5089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辅助用房</w:t>
                  </w:r>
                </w:p>
                <w:p w14:paraId="49E9E5E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（丁类、二级）</w:t>
                  </w:r>
                </w:p>
              </w:tc>
              <w:tc>
                <w:tcPr>
                  <w:tcW w:w="545" w:type="pct"/>
                  <w:vAlign w:val="center"/>
                </w:tcPr>
                <w:p w14:paraId="3CC0A72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4BCD952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42.02</w:t>
                  </w:r>
                </w:p>
              </w:tc>
              <w:tc>
                <w:tcPr>
                  <w:tcW w:w="1468" w:type="pct"/>
                  <w:vAlign w:val="center"/>
                </w:tcPr>
                <w:p w14:paraId="713CCEB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w:t>
                  </w:r>
                </w:p>
                <w:p w14:paraId="42D7DE8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（GB50016-2014，2018 年版）第 3.4. 1 条</w:t>
                  </w:r>
                </w:p>
              </w:tc>
              <w:tc>
                <w:tcPr>
                  <w:tcW w:w="222" w:type="pct"/>
                  <w:vAlign w:val="center"/>
                </w:tcPr>
                <w:p w14:paraId="78490D4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8E51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1744359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468505D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5C516AC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控制室</w:t>
                  </w:r>
                </w:p>
                <w:p w14:paraId="752122A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（丁类、二级）</w:t>
                  </w:r>
                </w:p>
              </w:tc>
              <w:tc>
                <w:tcPr>
                  <w:tcW w:w="545" w:type="pct"/>
                  <w:vAlign w:val="center"/>
                </w:tcPr>
                <w:p w14:paraId="6BDBA30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5E602C3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41.42</w:t>
                  </w:r>
                </w:p>
              </w:tc>
              <w:tc>
                <w:tcPr>
                  <w:tcW w:w="1468" w:type="pct"/>
                  <w:vAlign w:val="center"/>
                </w:tcPr>
                <w:p w14:paraId="3B96BB8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w:t>
                  </w:r>
                </w:p>
                <w:p w14:paraId="04ABDC6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（GB50016-2014，2018 年版）第 3.4. 1 条</w:t>
                  </w:r>
                </w:p>
              </w:tc>
              <w:tc>
                <w:tcPr>
                  <w:tcW w:w="222" w:type="pct"/>
                  <w:vAlign w:val="center"/>
                </w:tcPr>
                <w:p w14:paraId="78CB70B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0C1F8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71D83B6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新瓶库（含危</w:t>
                  </w:r>
                </w:p>
                <w:p w14:paraId="64C86D1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废间）（丙类，</w:t>
                  </w:r>
                </w:p>
                <w:p w14:paraId="598C0FF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二级）</w:t>
                  </w:r>
                </w:p>
              </w:tc>
              <w:tc>
                <w:tcPr>
                  <w:tcW w:w="536" w:type="pct"/>
                  <w:vMerge w:val="restart"/>
                  <w:vAlign w:val="center"/>
                </w:tcPr>
                <w:p w14:paraId="579F437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56FBD23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门卫（民建，二级）</w:t>
                  </w:r>
                </w:p>
              </w:tc>
              <w:tc>
                <w:tcPr>
                  <w:tcW w:w="545" w:type="pct"/>
                  <w:vAlign w:val="center"/>
                </w:tcPr>
                <w:p w14:paraId="4AB81ED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2D8B134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12.50</w:t>
                  </w:r>
                </w:p>
              </w:tc>
              <w:tc>
                <w:tcPr>
                  <w:tcW w:w="1468" w:type="pct"/>
                  <w:vAlign w:val="center"/>
                </w:tcPr>
                <w:p w14:paraId="057C346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w:t>
                  </w:r>
                </w:p>
                <w:p w14:paraId="671FDDB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版） 》 （GB50016-2014） 表3.4.1</w:t>
                  </w:r>
                </w:p>
              </w:tc>
              <w:tc>
                <w:tcPr>
                  <w:tcW w:w="222" w:type="pct"/>
                  <w:vAlign w:val="center"/>
                </w:tcPr>
                <w:p w14:paraId="2282A05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4A85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2A7342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20E8400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0659A13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气体灌瓶间 （乙类，二级）</w:t>
                  </w:r>
                </w:p>
              </w:tc>
              <w:tc>
                <w:tcPr>
                  <w:tcW w:w="545" w:type="pct"/>
                  <w:vAlign w:val="center"/>
                </w:tcPr>
                <w:p w14:paraId="4F54017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5E06FEF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42.32</w:t>
                  </w:r>
                </w:p>
              </w:tc>
              <w:tc>
                <w:tcPr>
                  <w:tcW w:w="1468" w:type="pct"/>
                  <w:vAlign w:val="center"/>
                </w:tcPr>
                <w:p w14:paraId="75D491B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000A742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（GB50030-2013）表 3.0.4</w:t>
                  </w:r>
                </w:p>
              </w:tc>
              <w:tc>
                <w:tcPr>
                  <w:tcW w:w="222" w:type="pct"/>
                  <w:vAlign w:val="center"/>
                </w:tcPr>
                <w:p w14:paraId="52A6303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B25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5B6600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376F97C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42C5A64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液氧储罐</w:t>
                  </w:r>
                </w:p>
                <w:p w14:paraId="0AB7E44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（V=50m</w:t>
                  </w:r>
                  <w:r>
                    <w:rPr>
                      <w:rFonts w:hint="default" w:ascii="Times New Roman" w:hAnsi="Times New Roman" w:cs="Times New Roman"/>
                      <w:color w:val="0000FF"/>
                      <w:sz w:val="21"/>
                      <w:szCs w:val="21"/>
                      <w:vertAlign w:val="superscript"/>
                    </w:rPr>
                    <w:t>3</w:t>
                  </w:r>
                  <w:r>
                    <w:rPr>
                      <w:rFonts w:hint="default" w:ascii="Times New Roman" w:hAnsi="Times New Roman" w:cs="Times New Roman"/>
                      <w:color w:val="0000FF"/>
                      <w:sz w:val="21"/>
                      <w:szCs w:val="21"/>
                    </w:rPr>
                    <w:t xml:space="preserve"> ， 乙</w:t>
                  </w:r>
                </w:p>
                <w:p w14:paraId="446E71C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类）</w:t>
                  </w:r>
                </w:p>
              </w:tc>
              <w:tc>
                <w:tcPr>
                  <w:tcW w:w="545" w:type="pct"/>
                  <w:vAlign w:val="center"/>
                </w:tcPr>
                <w:p w14:paraId="632371A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530D596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26.20</w:t>
                  </w:r>
                </w:p>
              </w:tc>
              <w:tc>
                <w:tcPr>
                  <w:tcW w:w="1468" w:type="pct"/>
                  <w:vAlign w:val="center"/>
                </w:tcPr>
                <w:p w14:paraId="5CC0592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《氧气站设计规范》</w:t>
                  </w:r>
                </w:p>
                <w:p w14:paraId="1689BD0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（GB50030-2013）表 3.0.4</w:t>
                  </w:r>
                </w:p>
              </w:tc>
              <w:tc>
                <w:tcPr>
                  <w:tcW w:w="222" w:type="pct"/>
                  <w:vAlign w:val="center"/>
                </w:tcPr>
                <w:p w14:paraId="39891DA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6111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338547D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130F128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2FF12F8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LPG 灌瓶间（ 甲类，二级）</w:t>
                  </w:r>
                </w:p>
              </w:tc>
              <w:tc>
                <w:tcPr>
                  <w:tcW w:w="545" w:type="pct"/>
                  <w:vAlign w:val="center"/>
                </w:tcPr>
                <w:p w14:paraId="36B6FED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413" w:type="pct"/>
                  <w:vAlign w:val="center"/>
                </w:tcPr>
                <w:p w14:paraId="0C69F53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29.74</w:t>
                  </w:r>
                </w:p>
              </w:tc>
              <w:tc>
                <w:tcPr>
                  <w:tcW w:w="1468" w:type="pct"/>
                  <w:vAlign w:val="center"/>
                </w:tcPr>
                <w:p w14:paraId="273EF03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 （GB 1142-2015）</w:t>
                  </w:r>
                </w:p>
                <w:p w14:paraId="7E48172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5.2.15 条</w:t>
                  </w:r>
                </w:p>
              </w:tc>
              <w:tc>
                <w:tcPr>
                  <w:tcW w:w="222" w:type="pct"/>
                  <w:vAlign w:val="center"/>
                </w:tcPr>
                <w:p w14:paraId="6A83F3F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FD65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075931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4DB090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30E4664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厂区围墙</w:t>
                  </w:r>
                </w:p>
              </w:tc>
              <w:tc>
                <w:tcPr>
                  <w:tcW w:w="545" w:type="pct"/>
                  <w:vAlign w:val="center"/>
                </w:tcPr>
                <w:p w14:paraId="2FEBC74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5.00</w:t>
                  </w:r>
                </w:p>
              </w:tc>
              <w:tc>
                <w:tcPr>
                  <w:tcW w:w="413" w:type="pct"/>
                  <w:vAlign w:val="center"/>
                </w:tcPr>
                <w:p w14:paraId="75CD796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10.71</w:t>
                  </w:r>
                </w:p>
              </w:tc>
              <w:tc>
                <w:tcPr>
                  <w:tcW w:w="1468" w:type="pct"/>
                  <w:vAlign w:val="center"/>
                </w:tcPr>
                <w:p w14:paraId="5593910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《建筑设计防火规范（2018版） 》 （GB50016-2014） 第3.4.12 条</w:t>
                  </w:r>
                </w:p>
              </w:tc>
              <w:tc>
                <w:tcPr>
                  <w:tcW w:w="222" w:type="pct"/>
                  <w:vAlign w:val="center"/>
                </w:tcPr>
                <w:p w14:paraId="793586F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629A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3D682EE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7B760A1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40C1BD5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厂区围墙</w:t>
                  </w:r>
                </w:p>
              </w:tc>
              <w:tc>
                <w:tcPr>
                  <w:tcW w:w="545" w:type="pct"/>
                  <w:vAlign w:val="center"/>
                </w:tcPr>
                <w:p w14:paraId="05FE4EA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5.00</w:t>
                  </w:r>
                </w:p>
              </w:tc>
              <w:tc>
                <w:tcPr>
                  <w:tcW w:w="413" w:type="pct"/>
                  <w:vAlign w:val="center"/>
                </w:tcPr>
                <w:p w14:paraId="6192EFB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13.02</w:t>
                  </w:r>
                </w:p>
              </w:tc>
              <w:tc>
                <w:tcPr>
                  <w:tcW w:w="1468" w:type="pct"/>
                  <w:vAlign w:val="center"/>
                </w:tcPr>
                <w:p w14:paraId="5FAE54E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《建筑设计防火规范（2018版） 》 （GB50016-2014） 第3.4.12 条</w:t>
                  </w:r>
                </w:p>
              </w:tc>
              <w:tc>
                <w:tcPr>
                  <w:tcW w:w="222" w:type="pct"/>
                  <w:vAlign w:val="center"/>
                </w:tcPr>
                <w:p w14:paraId="24ACF05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081B3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365BE57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门卫（民建，二级）</w:t>
                  </w:r>
                </w:p>
              </w:tc>
              <w:tc>
                <w:tcPr>
                  <w:tcW w:w="536" w:type="pct"/>
                  <w:vAlign w:val="center"/>
                </w:tcPr>
                <w:p w14:paraId="0CC7A4C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5B0FADA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辅助用房（丙类，二级）</w:t>
                  </w:r>
                </w:p>
              </w:tc>
              <w:tc>
                <w:tcPr>
                  <w:tcW w:w="545" w:type="pct"/>
                  <w:vAlign w:val="center"/>
                </w:tcPr>
                <w:p w14:paraId="74C0ABE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5B57108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24.41</w:t>
                  </w:r>
                </w:p>
              </w:tc>
              <w:tc>
                <w:tcPr>
                  <w:tcW w:w="1468" w:type="pct"/>
                  <w:vAlign w:val="center"/>
                </w:tcPr>
                <w:p w14:paraId="24E633A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《建筑设计防火规范（2018版） 》 （GB50016-2014） 表3.4.1</w:t>
                  </w:r>
                </w:p>
              </w:tc>
              <w:tc>
                <w:tcPr>
                  <w:tcW w:w="222" w:type="pct"/>
                  <w:vAlign w:val="center"/>
                </w:tcPr>
                <w:p w14:paraId="5348F56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966E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8F7606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179B539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726784E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厂区围墙</w:t>
                  </w:r>
                </w:p>
              </w:tc>
              <w:tc>
                <w:tcPr>
                  <w:tcW w:w="545" w:type="pct"/>
                  <w:vAlign w:val="center"/>
                </w:tcPr>
                <w:p w14:paraId="0B5A3DC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不宜小于 5m</w:t>
                  </w:r>
                </w:p>
              </w:tc>
              <w:tc>
                <w:tcPr>
                  <w:tcW w:w="413" w:type="pct"/>
                  <w:vAlign w:val="center"/>
                </w:tcPr>
                <w:p w14:paraId="02E00A5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贴建</w:t>
                  </w:r>
                </w:p>
              </w:tc>
              <w:tc>
                <w:tcPr>
                  <w:tcW w:w="1468" w:type="pct"/>
                  <w:vAlign w:val="center"/>
                </w:tcPr>
                <w:p w14:paraId="66D5C96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《建筑设计防火规范（2018版） 》 （GB50016-2014） 第3.4.12 条</w:t>
                  </w:r>
                </w:p>
              </w:tc>
              <w:tc>
                <w:tcPr>
                  <w:tcW w:w="222" w:type="pct"/>
                  <w:vAlign w:val="center"/>
                </w:tcPr>
                <w:p w14:paraId="35D5CD2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6F2A1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4D9B5C3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6701FBF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21C8704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气瓶检验间 （丁类，二级）</w:t>
                  </w:r>
                </w:p>
              </w:tc>
              <w:tc>
                <w:tcPr>
                  <w:tcW w:w="545" w:type="pct"/>
                  <w:vAlign w:val="center"/>
                </w:tcPr>
                <w:p w14:paraId="2D76DA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10.00</w:t>
                  </w:r>
                </w:p>
              </w:tc>
              <w:tc>
                <w:tcPr>
                  <w:tcW w:w="413" w:type="pct"/>
                  <w:vAlign w:val="center"/>
                </w:tcPr>
                <w:p w14:paraId="4756B18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12.50</w:t>
                  </w:r>
                </w:p>
              </w:tc>
              <w:tc>
                <w:tcPr>
                  <w:tcW w:w="1468" w:type="pct"/>
                  <w:vAlign w:val="center"/>
                </w:tcPr>
                <w:p w14:paraId="38D3446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《建筑设计防火规范（2018版） 》 （GB50016-2014） 表3.4.1</w:t>
                  </w:r>
                </w:p>
              </w:tc>
              <w:tc>
                <w:tcPr>
                  <w:tcW w:w="222" w:type="pct"/>
                  <w:vAlign w:val="center"/>
                </w:tcPr>
                <w:p w14:paraId="25BB8ED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1D0C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2C587FC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卸车台鹤管（ 甲类）</w:t>
                  </w:r>
                </w:p>
              </w:tc>
              <w:tc>
                <w:tcPr>
                  <w:tcW w:w="536" w:type="pct"/>
                  <w:vAlign w:val="center"/>
                </w:tcPr>
                <w:p w14:paraId="12457AC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266F228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LPG 灌瓶间 （ 甲类、二级）</w:t>
                  </w:r>
                </w:p>
              </w:tc>
              <w:tc>
                <w:tcPr>
                  <w:tcW w:w="545" w:type="pct"/>
                  <w:vAlign w:val="center"/>
                </w:tcPr>
                <w:p w14:paraId="6E0534D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15</w:t>
                  </w:r>
                </w:p>
              </w:tc>
              <w:tc>
                <w:tcPr>
                  <w:tcW w:w="413" w:type="pct"/>
                  <w:vAlign w:val="center"/>
                </w:tcPr>
                <w:p w14:paraId="23A3CA6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47.21</w:t>
                  </w:r>
                </w:p>
              </w:tc>
              <w:tc>
                <w:tcPr>
                  <w:tcW w:w="1468" w:type="pct"/>
                  <w:vAlign w:val="center"/>
                </w:tcPr>
                <w:p w14:paraId="158ACD5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 （GB 1142-2015）</w:t>
                  </w:r>
                </w:p>
                <w:p w14:paraId="4D59028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5.2.15 条</w:t>
                  </w:r>
                </w:p>
              </w:tc>
              <w:tc>
                <w:tcPr>
                  <w:tcW w:w="222" w:type="pct"/>
                  <w:vAlign w:val="center"/>
                </w:tcPr>
                <w:p w14:paraId="68CB906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517B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5CB1AC8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0532D84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21744E8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埋地液化石油气罐区（ 甲类）</w:t>
                  </w:r>
                </w:p>
              </w:tc>
              <w:tc>
                <w:tcPr>
                  <w:tcW w:w="545" w:type="pct"/>
                  <w:vAlign w:val="center"/>
                </w:tcPr>
                <w:p w14:paraId="5FF3F0C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18C9685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20.95</w:t>
                  </w:r>
                </w:p>
              </w:tc>
              <w:tc>
                <w:tcPr>
                  <w:tcW w:w="1468" w:type="pct"/>
                  <w:vAlign w:val="center"/>
                </w:tcPr>
                <w:p w14:paraId="6DDF908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《液化石油气供应工程设计规范》（GB 51142-2015）</w:t>
                  </w:r>
                </w:p>
                <w:p w14:paraId="3D7A867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 10 条 注 2</w:t>
                  </w:r>
                </w:p>
              </w:tc>
              <w:tc>
                <w:tcPr>
                  <w:tcW w:w="222" w:type="pct"/>
                  <w:vAlign w:val="center"/>
                </w:tcPr>
                <w:p w14:paraId="16E8A06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19F27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ED2D4A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02B7419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东北侧</w:t>
                  </w:r>
                </w:p>
              </w:tc>
              <w:tc>
                <w:tcPr>
                  <w:tcW w:w="873" w:type="pct"/>
                  <w:vAlign w:val="center"/>
                </w:tcPr>
                <w:p w14:paraId="7D40DE0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丙烷灌瓶间 （ 甲类、二级）</w:t>
                  </w:r>
                </w:p>
              </w:tc>
              <w:tc>
                <w:tcPr>
                  <w:tcW w:w="545" w:type="pct"/>
                  <w:vAlign w:val="center"/>
                </w:tcPr>
                <w:p w14:paraId="504421E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w:t>
                  </w:r>
                </w:p>
              </w:tc>
              <w:tc>
                <w:tcPr>
                  <w:tcW w:w="413" w:type="pct"/>
                  <w:vAlign w:val="center"/>
                </w:tcPr>
                <w:p w14:paraId="5C62D9C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62.47</w:t>
                  </w:r>
                </w:p>
              </w:tc>
              <w:tc>
                <w:tcPr>
                  <w:tcW w:w="1468" w:type="pct"/>
                  <w:vAlign w:val="center"/>
                </w:tcPr>
                <w:p w14:paraId="44713F5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《液化石油气供应工程设计规范》 （GB 1142-2015）</w:t>
                  </w:r>
                </w:p>
                <w:p w14:paraId="7634F94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第 5.2.16 条</w:t>
                  </w:r>
                </w:p>
              </w:tc>
              <w:tc>
                <w:tcPr>
                  <w:tcW w:w="222" w:type="pct"/>
                  <w:vAlign w:val="center"/>
                </w:tcPr>
                <w:p w14:paraId="23E15B1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40199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49305C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59493A3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2902C0B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气瓶检验间 （丁类、二级）</w:t>
                  </w:r>
                </w:p>
              </w:tc>
              <w:tc>
                <w:tcPr>
                  <w:tcW w:w="545" w:type="pct"/>
                  <w:vAlign w:val="center"/>
                </w:tcPr>
                <w:p w14:paraId="0B39BE0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12</w:t>
                  </w:r>
                </w:p>
              </w:tc>
              <w:tc>
                <w:tcPr>
                  <w:tcW w:w="413" w:type="pct"/>
                  <w:vAlign w:val="center"/>
                </w:tcPr>
                <w:p w14:paraId="043EF12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25.92</w:t>
                  </w:r>
                </w:p>
              </w:tc>
              <w:tc>
                <w:tcPr>
                  <w:tcW w:w="1468" w:type="pct"/>
                  <w:vAlign w:val="center"/>
                </w:tcPr>
                <w:p w14:paraId="6B504F0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w:t>
                  </w:r>
                </w:p>
                <w:p w14:paraId="5C07EF4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（GB50016-2014，2018 年版）第 3.4.1 条</w:t>
                  </w:r>
                </w:p>
              </w:tc>
              <w:tc>
                <w:tcPr>
                  <w:tcW w:w="222" w:type="pct"/>
                  <w:vAlign w:val="center"/>
                </w:tcPr>
                <w:p w14:paraId="37D461F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0EC23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366DEF5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61C5A9B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67F8239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站区围墙</w:t>
                  </w:r>
                </w:p>
              </w:tc>
              <w:tc>
                <w:tcPr>
                  <w:tcW w:w="545" w:type="pct"/>
                  <w:vAlign w:val="center"/>
                </w:tcPr>
                <w:p w14:paraId="7BCB08B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25</w:t>
                  </w:r>
                </w:p>
              </w:tc>
              <w:tc>
                <w:tcPr>
                  <w:tcW w:w="413" w:type="pct"/>
                  <w:vAlign w:val="center"/>
                </w:tcPr>
                <w:p w14:paraId="03B3D98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35.65</w:t>
                  </w:r>
                </w:p>
              </w:tc>
              <w:tc>
                <w:tcPr>
                  <w:tcW w:w="1468" w:type="pct"/>
                  <w:vAlign w:val="center"/>
                </w:tcPr>
                <w:p w14:paraId="76808C4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 （GB50160-2008，2018年版） 第 4.2.12 条</w:t>
                  </w:r>
                </w:p>
              </w:tc>
              <w:tc>
                <w:tcPr>
                  <w:tcW w:w="222" w:type="pct"/>
                  <w:vAlign w:val="center"/>
                </w:tcPr>
                <w:p w14:paraId="48E7867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5EFB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2EC286D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restart"/>
                  <w:vAlign w:val="center"/>
                </w:tcPr>
                <w:p w14:paraId="40B22B8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北侧</w:t>
                  </w:r>
                </w:p>
              </w:tc>
              <w:tc>
                <w:tcPr>
                  <w:tcW w:w="873" w:type="pct"/>
                  <w:vAlign w:val="center"/>
                </w:tcPr>
                <w:p w14:paraId="38EC27E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w:t>
                  </w:r>
                </w:p>
                <w:p w14:paraId="2EAC0F3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45" w:type="pct"/>
                  <w:vAlign w:val="center"/>
                </w:tcPr>
                <w:p w14:paraId="61F7E3D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40</w:t>
                  </w:r>
                </w:p>
              </w:tc>
              <w:tc>
                <w:tcPr>
                  <w:tcW w:w="413" w:type="pct"/>
                  <w:vAlign w:val="center"/>
                </w:tcPr>
                <w:p w14:paraId="6880936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49.03</w:t>
                  </w:r>
                </w:p>
              </w:tc>
              <w:tc>
                <w:tcPr>
                  <w:tcW w:w="1468" w:type="pct"/>
                  <w:vAlign w:val="center"/>
                </w:tcPr>
                <w:p w14:paraId="63767F1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 （GB50160-2008，2018年版） 第 4.2.12 条</w:t>
                  </w:r>
                </w:p>
              </w:tc>
              <w:tc>
                <w:tcPr>
                  <w:tcW w:w="222" w:type="pct"/>
                  <w:vAlign w:val="center"/>
                </w:tcPr>
                <w:p w14:paraId="1BC602A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BB2D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4C13FA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64FE300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41A1EB1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埋地丙烷储罐区（ 甲类）</w:t>
                  </w:r>
                </w:p>
              </w:tc>
              <w:tc>
                <w:tcPr>
                  <w:tcW w:w="545" w:type="pct"/>
                  <w:vAlign w:val="center"/>
                </w:tcPr>
                <w:p w14:paraId="2CA3DA1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30*50%=</w:t>
                  </w:r>
                </w:p>
                <w:p w14:paraId="1AF3E2D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15.00</w:t>
                  </w:r>
                </w:p>
              </w:tc>
              <w:tc>
                <w:tcPr>
                  <w:tcW w:w="413" w:type="pct"/>
                  <w:vAlign w:val="center"/>
                </w:tcPr>
                <w:p w14:paraId="4A6F476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50.37</w:t>
                  </w:r>
                </w:p>
              </w:tc>
              <w:tc>
                <w:tcPr>
                  <w:tcW w:w="1468" w:type="pct"/>
                  <w:vAlign w:val="center"/>
                </w:tcPr>
                <w:p w14:paraId="60583A2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《石油化工企业设计防火标准》 （GB50160-2008，2018年版） 第 4.2.12 条</w:t>
                  </w:r>
                </w:p>
              </w:tc>
              <w:tc>
                <w:tcPr>
                  <w:tcW w:w="222" w:type="pct"/>
                  <w:vAlign w:val="center"/>
                </w:tcPr>
                <w:p w14:paraId="6ACD244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04873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41EB5C0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消防泵房</w:t>
                  </w:r>
                </w:p>
                <w:p w14:paraId="14FA21E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36" w:type="pct"/>
                  <w:vAlign w:val="center"/>
                </w:tcPr>
                <w:p w14:paraId="1449EAC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东侧</w:t>
                  </w:r>
                </w:p>
              </w:tc>
              <w:tc>
                <w:tcPr>
                  <w:tcW w:w="873" w:type="pct"/>
                  <w:vAlign w:val="center"/>
                </w:tcPr>
                <w:p w14:paraId="5929DE6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正望新材料（包头）有限公司</w:t>
                  </w:r>
                </w:p>
                <w:p w14:paraId="6987404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1#厂房</w:t>
                  </w:r>
                </w:p>
                <w:p w14:paraId="6FA80D5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(丙类、二级)</w:t>
                  </w:r>
                </w:p>
              </w:tc>
              <w:tc>
                <w:tcPr>
                  <w:tcW w:w="545" w:type="pct"/>
                  <w:vAlign w:val="center"/>
                </w:tcPr>
                <w:p w14:paraId="0F3CA21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45956F0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187.37</w:t>
                  </w:r>
                </w:p>
              </w:tc>
              <w:tc>
                <w:tcPr>
                  <w:tcW w:w="1468" w:type="pct"/>
                  <w:vAlign w:val="center"/>
                </w:tcPr>
                <w:p w14:paraId="6312553F">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0143E4D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222" w:type="pct"/>
                  <w:vAlign w:val="center"/>
                </w:tcPr>
                <w:p w14:paraId="1BB2E2B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F78B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3A618A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5F2FE955">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03A75F2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规划支路</w:t>
                  </w:r>
                </w:p>
              </w:tc>
              <w:tc>
                <w:tcPr>
                  <w:tcW w:w="545" w:type="pct"/>
                  <w:vAlign w:val="center"/>
                </w:tcPr>
                <w:p w14:paraId="22D9166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413" w:type="pct"/>
                  <w:vAlign w:val="center"/>
                </w:tcPr>
                <w:p w14:paraId="5987435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57.89</w:t>
                  </w:r>
                </w:p>
              </w:tc>
              <w:tc>
                <w:tcPr>
                  <w:tcW w:w="1468" w:type="pct"/>
                  <w:vAlign w:val="center"/>
                </w:tcPr>
                <w:p w14:paraId="7C4F935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222" w:type="pct"/>
                  <w:vAlign w:val="center"/>
                </w:tcPr>
                <w:p w14:paraId="6BE17AF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7B1D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3DB4ED0D">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restart"/>
                  <w:vAlign w:val="center"/>
                </w:tcPr>
                <w:p w14:paraId="6CF8B9B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25A94BD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大连大特气体公司办公楼</w:t>
                  </w:r>
                </w:p>
                <w:p w14:paraId="080351A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（民建、二级）</w:t>
                  </w:r>
                </w:p>
              </w:tc>
              <w:tc>
                <w:tcPr>
                  <w:tcW w:w="545" w:type="pct"/>
                  <w:vAlign w:val="center"/>
                </w:tcPr>
                <w:p w14:paraId="3927D01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0434EDC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88. 11</w:t>
                  </w:r>
                </w:p>
              </w:tc>
              <w:tc>
                <w:tcPr>
                  <w:tcW w:w="1468" w:type="pct"/>
                  <w:vAlign w:val="center"/>
                </w:tcPr>
                <w:p w14:paraId="557CD18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504DD64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222" w:type="pct"/>
                  <w:vAlign w:val="center"/>
                </w:tcPr>
                <w:p w14:paraId="5D39ACF1">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26145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009EBB6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Merge w:val="continue"/>
                  <w:vAlign w:val="center"/>
                </w:tcPr>
                <w:p w14:paraId="3C1AA30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873" w:type="pct"/>
                  <w:vAlign w:val="center"/>
                </w:tcPr>
                <w:p w14:paraId="26D2EE9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大连大特气体公司消防泵房</w:t>
                  </w:r>
                </w:p>
                <w:p w14:paraId="5113CA84">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（戊类、二级）</w:t>
                  </w:r>
                </w:p>
              </w:tc>
              <w:tc>
                <w:tcPr>
                  <w:tcW w:w="545" w:type="pct"/>
                  <w:vAlign w:val="center"/>
                </w:tcPr>
                <w:p w14:paraId="12214E0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38798D0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87.97</w:t>
                  </w:r>
                </w:p>
              </w:tc>
              <w:tc>
                <w:tcPr>
                  <w:tcW w:w="1468" w:type="pct"/>
                  <w:vAlign w:val="center"/>
                </w:tcPr>
                <w:p w14:paraId="417BC1C7">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21AD235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222" w:type="pct"/>
                  <w:vAlign w:val="center"/>
                </w:tcPr>
                <w:p w14:paraId="0A91CC4B">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3B2C2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restart"/>
                  <w:vAlign w:val="center"/>
                </w:tcPr>
                <w:p w14:paraId="759762C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气瓶检测间</w:t>
                  </w:r>
                </w:p>
                <w:p w14:paraId="23C81B1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（丁类、二</w:t>
                  </w:r>
                </w:p>
                <w:p w14:paraId="683C7DC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级）</w:t>
                  </w:r>
                </w:p>
              </w:tc>
              <w:tc>
                <w:tcPr>
                  <w:tcW w:w="536" w:type="pct"/>
                  <w:vAlign w:val="center"/>
                </w:tcPr>
                <w:p w14:paraId="440F9D50">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西侧</w:t>
                  </w:r>
                </w:p>
              </w:tc>
              <w:tc>
                <w:tcPr>
                  <w:tcW w:w="873" w:type="pct"/>
                  <w:vAlign w:val="center"/>
                </w:tcPr>
                <w:p w14:paraId="7B2BB79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规划支路</w:t>
                  </w:r>
                </w:p>
              </w:tc>
              <w:tc>
                <w:tcPr>
                  <w:tcW w:w="545" w:type="pct"/>
                  <w:vAlign w:val="center"/>
                </w:tcPr>
                <w:p w14:paraId="18CEC7C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413" w:type="pct"/>
                  <w:vAlign w:val="center"/>
                </w:tcPr>
                <w:p w14:paraId="4800F99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11.78</w:t>
                  </w:r>
                </w:p>
              </w:tc>
              <w:tc>
                <w:tcPr>
                  <w:tcW w:w="1468" w:type="pct"/>
                  <w:vAlign w:val="center"/>
                </w:tcPr>
                <w:p w14:paraId="30E8607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w:t>
                  </w:r>
                </w:p>
              </w:tc>
              <w:tc>
                <w:tcPr>
                  <w:tcW w:w="222" w:type="pct"/>
                  <w:vAlign w:val="center"/>
                </w:tcPr>
                <w:p w14:paraId="0CC0D35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1955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41" w:type="pct"/>
                  <w:vMerge w:val="continue"/>
                  <w:vAlign w:val="center"/>
                </w:tcPr>
                <w:p w14:paraId="7CCD5966">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p>
              </w:tc>
              <w:tc>
                <w:tcPr>
                  <w:tcW w:w="536" w:type="pct"/>
                  <w:vAlign w:val="center"/>
                </w:tcPr>
                <w:p w14:paraId="5D2C91AA">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南侧</w:t>
                  </w:r>
                </w:p>
              </w:tc>
              <w:tc>
                <w:tcPr>
                  <w:tcW w:w="873" w:type="pct"/>
                  <w:vAlign w:val="center"/>
                </w:tcPr>
                <w:p w14:paraId="396F0263">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大连大特气体公司</w:t>
                  </w:r>
                </w:p>
                <w:p w14:paraId="4102A6C2">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办公楼</w:t>
                  </w:r>
                </w:p>
                <w:p w14:paraId="13141EC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（民建、二级）</w:t>
                  </w:r>
                </w:p>
              </w:tc>
              <w:tc>
                <w:tcPr>
                  <w:tcW w:w="545" w:type="pct"/>
                  <w:vAlign w:val="center"/>
                </w:tcPr>
                <w:p w14:paraId="5026BE4E">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10</w:t>
                  </w:r>
                </w:p>
              </w:tc>
              <w:tc>
                <w:tcPr>
                  <w:tcW w:w="413" w:type="pct"/>
                  <w:vAlign w:val="center"/>
                </w:tcPr>
                <w:p w14:paraId="4D9063B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18.55</w:t>
                  </w:r>
                </w:p>
              </w:tc>
              <w:tc>
                <w:tcPr>
                  <w:tcW w:w="1468" w:type="pct"/>
                  <w:vAlign w:val="center"/>
                </w:tcPr>
                <w:p w14:paraId="38CDC88C">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《建筑设计防火规范》 （GB50016-2014，2018</w:t>
                  </w:r>
                </w:p>
                <w:p w14:paraId="31EE6499">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年版） 第 3.4. 1 条</w:t>
                  </w:r>
                </w:p>
              </w:tc>
              <w:tc>
                <w:tcPr>
                  <w:tcW w:w="222" w:type="pct"/>
                  <w:vAlign w:val="center"/>
                </w:tcPr>
                <w:p w14:paraId="4F495A78">
                  <w:pPr>
                    <w:pStyle w:val="40"/>
                    <w:bidi w:val="0"/>
                    <w:snapToGrid w:val="0"/>
                    <w:ind w:left="0" w:leftChars="0" w:right="0" w:rightChars="0" w:firstLine="0" w:firstLineChars="0"/>
                    <w:jc w:val="center"/>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符合</w:t>
                  </w:r>
                </w:p>
              </w:tc>
            </w:tr>
            <w:tr w14:paraId="56E14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5000" w:type="pct"/>
                  <w:gridSpan w:val="7"/>
                  <w:vAlign w:val="center"/>
                </w:tcPr>
                <w:p w14:paraId="2C6B65F3">
                  <w:pPr>
                    <w:pStyle w:val="40"/>
                    <w:bidi w:val="0"/>
                    <w:snapToGrid w:val="0"/>
                    <w:ind w:left="0" w:leftChars="0" w:right="0" w:rightChars="0" w:firstLine="0" w:firstLineChars="0"/>
                    <w:jc w:val="both"/>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注： 1）新瓶库内设有危废间，故火灾危险性定为丙类。</w:t>
                  </w:r>
                </w:p>
                <w:p w14:paraId="42CB93AE">
                  <w:pPr>
                    <w:pStyle w:val="40"/>
                    <w:bidi w:val="0"/>
                    <w:snapToGrid w:val="0"/>
                    <w:ind w:left="0" w:leftChars="0" w:right="0" w:rightChars="0" w:firstLine="0" w:firstLineChars="0"/>
                    <w:jc w:val="both"/>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2）LPG 灌瓶间内气瓶不进行储存，订单式生产。</w:t>
                  </w:r>
                </w:p>
                <w:p w14:paraId="3647ECF7">
                  <w:pPr>
                    <w:pStyle w:val="40"/>
                    <w:bidi w:val="0"/>
                    <w:snapToGrid w:val="0"/>
                    <w:ind w:left="0" w:leftChars="0" w:right="0" w:rightChars="0" w:firstLine="0" w:firstLineChars="0"/>
                    <w:jc w:val="both"/>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3）大连大特气体公司 1#仓库、2#仓库储存物品属于《建筑设计防火规范》（GB50016-2014， 2018 年版） 第 3.5. 1 条第 1 、2 、5 、6 项物品，储量小于 10t。</w:t>
                  </w:r>
                </w:p>
                <w:p w14:paraId="5E3E4DB4">
                  <w:pPr>
                    <w:pStyle w:val="40"/>
                    <w:bidi w:val="0"/>
                    <w:snapToGrid w:val="0"/>
                    <w:ind w:left="0" w:leftChars="0" w:right="0" w:rightChars="0" w:firstLine="0" w:firstLineChars="0"/>
                    <w:jc w:val="both"/>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4）表中“/”表示无防火间距要求或执行相关规范。</w:t>
                  </w:r>
                </w:p>
                <w:p w14:paraId="140D53AE">
                  <w:pPr>
                    <w:pStyle w:val="40"/>
                    <w:bidi w:val="0"/>
                    <w:snapToGrid w:val="0"/>
                    <w:ind w:left="0" w:leftChars="0" w:right="0" w:rightChars="0" w:firstLine="0" w:firstLineChars="0"/>
                    <w:jc w:val="both"/>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5）埋地液化石油气单罐容积为 50m³ , 总容积为 150m³。</w:t>
                  </w:r>
                </w:p>
                <w:p w14:paraId="1CFD6680">
                  <w:pPr>
                    <w:pStyle w:val="40"/>
                    <w:bidi w:val="0"/>
                    <w:snapToGrid w:val="0"/>
                    <w:ind w:left="0" w:leftChars="0" w:right="0" w:rightChars="0" w:firstLine="0" w:firstLineChars="0"/>
                    <w:jc w:val="both"/>
                    <w:rPr>
                      <w:rFonts w:hint="default" w:ascii="Times New Roman" w:hAnsi="Times New Roman" w:cs="Times New Roman"/>
                      <w:color w:val="0000FF"/>
                      <w:sz w:val="21"/>
                      <w:szCs w:val="21"/>
                    </w:rPr>
                  </w:pPr>
                  <w:r>
                    <w:rPr>
                      <w:rFonts w:hint="default" w:ascii="Times New Roman" w:hAnsi="Times New Roman" w:cs="Times New Roman"/>
                      <w:color w:val="0000FF"/>
                      <w:sz w:val="21"/>
                      <w:szCs w:val="21"/>
                    </w:rPr>
                    <w:t>6）正望新材料（包头） 有限公司钢结构厂房涂刷防火涂料，耐火等级为二级。</w:t>
                  </w:r>
                </w:p>
              </w:tc>
            </w:tr>
          </w:tbl>
          <w:p w14:paraId="0AD1A85E">
            <w:pPr>
              <w:keepNext w:val="0"/>
              <w:keepLines w:val="0"/>
              <w:pageBreakBefore w:val="0"/>
              <w:widowControl w:val="0"/>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4、项目主要产品</w:t>
            </w:r>
          </w:p>
          <w:p w14:paraId="29EFA181">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4.1 气体充装站主要产品</w:t>
            </w:r>
          </w:p>
          <w:p w14:paraId="1DEA17AA">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项目主要充装气体为液化石油气</w:t>
            </w:r>
            <w:r>
              <w:rPr>
                <w:rFonts w:hint="default" w:ascii="Times New Roman" w:hAnsi="Times New Roman" w:cs="Times New Roman"/>
                <w:b w:val="0"/>
                <w:bCs w:val="0"/>
                <w:color w:val="auto"/>
                <w:sz w:val="24"/>
                <w:szCs w:val="24"/>
                <w:highlight w:val="none"/>
                <w:lang w:val="en-US" w:eastAsia="zh-CN"/>
              </w:rPr>
              <w:t>（LPG）</w:t>
            </w:r>
            <w:r>
              <w:rPr>
                <w:rFonts w:hint="default" w:ascii="Times New Roman" w:hAnsi="Times New Roman" w:eastAsia="宋体" w:cs="Times New Roman"/>
                <w:b w:val="0"/>
                <w:bCs w:val="0"/>
                <w:color w:val="auto"/>
                <w:sz w:val="24"/>
                <w:szCs w:val="24"/>
                <w:highlight w:val="none"/>
                <w:lang w:val="en-US" w:eastAsia="zh-CN"/>
              </w:rPr>
              <w:t>、液态</w:t>
            </w:r>
            <w:r>
              <w:rPr>
                <w:rFonts w:hint="default" w:ascii="Times New Roman" w:hAnsi="Times New Roman" w:cs="Times New Roman"/>
                <w:b w:val="0"/>
                <w:bCs w:val="0"/>
                <w:color w:val="auto"/>
                <w:sz w:val="24"/>
                <w:szCs w:val="24"/>
                <w:highlight w:val="none"/>
                <w:lang w:val="en-US" w:eastAsia="zh-CN"/>
              </w:rPr>
              <w:t>改性</w:t>
            </w:r>
            <w:r>
              <w:rPr>
                <w:rFonts w:hint="default" w:ascii="Times New Roman" w:hAnsi="Times New Roman" w:eastAsia="宋体" w:cs="Times New Roman"/>
                <w:b w:val="0"/>
                <w:bCs w:val="0"/>
                <w:color w:val="auto"/>
                <w:sz w:val="24"/>
                <w:szCs w:val="24"/>
                <w:highlight w:val="none"/>
                <w:lang w:val="en-US" w:eastAsia="zh-CN"/>
              </w:rPr>
              <w:t>丙烷、</w:t>
            </w:r>
            <w:r>
              <w:rPr>
                <w:rFonts w:hint="default" w:ascii="Times New Roman" w:hAnsi="Times New Roman" w:cs="Times New Roman"/>
                <w:b w:val="0"/>
                <w:bCs w:val="0"/>
                <w:color w:val="auto"/>
                <w:sz w:val="24"/>
                <w:szCs w:val="24"/>
                <w:highlight w:val="none"/>
                <w:lang w:val="en-US" w:eastAsia="zh-CN"/>
              </w:rPr>
              <w:t>工业</w:t>
            </w:r>
            <w:r>
              <w:rPr>
                <w:rFonts w:hint="default" w:ascii="Times New Roman" w:hAnsi="Times New Roman" w:eastAsia="宋体" w:cs="Times New Roman"/>
                <w:b w:val="0"/>
                <w:bCs w:val="0"/>
                <w:color w:val="auto"/>
                <w:sz w:val="24"/>
                <w:szCs w:val="24"/>
                <w:highlight w:val="none"/>
                <w:lang w:val="en-US" w:eastAsia="zh-CN"/>
              </w:rPr>
              <w:t>氧气、</w:t>
            </w:r>
            <w:r>
              <w:rPr>
                <w:rFonts w:hint="default" w:ascii="Times New Roman" w:hAnsi="Times New Roman" w:cs="Times New Roman"/>
                <w:b w:val="0"/>
                <w:bCs w:val="0"/>
                <w:color w:val="auto"/>
                <w:sz w:val="24"/>
                <w:szCs w:val="24"/>
                <w:highlight w:val="none"/>
                <w:lang w:val="en-US" w:eastAsia="zh-CN"/>
              </w:rPr>
              <w:t>医用氧气、</w:t>
            </w:r>
            <w:r>
              <w:rPr>
                <w:rFonts w:hint="default" w:ascii="Times New Roman" w:hAnsi="Times New Roman" w:eastAsia="宋体" w:cs="Times New Roman"/>
                <w:b w:val="0"/>
                <w:bCs w:val="0"/>
                <w:color w:val="auto"/>
                <w:sz w:val="24"/>
                <w:szCs w:val="24"/>
                <w:highlight w:val="none"/>
                <w:lang w:val="en-US" w:eastAsia="zh-CN"/>
              </w:rPr>
              <w:t>氮气、氩气、二氧化碳气体。项目产品方案详见下表。</w:t>
            </w:r>
          </w:p>
          <w:p w14:paraId="6A9038E9">
            <w:pPr>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 xml:space="preserve">表 </w:t>
            </w:r>
            <w:r>
              <w:rPr>
                <w:rFonts w:hint="default" w:ascii="Times New Roman" w:hAnsi="Times New Roman" w:cs="Times New Roman"/>
                <w:b/>
                <w:bCs/>
                <w:color w:val="000000"/>
                <w:kern w:val="0"/>
                <w:sz w:val="21"/>
                <w:szCs w:val="21"/>
                <w:lang w:val="en-US" w:eastAsia="zh-CN" w:bidi="ar"/>
              </w:rPr>
              <w:t>2.4-1</w:t>
            </w:r>
            <w:r>
              <w:rPr>
                <w:rFonts w:hint="default" w:ascii="Times New Roman" w:hAnsi="Times New Roman" w:eastAsia="宋体" w:cs="Times New Roman"/>
                <w:b/>
                <w:bCs/>
                <w:color w:val="000000"/>
                <w:kern w:val="0"/>
                <w:sz w:val="21"/>
                <w:szCs w:val="21"/>
                <w:lang w:val="en-US" w:eastAsia="zh-CN" w:bidi="ar"/>
              </w:rPr>
              <w:t xml:space="preserve">    气体充装站项目产品方案一览表</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88"/>
              <w:gridCol w:w="1776"/>
              <w:gridCol w:w="1851"/>
              <w:gridCol w:w="1998"/>
              <w:gridCol w:w="1481"/>
            </w:tblGrid>
            <w:tr w14:paraId="717852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555" w:type="pct"/>
                  <w:tcBorders>
                    <w:top w:val="single" w:color="auto" w:sz="4" w:space="0"/>
                    <w:left w:val="single" w:color="000000" w:sz="4" w:space="0"/>
                    <w:bottom w:val="single" w:color="auto" w:sz="4" w:space="0"/>
                    <w:right w:val="single" w:color="auto" w:sz="4" w:space="0"/>
                  </w:tcBorders>
                  <w:shd w:val="clear" w:color="auto" w:fill="auto"/>
                  <w:vAlign w:val="center"/>
                </w:tcPr>
                <w:p w14:paraId="14730164">
                  <w:pPr>
                    <w:pStyle w:val="40"/>
                    <w:bidi w:val="0"/>
                    <w:jc w:val="center"/>
                    <w:rPr>
                      <w:rFonts w:hint="default" w:ascii="Times New Roman" w:hAnsi="Times New Roman" w:cs="Times New Roman"/>
                    </w:rPr>
                  </w:pPr>
                  <w:r>
                    <w:rPr>
                      <w:rFonts w:hint="default" w:ascii="Times New Roman" w:hAnsi="Times New Roman" w:cs="Times New Roman"/>
                      <w:lang w:val="en-US" w:eastAsia="zh-CN"/>
                    </w:rPr>
                    <w:t>序号</w:t>
                  </w:r>
                </w:p>
              </w:tc>
              <w:tc>
                <w:tcPr>
                  <w:tcW w:w="1110" w:type="pct"/>
                  <w:tcBorders>
                    <w:top w:val="single" w:color="auto" w:sz="4" w:space="0"/>
                    <w:left w:val="single" w:color="auto" w:sz="4" w:space="0"/>
                    <w:bottom w:val="single" w:color="auto" w:sz="4" w:space="0"/>
                    <w:right w:val="single" w:color="auto" w:sz="4" w:space="0"/>
                  </w:tcBorders>
                  <w:shd w:val="clear" w:color="auto" w:fill="auto"/>
                  <w:vAlign w:val="center"/>
                </w:tcPr>
                <w:p w14:paraId="6E1ADA71">
                  <w:pPr>
                    <w:pStyle w:val="40"/>
                    <w:bidi w:val="0"/>
                    <w:jc w:val="center"/>
                    <w:rPr>
                      <w:rFonts w:hint="default" w:ascii="Times New Roman" w:hAnsi="Times New Roman" w:cs="Times New Roman"/>
                    </w:rPr>
                  </w:pPr>
                  <w:r>
                    <w:rPr>
                      <w:rFonts w:hint="default" w:ascii="Times New Roman" w:hAnsi="Times New Roman" w:cs="Times New Roman"/>
                      <w:lang w:val="en-US" w:eastAsia="zh-CN"/>
                    </w:rPr>
                    <w:t>产品名称</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center"/>
                </w:tcPr>
                <w:p w14:paraId="5D739539">
                  <w:pPr>
                    <w:pStyle w:val="40"/>
                    <w:bidi w:val="0"/>
                    <w:jc w:val="center"/>
                    <w:rPr>
                      <w:rFonts w:hint="default" w:ascii="Times New Roman" w:hAnsi="Times New Roman" w:cs="Times New Roman"/>
                    </w:rPr>
                  </w:pPr>
                  <w:r>
                    <w:rPr>
                      <w:rFonts w:hint="default" w:ascii="Times New Roman" w:hAnsi="Times New Roman" w:cs="Times New Roman"/>
                      <w:lang w:val="en-US" w:eastAsia="zh-CN"/>
                    </w:rPr>
                    <w:t>年充装量（t/a）</w:t>
                  </w:r>
                </w:p>
              </w:tc>
              <w:tc>
                <w:tcPr>
                  <w:tcW w:w="1249" w:type="pct"/>
                  <w:tcBorders>
                    <w:top w:val="single" w:color="auto" w:sz="4" w:space="0"/>
                    <w:left w:val="single" w:color="auto" w:sz="4" w:space="0"/>
                    <w:bottom w:val="single" w:color="auto" w:sz="4" w:space="0"/>
                    <w:right w:val="single" w:color="auto" w:sz="4" w:space="0"/>
                  </w:tcBorders>
                  <w:shd w:val="clear" w:color="auto" w:fill="auto"/>
                  <w:vAlign w:val="center"/>
                </w:tcPr>
                <w:p w14:paraId="7A4254F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充装规格（kg/瓶）</w:t>
                  </w:r>
                </w:p>
              </w:tc>
              <w:tc>
                <w:tcPr>
                  <w:tcW w:w="926" w:type="pct"/>
                  <w:tcBorders>
                    <w:top w:val="single" w:color="auto" w:sz="4" w:space="0"/>
                    <w:left w:val="single" w:color="auto" w:sz="4" w:space="0"/>
                    <w:bottom w:val="single" w:color="auto" w:sz="4" w:space="0"/>
                    <w:right w:val="single" w:color="auto" w:sz="4" w:space="0"/>
                  </w:tcBorders>
                  <w:shd w:val="clear" w:color="auto" w:fill="auto"/>
                  <w:vAlign w:val="center"/>
                </w:tcPr>
                <w:p w14:paraId="0E35E2BF">
                  <w:pPr>
                    <w:pStyle w:val="40"/>
                    <w:bidi w:val="0"/>
                    <w:jc w:val="center"/>
                    <w:rPr>
                      <w:rFonts w:hint="default" w:ascii="Times New Roman" w:hAnsi="Times New Roman" w:cs="Times New Roman"/>
                    </w:rPr>
                  </w:pPr>
                  <w:r>
                    <w:rPr>
                      <w:rFonts w:hint="default" w:ascii="Times New Roman" w:hAnsi="Times New Roman" w:cs="Times New Roman"/>
                      <w:lang w:val="en-US" w:eastAsia="zh-CN"/>
                    </w:rPr>
                    <w:t>备注</w:t>
                  </w:r>
                </w:p>
              </w:tc>
            </w:tr>
            <w:tr w14:paraId="7CBAE1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55" w:type="pct"/>
                  <w:tcBorders>
                    <w:top w:val="single" w:color="auto" w:sz="4" w:space="0"/>
                    <w:left w:val="single" w:color="auto" w:sz="4" w:space="0"/>
                    <w:bottom w:val="single" w:color="auto" w:sz="4" w:space="0"/>
                    <w:right w:val="single" w:color="auto" w:sz="4" w:space="0"/>
                  </w:tcBorders>
                  <w:shd w:val="clear" w:color="auto" w:fill="auto"/>
                  <w:vAlign w:val="center"/>
                </w:tcPr>
                <w:p w14:paraId="67D44D4C">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1110" w:type="pct"/>
                  <w:tcBorders>
                    <w:top w:val="single" w:color="auto" w:sz="4" w:space="0"/>
                    <w:left w:val="single" w:color="auto" w:sz="4" w:space="0"/>
                    <w:bottom w:val="single" w:color="auto" w:sz="4" w:space="0"/>
                    <w:right w:val="single" w:color="auto" w:sz="4" w:space="0"/>
                  </w:tcBorders>
                  <w:shd w:val="clear" w:color="auto" w:fill="auto"/>
                  <w:vAlign w:val="center"/>
                </w:tcPr>
                <w:p w14:paraId="234FCA20">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改性丙烷</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top"/>
                </w:tcPr>
                <w:p w14:paraId="50DD83D0">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3300.00</w:t>
                  </w:r>
                </w:p>
              </w:tc>
              <w:tc>
                <w:tcPr>
                  <w:tcW w:w="1249" w:type="pct"/>
                  <w:tcBorders>
                    <w:top w:val="single" w:color="auto" w:sz="4" w:space="0"/>
                    <w:left w:val="single" w:color="auto" w:sz="4" w:space="0"/>
                    <w:bottom w:val="single" w:color="auto" w:sz="4" w:space="0"/>
                    <w:right w:val="single" w:color="auto" w:sz="4" w:space="0"/>
                  </w:tcBorders>
                  <w:shd w:val="clear" w:color="auto" w:fill="auto"/>
                  <w:vAlign w:val="center"/>
                </w:tcPr>
                <w:p w14:paraId="6A692E9E">
                  <w:pPr>
                    <w:bidi w:val="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cs="Times New Roman"/>
                      <w:lang w:val="en-US" w:eastAsia="zh-CN"/>
                    </w:rPr>
                    <w:t>40L/16kg</w:t>
                  </w:r>
                </w:p>
              </w:tc>
              <w:tc>
                <w:tcPr>
                  <w:tcW w:w="926" w:type="pct"/>
                  <w:tcBorders>
                    <w:top w:val="single" w:color="auto" w:sz="4" w:space="0"/>
                    <w:left w:val="single" w:color="auto" w:sz="4" w:space="0"/>
                    <w:bottom w:val="single" w:color="auto" w:sz="4" w:space="0"/>
                    <w:right w:val="single" w:color="auto" w:sz="4" w:space="0"/>
                  </w:tcBorders>
                  <w:shd w:val="clear" w:color="auto" w:fill="auto"/>
                  <w:vAlign w:val="center"/>
                </w:tcPr>
                <w:p w14:paraId="22513523">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液态灌瓶</w:t>
                  </w:r>
                </w:p>
              </w:tc>
            </w:tr>
            <w:tr w14:paraId="36D76E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555" w:type="pct"/>
                  <w:tcBorders>
                    <w:top w:val="single" w:color="auto" w:sz="4" w:space="0"/>
                    <w:left w:val="single" w:color="auto" w:sz="4" w:space="0"/>
                    <w:bottom w:val="single" w:color="auto" w:sz="4" w:space="0"/>
                    <w:right w:val="single" w:color="auto" w:sz="4" w:space="0"/>
                  </w:tcBorders>
                  <w:shd w:val="clear" w:color="auto" w:fill="auto"/>
                  <w:vAlign w:val="center"/>
                </w:tcPr>
                <w:p w14:paraId="27C12D94">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2</w:t>
                  </w:r>
                </w:p>
              </w:tc>
              <w:tc>
                <w:tcPr>
                  <w:tcW w:w="1110" w:type="pct"/>
                  <w:tcBorders>
                    <w:top w:val="single" w:color="auto" w:sz="4" w:space="0"/>
                    <w:left w:val="single" w:color="auto" w:sz="4" w:space="0"/>
                    <w:bottom w:val="single" w:color="auto" w:sz="4" w:space="0"/>
                    <w:right w:val="single" w:color="auto" w:sz="4" w:space="0"/>
                  </w:tcBorders>
                  <w:shd w:val="clear" w:color="auto" w:fill="auto"/>
                  <w:vAlign w:val="center"/>
                </w:tcPr>
                <w:p w14:paraId="1E5C50EB">
                  <w:pPr>
                    <w:pStyle w:val="40"/>
                    <w:bidi w:val="0"/>
                    <w:jc w:val="center"/>
                    <w:rPr>
                      <w:rFonts w:hint="default" w:ascii="Times New Roman" w:hAnsi="Times New Roman" w:cs="Times New Roman"/>
                    </w:rPr>
                  </w:pPr>
                  <w:r>
                    <w:rPr>
                      <w:rFonts w:hint="default" w:ascii="Times New Roman" w:hAnsi="Times New Roman" w:cs="Times New Roman"/>
                      <w:lang w:val="en-US" w:eastAsia="zh-CN"/>
                    </w:rPr>
                    <w:t>液化石油气</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top"/>
                </w:tcPr>
                <w:p w14:paraId="1503FECC">
                  <w:pPr>
                    <w:pStyle w:val="40"/>
                    <w:bidi w:val="0"/>
                    <w:rPr>
                      <w:rFonts w:hint="default" w:ascii="Times New Roman" w:hAnsi="Times New Roman" w:cs="Times New Roman"/>
                    </w:rPr>
                  </w:pPr>
                  <w:r>
                    <w:rPr>
                      <w:rFonts w:hint="default" w:ascii="Times New Roman" w:hAnsi="Times New Roman" w:cs="Times New Roman"/>
                      <w:lang w:val="en-US" w:eastAsia="zh-CN"/>
                    </w:rPr>
                    <w:t xml:space="preserve">3300.00 </w:t>
                  </w:r>
                </w:p>
              </w:tc>
              <w:tc>
                <w:tcPr>
                  <w:tcW w:w="1249" w:type="pct"/>
                  <w:tcBorders>
                    <w:top w:val="single" w:color="auto" w:sz="4" w:space="0"/>
                    <w:left w:val="single" w:color="auto" w:sz="4" w:space="0"/>
                    <w:bottom w:val="single" w:color="auto" w:sz="4" w:space="0"/>
                    <w:right w:val="single" w:color="auto" w:sz="4" w:space="0"/>
                  </w:tcBorders>
                  <w:shd w:val="clear" w:color="auto" w:fill="auto"/>
                  <w:vAlign w:val="center"/>
                </w:tcPr>
                <w:p w14:paraId="3779686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35.5L/14.9kg</w:t>
                  </w:r>
                </w:p>
              </w:tc>
              <w:tc>
                <w:tcPr>
                  <w:tcW w:w="926" w:type="pct"/>
                  <w:tcBorders>
                    <w:top w:val="single" w:color="auto" w:sz="4" w:space="0"/>
                    <w:left w:val="single" w:color="auto" w:sz="4" w:space="0"/>
                    <w:bottom w:val="single" w:color="auto" w:sz="4" w:space="0"/>
                    <w:right w:val="single" w:color="auto" w:sz="4" w:space="0"/>
                  </w:tcBorders>
                  <w:shd w:val="clear" w:color="auto" w:fill="auto"/>
                  <w:vAlign w:val="center"/>
                </w:tcPr>
                <w:p w14:paraId="7C4621DE">
                  <w:pPr>
                    <w:pStyle w:val="40"/>
                    <w:bidi w:val="0"/>
                    <w:jc w:val="center"/>
                    <w:rPr>
                      <w:rFonts w:hint="default" w:ascii="Times New Roman" w:hAnsi="Times New Roman" w:cs="Times New Roman"/>
                    </w:rPr>
                  </w:pPr>
                  <w:r>
                    <w:rPr>
                      <w:rFonts w:hint="default" w:ascii="Times New Roman" w:hAnsi="Times New Roman" w:cs="Times New Roman"/>
                      <w:lang w:val="en-US" w:eastAsia="zh-CN"/>
                    </w:rPr>
                    <w:t>液态灌瓶</w:t>
                  </w:r>
                </w:p>
              </w:tc>
            </w:tr>
            <w:tr w14:paraId="437BD3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55" w:type="pct"/>
                  <w:tcBorders>
                    <w:top w:val="single" w:color="auto" w:sz="4" w:space="0"/>
                    <w:left w:val="single" w:color="auto" w:sz="4" w:space="0"/>
                    <w:bottom w:val="single" w:color="auto" w:sz="4" w:space="0"/>
                    <w:right w:val="single" w:color="auto" w:sz="4" w:space="0"/>
                  </w:tcBorders>
                  <w:shd w:val="clear" w:color="auto" w:fill="auto"/>
                  <w:vAlign w:val="center"/>
                </w:tcPr>
                <w:p w14:paraId="42C4A079">
                  <w:pPr>
                    <w:pStyle w:val="40"/>
                    <w:bidi w:val="0"/>
                    <w:jc w:val="center"/>
                    <w:rPr>
                      <w:rFonts w:hint="default" w:ascii="Times New Roman" w:hAnsi="Times New Roman" w:cs="Times New Roman"/>
                    </w:rPr>
                  </w:pPr>
                  <w:r>
                    <w:rPr>
                      <w:rFonts w:hint="default" w:ascii="Times New Roman" w:hAnsi="Times New Roman" w:cs="Times New Roman"/>
                      <w:lang w:val="en-US" w:eastAsia="zh-CN"/>
                    </w:rPr>
                    <w:t>3</w:t>
                  </w:r>
                </w:p>
              </w:tc>
              <w:tc>
                <w:tcPr>
                  <w:tcW w:w="1110" w:type="pct"/>
                  <w:tcBorders>
                    <w:top w:val="single" w:color="auto" w:sz="4" w:space="0"/>
                    <w:left w:val="single" w:color="auto" w:sz="4" w:space="0"/>
                    <w:bottom w:val="single" w:color="auto" w:sz="4" w:space="0"/>
                    <w:right w:val="single" w:color="auto" w:sz="4" w:space="0"/>
                  </w:tcBorders>
                  <w:shd w:val="clear" w:color="auto" w:fill="auto"/>
                  <w:vAlign w:val="center"/>
                </w:tcPr>
                <w:p w14:paraId="1AF36A57">
                  <w:pPr>
                    <w:pStyle w:val="40"/>
                    <w:bidi w:val="0"/>
                    <w:jc w:val="center"/>
                    <w:rPr>
                      <w:rFonts w:hint="default" w:ascii="Times New Roman" w:hAnsi="Times New Roman" w:cs="Times New Roman"/>
                    </w:rPr>
                  </w:pPr>
                  <w:r>
                    <w:rPr>
                      <w:rFonts w:hint="default" w:ascii="Times New Roman" w:hAnsi="Times New Roman" w:cs="Times New Roman"/>
                      <w:lang w:val="en-US" w:eastAsia="zh-CN"/>
                    </w:rPr>
                    <w:t>工业氧气</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top"/>
                </w:tcPr>
                <w:p w14:paraId="76F28EB3">
                  <w:pPr>
                    <w:pStyle w:val="40"/>
                    <w:bidi w:val="0"/>
                    <w:rPr>
                      <w:rFonts w:hint="default" w:ascii="Times New Roman" w:hAnsi="Times New Roman" w:cs="Times New Roman"/>
                    </w:rPr>
                  </w:pPr>
                  <w:r>
                    <w:rPr>
                      <w:rFonts w:hint="default" w:ascii="Times New Roman" w:hAnsi="Times New Roman" w:cs="Times New Roman"/>
                      <w:lang w:val="en-US" w:eastAsia="zh-CN"/>
                    </w:rPr>
                    <w:t xml:space="preserve">9365.40 </w:t>
                  </w:r>
                </w:p>
              </w:tc>
              <w:tc>
                <w:tcPr>
                  <w:tcW w:w="1249" w:type="pct"/>
                  <w:tcBorders>
                    <w:top w:val="single" w:color="auto" w:sz="4" w:space="0"/>
                    <w:left w:val="single" w:color="auto" w:sz="4" w:space="0"/>
                    <w:bottom w:val="single" w:color="auto" w:sz="4" w:space="0"/>
                    <w:right w:val="single" w:color="auto" w:sz="4" w:space="0"/>
                  </w:tcBorders>
                  <w:shd w:val="clear" w:color="auto" w:fill="auto"/>
                  <w:vAlign w:val="center"/>
                </w:tcPr>
                <w:p w14:paraId="2F8B177E">
                  <w:pPr>
                    <w:bidi w:val="0"/>
                    <w:jc w:val="center"/>
                    <w:rPr>
                      <w:rFonts w:hint="default" w:ascii="Times New Roman" w:hAnsi="Times New Roman" w:cs="Times New Roman"/>
                    </w:rPr>
                  </w:pPr>
                  <w:r>
                    <w:rPr>
                      <w:rFonts w:hint="default" w:ascii="Times New Roman" w:hAnsi="Times New Roman" w:cs="Times New Roman"/>
                      <w:lang w:val="en-US" w:eastAsia="zh-CN"/>
                    </w:rPr>
                    <w:t>15/50</w:t>
                  </w:r>
                </w:p>
              </w:tc>
              <w:tc>
                <w:tcPr>
                  <w:tcW w:w="92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8CA071C">
                  <w:pPr>
                    <w:pStyle w:val="40"/>
                    <w:bidi w:val="0"/>
                    <w:jc w:val="center"/>
                    <w:rPr>
                      <w:rFonts w:hint="default" w:ascii="Times New Roman" w:hAnsi="Times New Roman" w:cs="Times New Roman"/>
                    </w:rPr>
                  </w:pPr>
                  <w:r>
                    <w:rPr>
                      <w:rFonts w:hint="default" w:ascii="Times New Roman" w:hAnsi="Times New Roman" w:cs="Times New Roman"/>
                      <w:lang w:val="en-US" w:eastAsia="zh-CN"/>
                    </w:rPr>
                    <w:t>气态充装</w:t>
                  </w:r>
                </w:p>
              </w:tc>
            </w:tr>
            <w:tr w14:paraId="0EFCE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55" w:type="pct"/>
                  <w:tcBorders>
                    <w:top w:val="single" w:color="auto" w:sz="4" w:space="0"/>
                    <w:left w:val="single" w:color="auto" w:sz="4" w:space="0"/>
                    <w:bottom w:val="single" w:color="auto" w:sz="4" w:space="0"/>
                    <w:right w:val="single" w:color="auto" w:sz="4" w:space="0"/>
                  </w:tcBorders>
                  <w:shd w:val="clear" w:color="auto" w:fill="auto"/>
                  <w:vAlign w:val="center"/>
                </w:tcPr>
                <w:p w14:paraId="4294B8FE">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4</w:t>
                  </w:r>
                </w:p>
              </w:tc>
              <w:tc>
                <w:tcPr>
                  <w:tcW w:w="1110" w:type="pct"/>
                  <w:tcBorders>
                    <w:top w:val="single" w:color="auto" w:sz="4" w:space="0"/>
                    <w:left w:val="single" w:color="auto" w:sz="4" w:space="0"/>
                    <w:bottom w:val="single" w:color="auto" w:sz="4" w:space="0"/>
                    <w:right w:val="single" w:color="auto" w:sz="4" w:space="0"/>
                  </w:tcBorders>
                  <w:shd w:val="clear" w:color="auto" w:fill="auto"/>
                  <w:vAlign w:val="center"/>
                </w:tcPr>
                <w:p w14:paraId="43BB792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医用氧气</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top"/>
                </w:tcPr>
                <w:p w14:paraId="0D07CB08">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 xml:space="preserve">9365.40 </w:t>
                  </w:r>
                </w:p>
              </w:tc>
              <w:tc>
                <w:tcPr>
                  <w:tcW w:w="1249" w:type="pct"/>
                  <w:tcBorders>
                    <w:top w:val="single" w:color="auto" w:sz="4" w:space="0"/>
                    <w:left w:val="single" w:color="auto" w:sz="4" w:space="0"/>
                    <w:bottom w:val="single" w:color="auto" w:sz="4" w:space="0"/>
                    <w:right w:val="single" w:color="auto" w:sz="4" w:space="0"/>
                  </w:tcBorders>
                  <w:shd w:val="clear" w:color="auto" w:fill="auto"/>
                  <w:vAlign w:val="center"/>
                </w:tcPr>
                <w:p w14:paraId="750C9BA1">
                  <w:pPr>
                    <w:bidi w:val="0"/>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cs="Times New Roman"/>
                      <w:lang w:val="en-US" w:eastAsia="zh-CN"/>
                    </w:rPr>
                    <w:t>15/50</w:t>
                  </w:r>
                </w:p>
              </w:tc>
              <w:tc>
                <w:tcPr>
                  <w:tcW w:w="92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0DC4C23B">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气态充装</w:t>
                  </w:r>
                </w:p>
              </w:tc>
            </w:tr>
            <w:tr w14:paraId="4136C4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55" w:type="pct"/>
                  <w:tcBorders>
                    <w:top w:val="single" w:color="auto" w:sz="4" w:space="0"/>
                    <w:left w:val="single" w:color="auto" w:sz="4" w:space="0"/>
                    <w:bottom w:val="single" w:color="auto" w:sz="4" w:space="0"/>
                    <w:right w:val="single" w:color="auto" w:sz="4" w:space="0"/>
                  </w:tcBorders>
                  <w:shd w:val="clear" w:color="auto" w:fill="auto"/>
                  <w:vAlign w:val="center"/>
                </w:tcPr>
                <w:p w14:paraId="646D43E6">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5</w:t>
                  </w:r>
                </w:p>
              </w:tc>
              <w:tc>
                <w:tcPr>
                  <w:tcW w:w="1110" w:type="pct"/>
                  <w:tcBorders>
                    <w:top w:val="single" w:color="auto" w:sz="4" w:space="0"/>
                    <w:left w:val="single" w:color="auto" w:sz="4" w:space="0"/>
                    <w:bottom w:val="single" w:color="auto" w:sz="4" w:space="0"/>
                    <w:right w:val="single" w:color="auto" w:sz="4" w:space="0"/>
                  </w:tcBorders>
                  <w:shd w:val="clear" w:color="auto" w:fill="auto"/>
                  <w:vAlign w:val="center"/>
                </w:tcPr>
                <w:p w14:paraId="2E8BD59D">
                  <w:pPr>
                    <w:pStyle w:val="40"/>
                    <w:bidi w:val="0"/>
                    <w:jc w:val="center"/>
                    <w:rPr>
                      <w:rFonts w:hint="default" w:ascii="Times New Roman" w:hAnsi="Times New Roman" w:cs="Times New Roman"/>
                    </w:rPr>
                  </w:pPr>
                  <w:r>
                    <w:rPr>
                      <w:rFonts w:hint="default" w:ascii="Times New Roman" w:hAnsi="Times New Roman" w:cs="Times New Roman"/>
                      <w:lang w:val="en-US" w:eastAsia="zh-CN"/>
                    </w:rPr>
                    <w:t>氮气</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top"/>
                </w:tcPr>
                <w:p w14:paraId="04F76FE0">
                  <w:pPr>
                    <w:pStyle w:val="40"/>
                    <w:bidi w:val="0"/>
                    <w:rPr>
                      <w:rFonts w:hint="default" w:ascii="Times New Roman" w:hAnsi="Times New Roman" w:cs="Times New Roman"/>
                    </w:rPr>
                  </w:pPr>
                  <w:r>
                    <w:rPr>
                      <w:rFonts w:hint="default" w:ascii="Times New Roman" w:hAnsi="Times New Roman" w:cs="Times New Roman"/>
                      <w:lang w:val="en-US" w:eastAsia="zh-CN"/>
                    </w:rPr>
                    <w:t xml:space="preserve">5332.80 </w:t>
                  </w:r>
                </w:p>
              </w:tc>
              <w:tc>
                <w:tcPr>
                  <w:tcW w:w="124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7E5D682">
                  <w:pPr>
                    <w:bidi w:val="0"/>
                    <w:jc w:val="center"/>
                    <w:rPr>
                      <w:rFonts w:hint="default" w:ascii="Times New Roman" w:hAnsi="Times New Roman" w:cs="Times New Roman"/>
                    </w:rPr>
                  </w:pPr>
                  <w:r>
                    <w:rPr>
                      <w:rFonts w:hint="default" w:ascii="Times New Roman" w:hAnsi="Times New Roman" w:cs="Times New Roman"/>
                      <w:lang w:val="en-US" w:eastAsia="zh-CN"/>
                    </w:rPr>
                    <w:t>15/50</w:t>
                  </w:r>
                </w:p>
              </w:tc>
              <w:tc>
                <w:tcPr>
                  <w:tcW w:w="92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AB2B33E">
                  <w:pPr>
                    <w:pStyle w:val="40"/>
                    <w:bidi w:val="0"/>
                    <w:jc w:val="center"/>
                    <w:rPr>
                      <w:rFonts w:hint="default" w:ascii="Times New Roman" w:hAnsi="Times New Roman" w:cs="Times New Roman"/>
                    </w:rPr>
                  </w:pPr>
                  <w:r>
                    <w:rPr>
                      <w:rFonts w:hint="default" w:ascii="Times New Roman" w:hAnsi="Times New Roman" w:cs="Times New Roman"/>
                      <w:lang w:val="en-US" w:eastAsia="zh-CN"/>
                    </w:rPr>
                    <w:t>气态充装</w:t>
                  </w:r>
                </w:p>
              </w:tc>
            </w:tr>
            <w:tr w14:paraId="6DFE45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55" w:type="pct"/>
                  <w:tcBorders>
                    <w:top w:val="single" w:color="auto" w:sz="4" w:space="0"/>
                    <w:left w:val="single" w:color="auto" w:sz="4" w:space="0"/>
                    <w:bottom w:val="single" w:color="auto" w:sz="4" w:space="0"/>
                    <w:right w:val="single" w:color="auto" w:sz="4" w:space="0"/>
                  </w:tcBorders>
                  <w:shd w:val="clear" w:color="auto" w:fill="auto"/>
                  <w:vAlign w:val="center"/>
                </w:tcPr>
                <w:p w14:paraId="72759749">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6</w:t>
                  </w:r>
                </w:p>
              </w:tc>
              <w:tc>
                <w:tcPr>
                  <w:tcW w:w="1110" w:type="pct"/>
                  <w:tcBorders>
                    <w:top w:val="single" w:color="auto" w:sz="4" w:space="0"/>
                    <w:left w:val="single" w:color="auto" w:sz="4" w:space="0"/>
                    <w:bottom w:val="single" w:color="auto" w:sz="4" w:space="0"/>
                    <w:right w:val="single" w:color="auto" w:sz="4" w:space="0"/>
                  </w:tcBorders>
                  <w:shd w:val="clear" w:color="auto" w:fill="auto"/>
                  <w:vAlign w:val="center"/>
                </w:tcPr>
                <w:p w14:paraId="10EB6D07">
                  <w:pPr>
                    <w:pStyle w:val="40"/>
                    <w:bidi w:val="0"/>
                    <w:jc w:val="center"/>
                    <w:rPr>
                      <w:rFonts w:hint="default" w:ascii="Times New Roman" w:hAnsi="Times New Roman" w:cs="Times New Roman"/>
                    </w:rPr>
                  </w:pPr>
                  <w:r>
                    <w:rPr>
                      <w:rFonts w:hint="default" w:ascii="Times New Roman" w:hAnsi="Times New Roman" w:cs="Times New Roman"/>
                      <w:lang w:val="en-US" w:eastAsia="zh-CN"/>
                    </w:rPr>
                    <w:t>氩气</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top"/>
                </w:tcPr>
                <w:p w14:paraId="3A783DC4">
                  <w:pPr>
                    <w:pStyle w:val="40"/>
                    <w:bidi w:val="0"/>
                    <w:rPr>
                      <w:rFonts w:hint="default" w:ascii="Times New Roman" w:hAnsi="Times New Roman" w:cs="Times New Roman"/>
                    </w:rPr>
                  </w:pPr>
                  <w:r>
                    <w:rPr>
                      <w:rFonts w:hint="default" w:ascii="Times New Roman" w:hAnsi="Times New Roman" w:cs="Times New Roman"/>
                      <w:lang w:val="en-US" w:eastAsia="zh-CN"/>
                    </w:rPr>
                    <w:t xml:space="preserve">9207.00 </w:t>
                  </w:r>
                </w:p>
              </w:tc>
              <w:tc>
                <w:tcPr>
                  <w:tcW w:w="124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592CC729">
                  <w:pPr>
                    <w:bidi w:val="0"/>
                    <w:jc w:val="center"/>
                    <w:rPr>
                      <w:rFonts w:hint="default" w:ascii="Times New Roman" w:hAnsi="Times New Roman" w:cs="Times New Roman"/>
                    </w:rPr>
                  </w:pPr>
                  <w:r>
                    <w:rPr>
                      <w:rFonts w:hint="default" w:ascii="Times New Roman" w:hAnsi="Times New Roman" w:cs="Times New Roman"/>
                      <w:lang w:val="en-US" w:eastAsia="zh-CN"/>
                    </w:rPr>
                    <w:t>15/50</w:t>
                  </w:r>
                </w:p>
              </w:tc>
              <w:tc>
                <w:tcPr>
                  <w:tcW w:w="92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35CD3B6D">
                  <w:pPr>
                    <w:pStyle w:val="40"/>
                    <w:bidi w:val="0"/>
                    <w:jc w:val="center"/>
                    <w:rPr>
                      <w:rFonts w:hint="default" w:ascii="Times New Roman" w:hAnsi="Times New Roman" w:cs="Times New Roman"/>
                    </w:rPr>
                  </w:pPr>
                  <w:r>
                    <w:rPr>
                      <w:rFonts w:hint="default" w:ascii="Times New Roman" w:hAnsi="Times New Roman" w:cs="Times New Roman"/>
                      <w:lang w:val="en-US" w:eastAsia="zh-CN"/>
                    </w:rPr>
                    <w:t>气态充装</w:t>
                  </w:r>
                </w:p>
              </w:tc>
            </w:tr>
            <w:tr w14:paraId="57B0F8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55" w:type="pct"/>
                  <w:tcBorders>
                    <w:top w:val="single" w:color="auto" w:sz="4" w:space="0"/>
                    <w:left w:val="single" w:color="auto" w:sz="4" w:space="0"/>
                    <w:bottom w:val="single" w:color="auto" w:sz="4" w:space="0"/>
                    <w:right w:val="single" w:color="auto" w:sz="4" w:space="0"/>
                  </w:tcBorders>
                  <w:shd w:val="clear" w:color="auto" w:fill="auto"/>
                  <w:vAlign w:val="center"/>
                </w:tcPr>
                <w:p w14:paraId="0C88DF40">
                  <w:pPr>
                    <w:pStyle w:val="40"/>
                    <w:bidi w:val="0"/>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7</w:t>
                  </w:r>
                </w:p>
              </w:tc>
              <w:tc>
                <w:tcPr>
                  <w:tcW w:w="1110" w:type="pct"/>
                  <w:tcBorders>
                    <w:top w:val="single" w:color="auto" w:sz="4" w:space="0"/>
                    <w:left w:val="single" w:color="auto" w:sz="4" w:space="0"/>
                    <w:bottom w:val="single" w:color="auto" w:sz="4" w:space="0"/>
                    <w:right w:val="single" w:color="auto" w:sz="4" w:space="0"/>
                  </w:tcBorders>
                  <w:shd w:val="clear" w:color="auto" w:fill="auto"/>
                  <w:vAlign w:val="center"/>
                </w:tcPr>
                <w:p w14:paraId="5D5FAF9C">
                  <w:pPr>
                    <w:pStyle w:val="40"/>
                    <w:bidi w:val="0"/>
                    <w:jc w:val="center"/>
                    <w:rPr>
                      <w:rFonts w:hint="default" w:ascii="Times New Roman" w:hAnsi="Times New Roman" w:cs="Times New Roman"/>
                    </w:rPr>
                  </w:pPr>
                  <w:r>
                    <w:rPr>
                      <w:rFonts w:hint="default" w:ascii="Times New Roman" w:hAnsi="Times New Roman" w:cs="Times New Roman"/>
                      <w:lang w:val="en-US" w:eastAsia="zh-CN"/>
                    </w:rPr>
                    <w:t>二氧化碳气</w:t>
                  </w:r>
                </w:p>
              </w:tc>
              <w:tc>
                <w:tcPr>
                  <w:tcW w:w="1157" w:type="pct"/>
                  <w:tcBorders>
                    <w:top w:val="single" w:color="auto" w:sz="4" w:space="0"/>
                    <w:left w:val="single" w:color="auto" w:sz="4" w:space="0"/>
                    <w:bottom w:val="single" w:color="auto" w:sz="4" w:space="0"/>
                    <w:right w:val="single" w:color="auto" w:sz="4" w:space="0"/>
                  </w:tcBorders>
                  <w:shd w:val="clear" w:color="auto" w:fill="auto"/>
                  <w:vAlign w:val="top"/>
                </w:tcPr>
                <w:p w14:paraId="31D96CB5">
                  <w:pPr>
                    <w:pStyle w:val="40"/>
                    <w:bidi w:val="0"/>
                    <w:rPr>
                      <w:rFonts w:hint="default" w:ascii="Times New Roman" w:hAnsi="Times New Roman" w:cs="Times New Roman"/>
                    </w:rPr>
                  </w:pPr>
                  <w:r>
                    <w:rPr>
                      <w:rFonts w:hint="default" w:ascii="Times New Roman" w:hAnsi="Times New Roman" w:cs="Times New Roman"/>
                      <w:lang w:val="en-US" w:eastAsia="zh-CN"/>
                    </w:rPr>
                    <w:t xml:space="preserve">5082.00 </w:t>
                  </w:r>
                </w:p>
              </w:tc>
              <w:tc>
                <w:tcPr>
                  <w:tcW w:w="1249" w:type="pct"/>
                  <w:tcBorders>
                    <w:top w:val="single" w:color="auto" w:sz="4" w:space="0"/>
                    <w:left w:val="single" w:color="auto" w:sz="4" w:space="0"/>
                    <w:bottom w:val="single" w:color="auto" w:sz="4" w:space="0"/>
                    <w:right w:val="single" w:color="auto" w:sz="4" w:space="0"/>
                  </w:tcBorders>
                  <w:shd w:val="clear" w:color="auto" w:fill="auto"/>
                  <w:noWrap/>
                  <w:vAlign w:val="center"/>
                </w:tcPr>
                <w:p w14:paraId="7BCAB204">
                  <w:pPr>
                    <w:bidi w:val="0"/>
                    <w:jc w:val="center"/>
                    <w:rPr>
                      <w:rFonts w:hint="default" w:ascii="Times New Roman" w:hAnsi="Times New Roman" w:cs="Times New Roman"/>
                    </w:rPr>
                  </w:pPr>
                  <w:r>
                    <w:rPr>
                      <w:rFonts w:hint="default" w:ascii="Times New Roman" w:hAnsi="Times New Roman" w:cs="Times New Roman"/>
                      <w:lang w:val="en-US" w:eastAsia="zh-CN"/>
                    </w:rPr>
                    <w:t>15/50</w:t>
                  </w:r>
                </w:p>
              </w:tc>
              <w:tc>
                <w:tcPr>
                  <w:tcW w:w="926" w:type="pct"/>
                  <w:tcBorders>
                    <w:top w:val="single" w:color="auto" w:sz="4" w:space="0"/>
                    <w:left w:val="single" w:color="auto" w:sz="4" w:space="0"/>
                    <w:bottom w:val="single" w:color="auto" w:sz="4" w:space="0"/>
                    <w:right w:val="single" w:color="auto" w:sz="4" w:space="0"/>
                  </w:tcBorders>
                  <w:shd w:val="clear" w:color="auto" w:fill="auto"/>
                  <w:noWrap/>
                  <w:vAlign w:val="center"/>
                </w:tcPr>
                <w:p w14:paraId="6F171F70">
                  <w:pPr>
                    <w:pStyle w:val="40"/>
                    <w:bidi w:val="0"/>
                    <w:jc w:val="center"/>
                    <w:rPr>
                      <w:rFonts w:hint="default" w:ascii="Times New Roman" w:hAnsi="Times New Roman" w:cs="Times New Roman"/>
                    </w:rPr>
                  </w:pPr>
                  <w:r>
                    <w:rPr>
                      <w:rFonts w:hint="default" w:ascii="Times New Roman" w:hAnsi="Times New Roman" w:cs="Times New Roman"/>
                      <w:lang w:val="en-US" w:eastAsia="zh-CN"/>
                    </w:rPr>
                    <w:t>气态充装</w:t>
                  </w:r>
                </w:p>
              </w:tc>
            </w:tr>
          </w:tbl>
          <w:p w14:paraId="40DE1BDA">
            <w:pPr>
              <w:pStyle w:val="10"/>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项目主要充装气体产品执行标准如下：</w:t>
            </w:r>
          </w:p>
          <w:p w14:paraId="24EC660B">
            <w:pPr>
              <w:pStyle w:val="10"/>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22" w:firstLineChars="200"/>
              <w:jc w:val="center"/>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2-4    《液化石油气》（GB11174-2011）</w:t>
            </w:r>
          </w:p>
          <w:tbl>
            <w:tblPr>
              <w:tblStyle w:val="33"/>
              <w:tblW w:w="78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0"/>
              <w:gridCol w:w="1570"/>
              <w:gridCol w:w="1570"/>
              <w:gridCol w:w="1570"/>
              <w:gridCol w:w="1570"/>
            </w:tblGrid>
            <w:tr w14:paraId="71894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0" w:type="dxa"/>
                  <w:gridSpan w:val="2"/>
                  <w:vMerge w:val="restart"/>
                  <w:vAlign w:val="center"/>
                </w:tcPr>
                <w:p w14:paraId="437AAF3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项目</w:t>
                  </w:r>
                </w:p>
              </w:tc>
              <w:tc>
                <w:tcPr>
                  <w:tcW w:w="4710" w:type="dxa"/>
                  <w:gridSpan w:val="3"/>
                  <w:vAlign w:val="center"/>
                </w:tcPr>
                <w:p w14:paraId="5C11A9E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质量标准</w:t>
                  </w:r>
                </w:p>
              </w:tc>
            </w:tr>
            <w:tr w14:paraId="35C5C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0" w:type="dxa"/>
                  <w:gridSpan w:val="2"/>
                  <w:vMerge w:val="continue"/>
                  <w:vAlign w:val="center"/>
                </w:tcPr>
                <w:p w14:paraId="16E6D1E1">
                  <w:pPr>
                    <w:pStyle w:val="40"/>
                    <w:bidi w:val="0"/>
                    <w:jc w:val="center"/>
                    <w:rPr>
                      <w:rFonts w:hint="default" w:ascii="Times New Roman" w:hAnsi="Times New Roman" w:cs="Times New Roman"/>
                      <w:lang w:val="en-US" w:eastAsia="zh-CN"/>
                    </w:rPr>
                  </w:pPr>
                </w:p>
              </w:tc>
              <w:tc>
                <w:tcPr>
                  <w:tcW w:w="1570" w:type="dxa"/>
                  <w:vAlign w:val="center"/>
                </w:tcPr>
                <w:p w14:paraId="37FE6A7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商品丙烷</w:t>
                  </w:r>
                </w:p>
              </w:tc>
              <w:tc>
                <w:tcPr>
                  <w:tcW w:w="1570" w:type="dxa"/>
                  <w:vAlign w:val="center"/>
                </w:tcPr>
                <w:p w14:paraId="3DCB09B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商品丙丁烷混合物</w:t>
                  </w:r>
                </w:p>
              </w:tc>
              <w:tc>
                <w:tcPr>
                  <w:tcW w:w="1570" w:type="dxa"/>
                  <w:vAlign w:val="center"/>
                </w:tcPr>
                <w:p w14:paraId="42D6C1D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商品丁烷</w:t>
                  </w:r>
                </w:p>
              </w:tc>
            </w:tr>
            <w:tr w14:paraId="6FD608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0" w:type="dxa"/>
                  <w:vMerge w:val="restart"/>
                  <w:vAlign w:val="center"/>
                </w:tcPr>
                <w:p w14:paraId="42CBA06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组分（体积分数%）</w:t>
                  </w:r>
                </w:p>
              </w:tc>
              <w:tc>
                <w:tcPr>
                  <w:tcW w:w="1570" w:type="dxa"/>
                  <w:vAlign w:val="center"/>
                </w:tcPr>
                <w:p w14:paraId="2032E5A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C3烃类组分不小于</w:t>
                  </w:r>
                </w:p>
              </w:tc>
              <w:tc>
                <w:tcPr>
                  <w:tcW w:w="1570" w:type="dxa"/>
                  <w:vAlign w:val="center"/>
                </w:tcPr>
                <w:p w14:paraId="4C35BF5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95</w:t>
                  </w:r>
                </w:p>
              </w:tc>
              <w:tc>
                <w:tcPr>
                  <w:tcW w:w="1570" w:type="dxa"/>
                  <w:vAlign w:val="center"/>
                </w:tcPr>
                <w:p w14:paraId="2E50300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570" w:type="dxa"/>
                  <w:vAlign w:val="center"/>
                </w:tcPr>
                <w:p w14:paraId="380479E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r>
            <w:tr w14:paraId="14F93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0" w:type="dxa"/>
                  <w:vMerge w:val="continue"/>
                  <w:vAlign w:val="center"/>
                </w:tcPr>
                <w:p w14:paraId="4806E236">
                  <w:pPr>
                    <w:pStyle w:val="40"/>
                    <w:bidi w:val="0"/>
                    <w:jc w:val="center"/>
                    <w:rPr>
                      <w:rFonts w:hint="default" w:ascii="Times New Roman" w:hAnsi="Times New Roman" w:cs="Times New Roman"/>
                      <w:lang w:val="en-US" w:eastAsia="zh-CN"/>
                    </w:rPr>
                  </w:pPr>
                </w:p>
              </w:tc>
              <w:tc>
                <w:tcPr>
                  <w:tcW w:w="1570" w:type="dxa"/>
                  <w:vAlign w:val="center"/>
                </w:tcPr>
                <w:p w14:paraId="11CC553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C4及C4以上烃类组分不大于</w:t>
                  </w:r>
                </w:p>
              </w:tc>
              <w:tc>
                <w:tcPr>
                  <w:tcW w:w="1570" w:type="dxa"/>
                  <w:vAlign w:val="center"/>
                </w:tcPr>
                <w:p w14:paraId="4C1E037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2.5</w:t>
                  </w:r>
                </w:p>
              </w:tc>
              <w:tc>
                <w:tcPr>
                  <w:tcW w:w="1570" w:type="dxa"/>
                  <w:shd w:val="clear" w:color="auto" w:fill="auto"/>
                  <w:vAlign w:val="center"/>
                </w:tcPr>
                <w:p w14:paraId="19D0214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570" w:type="dxa"/>
                  <w:shd w:val="clear" w:color="auto" w:fill="auto"/>
                  <w:vAlign w:val="center"/>
                </w:tcPr>
                <w:p w14:paraId="21B948AD">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r>
            <w:tr w14:paraId="5BCB0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0" w:type="dxa"/>
                  <w:vMerge w:val="continue"/>
                  <w:vAlign w:val="center"/>
                </w:tcPr>
                <w:p w14:paraId="71059641">
                  <w:pPr>
                    <w:pStyle w:val="40"/>
                    <w:bidi w:val="0"/>
                    <w:jc w:val="center"/>
                    <w:rPr>
                      <w:rFonts w:hint="default" w:ascii="Times New Roman" w:hAnsi="Times New Roman" w:cs="Times New Roman"/>
                      <w:lang w:val="en-US" w:eastAsia="zh-CN"/>
                    </w:rPr>
                  </w:pPr>
                </w:p>
              </w:tc>
              <w:tc>
                <w:tcPr>
                  <w:tcW w:w="1570" w:type="dxa"/>
                  <w:vAlign w:val="center"/>
                </w:tcPr>
                <w:p w14:paraId="4398807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C3+C4烃类组分不小于</w:t>
                  </w:r>
                </w:p>
              </w:tc>
              <w:tc>
                <w:tcPr>
                  <w:tcW w:w="1570" w:type="dxa"/>
                  <w:vAlign w:val="center"/>
                </w:tcPr>
                <w:p w14:paraId="034C04F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570" w:type="dxa"/>
                  <w:vAlign w:val="center"/>
                </w:tcPr>
                <w:p w14:paraId="37E52FF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95</w:t>
                  </w:r>
                </w:p>
              </w:tc>
              <w:tc>
                <w:tcPr>
                  <w:tcW w:w="1570" w:type="dxa"/>
                  <w:vAlign w:val="center"/>
                </w:tcPr>
                <w:p w14:paraId="57905C3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95</w:t>
                  </w:r>
                </w:p>
              </w:tc>
            </w:tr>
            <w:tr w14:paraId="347FD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0" w:type="dxa"/>
                  <w:vMerge w:val="continue"/>
                  <w:vAlign w:val="center"/>
                </w:tcPr>
                <w:p w14:paraId="338A28D6">
                  <w:pPr>
                    <w:pStyle w:val="40"/>
                    <w:bidi w:val="0"/>
                    <w:jc w:val="center"/>
                    <w:rPr>
                      <w:rFonts w:hint="default" w:ascii="Times New Roman" w:hAnsi="Times New Roman" w:cs="Times New Roman"/>
                      <w:lang w:val="en-US" w:eastAsia="zh-CN"/>
                    </w:rPr>
                  </w:pPr>
                </w:p>
              </w:tc>
              <w:tc>
                <w:tcPr>
                  <w:tcW w:w="1570" w:type="dxa"/>
                  <w:vAlign w:val="center"/>
                </w:tcPr>
                <w:p w14:paraId="105844E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C5及C5以上烃类组分不大于</w:t>
                  </w:r>
                </w:p>
              </w:tc>
              <w:tc>
                <w:tcPr>
                  <w:tcW w:w="1570" w:type="dxa"/>
                  <w:vAlign w:val="center"/>
                </w:tcPr>
                <w:p w14:paraId="3A79298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570" w:type="dxa"/>
                  <w:vAlign w:val="center"/>
                </w:tcPr>
                <w:p w14:paraId="0AF12B1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3.0</w:t>
                  </w:r>
                </w:p>
              </w:tc>
              <w:tc>
                <w:tcPr>
                  <w:tcW w:w="1570" w:type="dxa"/>
                  <w:vAlign w:val="center"/>
                </w:tcPr>
                <w:p w14:paraId="05A42BA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2.0</w:t>
                  </w:r>
                </w:p>
              </w:tc>
            </w:tr>
            <w:tr w14:paraId="34AFE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0" w:type="dxa"/>
                  <w:gridSpan w:val="2"/>
                  <w:vAlign w:val="center"/>
                </w:tcPr>
                <w:p w14:paraId="1ECE949D">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蒸发残留物不大于（mL/100mL）</w:t>
                  </w:r>
                </w:p>
              </w:tc>
              <w:tc>
                <w:tcPr>
                  <w:tcW w:w="4710" w:type="dxa"/>
                  <w:gridSpan w:val="3"/>
                  <w:vAlign w:val="center"/>
                </w:tcPr>
                <w:p w14:paraId="65D0CD2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0.05</w:t>
                  </w:r>
                </w:p>
              </w:tc>
            </w:tr>
            <w:tr w14:paraId="3050C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0" w:type="dxa"/>
                  <w:gridSpan w:val="2"/>
                  <w:vAlign w:val="center"/>
                </w:tcPr>
                <w:p w14:paraId="51A785D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总硫含量不大于（mg/m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tc>
              <w:tc>
                <w:tcPr>
                  <w:tcW w:w="4710" w:type="dxa"/>
                  <w:gridSpan w:val="3"/>
                  <w:vAlign w:val="center"/>
                </w:tcPr>
                <w:p w14:paraId="35BF3EF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343</w:t>
                  </w:r>
                </w:p>
              </w:tc>
            </w:tr>
          </w:tbl>
          <w:p w14:paraId="7E8ED49A">
            <w:pPr>
              <w:pStyle w:val="10"/>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22" w:firstLineChars="200"/>
              <w:jc w:val="center"/>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2-5    《工业氧》（GB/T3863-2008）</w:t>
            </w:r>
          </w:p>
          <w:tbl>
            <w:tblPr>
              <w:tblStyle w:val="3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2"/>
              <w:gridCol w:w="1521"/>
              <w:gridCol w:w="1522"/>
            </w:tblGrid>
            <w:tr w14:paraId="4B76D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3094" w:type="pct"/>
                  <w:vAlign w:val="center"/>
                </w:tcPr>
                <w:p w14:paraId="7C1EFE58">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项目</w:t>
                  </w:r>
                </w:p>
              </w:tc>
              <w:tc>
                <w:tcPr>
                  <w:tcW w:w="1905" w:type="pct"/>
                  <w:gridSpan w:val="2"/>
                  <w:vAlign w:val="center"/>
                </w:tcPr>
                <w:p w14:paraId="36F9E020">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含量</w:t>
                  </w:r>
                </w:p>
              </w:tc>
            </w:tr>
            <w:tr w14:paraId="3F7C3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pct"/>
                  <w:vAlign w:val="center"/>
                </w:tcPr>
                <w:p w14:paraId="6D700027">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氧含量体积分数（%）</w:t>
                  </w:r>
                </w:p>
              </w:tc>
              <w:tc>
                <w:tcPr>
                  <w:tcW w:w="952" w:type="pct"/>
                  <w:vAlign w:val="center"/>
                </w:tcPr>
                <w:p w14:paraId="4BF5C2E5">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≥99.5</w:t>
                  </w:r>
                </w:p>
              </w:tc>
              <w:tc>
                <w:tcPr>
                  <w:tcW w:w="952" w:type="pct"/>
                  <w:vAlign w:val="center"/>
                </w:tcPr>
                <w:p w14:paraId="435C30E9">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≥99.2</w:t>
                  </w:r>
                </w:p>
              </w:tc>
            </w:tr>
            <w:tr w14:paraId="7E98E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4" w:type="pct"/>
                  <w:vAlign w:val="center"/>
                </w:tcPr>
                <w:p w14:paraId="2C517633">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水</w:t>
                  </w:r>
                </w:p>
              </w:tc>
              <w:tc>
                <w:tcPr>
                  <w:tcW w:w="1905" w:type="pct"/>
                  <w:gridSpan w:val="2"/>
                  <w:vAlign w:val="center"/>
                </w:tcPr>
                <w:p w14:paraId="0ED09C9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无游离水</w:t>
                  </w:r>
                </w:p>
              </w:tc>
            </w:tr>
          </w:tbl>
          <w:p w14:paraId="24120AD9">
            <w:pPr>
              <w:pStyle w:val="10"/>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22" w:firstLineChars="200"/>
              <w:jc w:val="center"/>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2-6    《中国药典》2020年版二部-氧（GB/T3863-2008）</w:t>
            </w:r>
          </w:p>
          <w:tbl>
            <w:tblPr>
              <w:tblStyle w:val="33"/>
              <w:tblW w:w="78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0"/>
              <w:gridCol w:w="4710"/>
            </w:tblGrid>
            <w:tr w14:paraId="603A4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3140" w:type="dxa"/>
                  <w:vAlign w:val="center"/>
                </w:tcPr>
                <w:p w14:paraId="18776D6E">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气体名称</w:t>
                  </w:r>
                </w:p>
              </w:tc>
              <w:tc>
                <w:tcPr>
                  <w:tcW w:w="4710" w:type="dxa"/>
                  <w:vAlign w:val="center"/>
                </w:tcPr>
                <w:p w14:paraId="44710F52">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含量</w:t>
                  </w:r>
                </w:p>
              </w:tc>
            </w:tr>
            <w:tr w14:paraId="68EFC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3140" w:type="dxa"/>
                  <w:vAlign w:val="center"/>
                </w:tcPr>
                <w:p w14:paraId="3F77218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一氧化碳</w:t>
                  </w:r>
                </w:p>
              </w:tc>
              <w:tc>
                <w:tcPr>
                  <w:tcW w:w="4710" w:type="dxa"/>
                  <w:vAlign w:val="center"/>
                </w:tcPr>
                <w:p w14:paraId="6F6B76D3">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不得过0.0005%（mL/mL）</w:t>
                  </w:r>
                </w:p>
              </w:tc>
            </w:tr>
            <w:tr w14:paraId="57278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0" w:type="dxa"/>
                  <w:vAlign w:val="center"/>
                </w:tcPr>
                <w:p w14:paraId="691F2A45">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二氧化碳</w:t>
                  </w:r>
                </w:p>
              </w:tc>
              <w:tc>
                <w:tcPr>
                  <w:tcW w:w="4710" w:type="dxa"/>
                  <w:vAlign w:val="center"/>
                </w:tcPr>
                <w:p w14:paraId="21209E4A">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不得过0.03%（mL/mL）</w:t>
                  </w:r>
                </w:p>
              </w:tc>
            </w:tr>
            <w:tr w14:paraId="633D9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40" w:type="dxa"/>
                  <w:vAlign w:val="center"/>
                </w:tcPr>
                <w:p w14:paraId="3B60178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水</w:t>
                  </w:r>
                </w:p>
              </w:tc>
              <w:tc>
                <w:tcPr>
                  <w:tcW w:w="4710" w:type="dxa"/>
                  <w:vAlign w:val="center"/>
                </w:tcPr>
                <w:p w14:paraId="370D7535">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不得过0.0067%（mL/mL）</w:t>
                  </w:r>
                </w:p>
              </w:tc>
            </w:tr>
            <w:tr w14:paraId="180FD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3140" w:type="dxa"/>
                  <w:vAlign w:val="center"/>
                </w:tcPr>
                <w:p w14:paraId="54BB227F">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氧气</w:t>
                  </w:r>
                </w:p>
              </w:tc>
              <w:tc>
                <w:tcPr>
                  <w:tcW w:w="4710" w:type="dxa"/>
                  <w:vAlign w:val="center"/>
                </w:tcPr>
                <w:p w14:paraId="60CFCF3C">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不得少于99.5%（mL/mL）</w:t>
                  </w:r>
                </w:p>
              </w:tc>
            </w:tr>
          </w:tbl>
          <w:p w14:paraId="17EEC702">
            <w:pPr>
              <w:pStyle w:val="10"/>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22" w:firstLineChars="200"/>
              <w:jc w:val="center"/>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2-7    《工业氮》（GB/T3864-2025）</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0"/>
              <w:gridCol w:w="1863"/>
              <w:gridCol w:w="1863"/>
              <w:gridCol w:w="1868"/>
            </w:tblGrid>
            <w:tr w14:paraId="7D08B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1497" w:type="pct"/>
                  <w:vAlign w:val="center"/>
                </w:tcPr>
                <w:p w14:paraId="63573E38">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项目</w:t>
                  </w:r>
                </w:p>
              </w:tc>
              <w:tc>
                <w:tcPr>
                  <w:tcW w:w="3502" w:type="pct"/>
                  <w:gridSpan w:val="3"/>
                  <w:vAlign w:val="center"/>
                </w:tcPr>
                <w:p w14:paraId="4AA93F30">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含量</w:t>
                  </w:r>
                </w:p>
              </w:tc>
            </w:tr>
            <w:tr w14:paraId="572B2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6A49E24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氮气纯度（摩尔分数%）</w:t>
                  </w:r>
                </w:p>
              </w:tc>
              <w:tc>
                <w:tcPr>
                  <w:tcW w:w="1167" w:type="pct"/>
                  <w:vAlign w:val="center"/>
                </w:tcPr>
                <w:p w14:paraId="3CD883A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≥99.2</w:t>
                  </w:r>
                </w:p>
              </w:tc>
              <w:tc>
                <w:tcPr>
                  <w:tcW w:w="1167" w:type="pct"/>
                  <w:vAlign w:val="center"/>
                </w:tcPr>
                <w:p w14:paraId="562EFA0B">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≥99.5</w:t>
                  </w:r>
                </w:p>
              </w:tc>
              <w:tc>
                <w:tcPr>
                  <w:tcW w:w="1167" w:type="pct"/>
                  <w:vAlign w:val="center"/>
                </w:tcPr>
                <w:p w14:paraId="512377D1">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≥99.9</w:t>
                  </w:r>
                </w:p>
              </w:tc>
            </w:tr>
            <w:tr w14:paraId="11BEAD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7AB8DC25">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一氧化碳含量</w:t>
                  </w:r>
                </w:p>
                <w:p w14:paraId="37FA417E">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（摩尔分数）</w:t>
                  </w:r>
                </w:p>
              </w:tc>
              <w:tc>
                <w:tcPr>
                  <w:tcW w:w="1167" w:type="pct"/>
                  <w:vAlign w:val="center"/>
                </w:tcPr>
                <w:p w14:paraId="2E4BD4C2">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167" w:type="pct"/>
                  <w:vAlign w:val="center"/>
                </w:tcPr>
                <w:p w14:paraId="0F738B90">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167" w:type="pct"/>
                  <w:vAlign w:val="center"/>
                </w:tcPr>
                <w:p w14:paraId="3FD946C9">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≤20×10</w:t>
                  </w:r>
                  <w:r>
                    <w:rPr>
                      <w:rFonts w:hint="default" w:ascii="Times New Roman" w:hAnsi="Times New Roman" w:cs="Times New Roman"/>
                      <w:vertAlign w:val="superscript"/>
                      <w:lang w:val="en-US" w:eastAsia="zh-CN"/>
                    </w:rPr>
                    <w:t>-6</w:t>
                  </w:r>
                </w:p>
              </w:tc>
            </w:tr>
            <w:tr w14:paraId="0D1A6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5F4D3B68">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二氧化碳含量</w:t>
                  </w:r>
                </w:p>
                <w:p w14:paraId="1D97D87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（摩尔分数）</w:t>
                  </w:r>
                </w:p>
              </w:tc>
              <w:tc>
                <w:tcPr>
                  <w:tcW w:w="1167" w:type="pct"/>
                  <w:vAlign w:val="center"/>
                </w:tcPr>
                <w:p w14:paraId="2E913C35">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167" w:type="pct"/>
                  <w:vAlign w:val="center"/>
                </w:tcPr>
                <w:p w14:paraId="298A8303">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167" w:type="pct"/>
                  <w:vAlign w:val="center"/>
                </w:tcPr>
                <w:p w14:paraId="0CA3473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≤30×10</w:t>
                  </w:r>
                  <w:r>
                    <w:rPr>
                      <w:rFonts w:hint="default" w:ascii="Times New Roman" w:hAnsi="Times New Roman" w:cs="Times New Roman"/>
                      <w:vertAlign w:val="superscript"/>
                      <w:lang w:val="en-US" w:eastAsia="zh-CN"/>
                    </w:rPr>
                    <w:t>-6</w:t>
                  </w:r>
                </w:p>
              </w:tc>
            </w:tr>
            <w:tr w14:paraId="4D5D3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16CA1B09">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氧气含量</w:t>
                  </w:r>
                </w:p>
                <w:p w14:paraId="6B4715B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（摩尔分数）</w:t>
                  </w:r>
                </w:p>
              </w:tc>
              <w:tc>
                <w:tcPr>
                  <w:tcW w:w="1167" w:type="pct"/>
                  <w:vAlign w:val="center"/>
                </w:tcPr>
                <w:p w14:paraId="0396210B">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≤8000×10</w:t>
                  </w:r>
                  <w:r>
                    <w:rPr>
                      <w:rFonts w:hint="default" w:ascii="Times New Roman" w:hAnsi="Times New Roman" w:cs="Times New Roman"/>
                      <w:vertAlign w:val="superscript"/>
                      <w:lang w:val="en-US" w:eastAsia="zh-CN"/>
                    </w:rPr>
                    <w:t>-6</w:t>
                  </w:r>
                </w:p>
              </w:tc>
              <w:tc>
                <w:tcPr>
                  <w:tcW w:w="1167" w:type="pct"/>
                  <w:vAlign w:val="center"/>
                </w:tcPr>
                <w:p w14:paraId="2BA778AC">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＜5000×10</w:t>
                  </w:r>
                  <w:r>
                    <w:rPr>
                      <w:rFonts w:hint="default" w:ascii="Times New Roman" w:hAnsi="Times New Roman" w:cs="Times New Roman"/>
                      <w:vertAlign w:val="superscript"/>
                      <w:lang w:val="en-US" w:eastAsia="zh-CN"/>
                    </w:rPr>
                    <w:t>-6</w:t>
                  </w:r>
                </w:p>
              </w:tc>
              <w:tc>
                <w:tcPr>
                  <w:tcW w:w="1167" w:type="pct"/>
                  <w:vAlign w:val="center"/>
                </w:tcPr>
                <w:p w14:paraId="2260851F">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≤900×10</w:t>
                  </w:r>
                  <w:r>
                    <w:rPr>
                      <w:rFonts w:hint="default" w:ascii="Times New Roman" w:hAnsi="Times New Roman" w:cs="Times New Roman"/>
                      <w:vertAlign w:val="superscript"/>
                      <w:lang w:val="en-US" w:eastAsia="zh-CN"/>
                    </w:rPr>
                    <w:t>-6</w:t>
                  </w:r>
                </w:p>
              </w:tc>
            </w:tr>
            <w:tr w14:paraId="35C88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1D43FFED">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水分含量</w:t>
                  </w:r>
                </w:p>
                <w:p w14:paraId="57905B8B">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（摩尔分数）</w:t>
                  </w:r>
                </w:p>
              </w:tc>
              <w:tc>
                <w:tcPr>
                  <w:tcW w:w="1167" w:type="pct"/>
                  <w:vAlign w:val="center"/>
                </w:tcPr>
                <w:p w14:paraId="0AAECD82">
                  <w:pPr>
                    <w:pStyle w:val="40"/>
                    <w:bidi w:val="0"/>
                    <w:rPr>
                      <w:rFonts w:hint="default" w:ascii="Times New Roman" w:hAnsi="Times New Roman" w:cs="Times New Roman"/>
                      <w:lang w:val="en-US" w:eastAsia="zh-CN"/>
                    </w:rPr>
                  </w:pPr>
                </w:p>
              </w:tc>
              <w:tc>
                <w:tcPr>
                  <w:tcW w:w="1167" w:type="pct"/>
                  <w:vAlign w:val="center"/>
                </w:tcPr>
                <w:p w14:paraId="2426DC02">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＜100×10</w:t>
                  </w:r>
                  <w:r>
                    <w:rPr>
                      <w:rFonts w:hint="default" w:ascii="Times New Roman" w:hAnsi="Times New Roman" w:cs="Times New Roman"/>
                      <w:vertAlign w:val="superscript"/>
                      <w:lang w:val="en-US" w:eastAsia="zh-CN"/>
                    </w:rPr>
                    <w:t>-6</w:t>
                  </w:r>
                </w:p>
              </w:tc>
              <w:tc>
                <w:tcPr>
                  <w:tcW w:w="1167" w:type="pct"/>
                  <w:vAlign w:val="center"/>
                </w:tcPr>
                <w:p w14:paraId="147F5922">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≤50×10</w:t>
                  </w:r>
                  <w:r>
                    <w:rPr>
                      <w:rFonts w:hint="default" w:ascii="Times New Roman" w:hAnsi="Times New Roman" w:cs="Times New Roman"/>
                      <w:vertAlign w:val="superscript"/>
                      <w:lang w:val="en-US" w:eastAsia="zh-CN"/>
                    </w:rPr>
                    <w:t>-6</w:t>
                  </w:r>
                </w:p>
              </w:tc>
            </w:tr>
            <w:tr w14:paraId="03106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533FA48B">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游离水</w:t>
                  </w:r>
                </w:p>
              </w:tc>
              <w:tc>
                <w:tcPr>
                  <w:tcW w:w="1167" w:type="pct"/>
                  <w:vAlign w:val="center"/>
                </w:tcPr>
                <w:p w14:paraId="10A7ABE7">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无</w:t>
                  </w:r>
                </w:p>
              </w:tc>
              <w:tc>
                <w:tcPr>
                  <w:tcW w:w="1167" w:type="pct"/>
                  <w:vAlign w:val="center"/>
                </w:tcPr>
                <w:p w14:paraId="18FC906A">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167" w:type="pct"/>
                  <w:vAlign w:val="center"/>
                </w:tcPr>
                <w:p w14:paraId="28ED77B7">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w:t>
                  </w:r>
                </w:p>
              </w:tc>
            </w:tr>
            <w:tr w14:paraId="70FD8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678958BE">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杂质总含量</w:t>
                  </w:r>
                </w:p>
                <w:p w14:paraId="24B4B901">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（摩尔分数）</w:t>
                  </w:r>
                </w:p>
              </w:tc>
              <w:tc>
                <w:tcPr>
                  <w:tcW w:w="1167" w:type="pct"/>
                  <w:shd w:val="clear" w:color="auto" w:fill="auto"/>
                  <w:vAlign w:val="center"/>
                </w:tcPr>
                <w:p w14:paraId="090757C1">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≤8000×10</w:t>
                  </w:r>
                  <w:r>
                    <w:rPr>
                      <w:rFonts w:hint="default" w:ascii="Times New Roman" w:hAnsi="Times New Roman" w:cs="Times New Roman"/>
                      <w:vertAlign w:val="superscript"/>
                      <w:lang w:val="en-US" w:eastAsia="zh-CN"/>
                    </w:rPr>
                    <w:t>-6</w:t>
                  </w:r>
                </w:p>
              </w:tc>
              <w:tc>
                <w:tcPr>
                  <w:tcW w:w="1167" w:type="pct"/>
                  <w:shd w:val="clear" w:color="auto" w:fill="auto"/>
                  <w:vAlign w:val="center"/>
                </w:tcPr>
                <w:p w14:paraId="3B666A7D">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≤5000×10</w:t>
                  </w:r>
                  <w:r>
                    <w:rPr>
                      <w:rFonts w:hint="default" w:ascii="Times New Roman" w:hAnsi="Times New Roman" w:cs="Times New Roman"/>
                      <w:vertAlign w:val="superscript"/>
                      <w:lang w:val="en-US" w:eastAsia="zh-CN"/>
                    </w:rPr>
                    <w:t>-6</w:t>
                  </w:r>
                </w:p>
              </w:tc>
              <w:tc>
                <w:tcPr>
                  <w:tcW w:w="1167" w:type="pct"/>
                  <w:shd w:val="clear" w:color="auto" w:fill="auto"/>
                  <w:vAlign w:val="center"/>
                </w:tcPr>
                <w:p w14:paraId="6B3A8CE0">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≤1000×10</w:t>
                  </w:r>
                  <w:r>
                    <w:rPr>
                      <w:rFonts w:hint="default" w:ascii="Times New Roman" w:hAnsi="Times New Roman" w:cs="Times New Roman"/>
                      <w:vertAlign w:val="superscript"/>
                      <w:lang w:val="en-US" w:eastAsia="zh-CN"/>
                    </w:rPr>
                    <w:t>-6</w:t>
                  </w:r>
                </w:p>
              </w:tc>
            </w:tr>
            <w:tr w14:paraId="161C8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4"/>
                  <w:vAlign w:val="center"/>
                </w:tcPr>
                <w:p w14:paraId="0E397972">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液氮不测定水分含量</w:t>
                  </w:r>
                </w:p>
              </w:tc>
            </w:tr>
          </w:tbl>
          <w:p w14:paraId="7ABE111A">
            <w:pPr>
              <w:pStyle w:val="10"/>
              <w:keepNext w:val="0"/>
              <w:keepLines w:val="0"/>
              <w:pageBreakBefore w:val="0"/>
              <w:widowControl/>
              <w:kinsoku/>
              <w:wordWrap/>
              <w:overflowPunct/>
              <w:topLinePunct w:val="0"/>
              <w:autoSpaceDE/>
              <w:autoSpaceDN/>
              <w:bidi w:val="0"/>
              <w:adjustRightInd/>
              <w:snapToGrid w:val="0"/>
              <w:spacing w:before="157" w:beforeLines="50" w:after="0" w:line="360" w:lineRule="auto"/>
              <w:ind w:right="0"/>
              <w:jc w:val="center"/>
              <w:textAlignment w:val="auto"/>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2-8    《氩》（GB/T4842-2017）</w:t>
            </w:r>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8"/>
              <w:gridCol w:w="2432"/>
              <w:gridCol w:w="2432"/>
            </w:tblGrid>
            <w:tr w14:paraId="4239B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vMerge w:val="restart"/>
                  <w:vAlign w:val="center"/>
                </w:tcPr>
                <w:p w14:paraId="1E6C5FF9">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项目</w:t>
                  </w:r>
                </w:p>
              </w:tc>
              <w:tc>
                <w:tcPr>
                  <w:tcW w:w="3046" w:type="pct"/>
                  <w:gridSpan w:val="2"/>
                  <w:vAlign w:val="center"/>
                </w:tcPr>
                <w:p w14:paraId="3F4965C0">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指标</w:t>
                  </w:r>
                </w:p>
              </w:tc>
            </w:tr>
            <w:tr w14:paraId="15F30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vMerge w:val="continue"/>
                  <w:vAlign w:val="center"/>
                </w:tcPr>
                <w:p w14:paraId="34C70CFA">
                  <w:pPr>
                    <w:pStyle w:val="40"/>
                    <w:bidi w:val="0"/>
                    <w:rPr>
                      <w:rFonts w:hint="default" w:ascii="Times New Roman" w:hAnsi="Times New Roman" w:cs="Times New Roman"/>
                      <w:lang w:val="en-US" w:eastAsia="zh-CN"/>
                    </w:rPr>
                  </w:pPr>
                </w:p>
              </w:tc>
              <w:tc>
                <w:tcPr>
                  <w:tcW w:w="1523" w:type="pct"/>
                  <w:vAlign w:val="center"/>
                </w:tcPr>
                <w:p w14:paraId="15B965DC">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高纯氩</w:t>
                  </w:r>
                </w:p>
              </w:tc>
              <w:tc>
                <w:tcPr>
                  <w:tcW w:w="1523" w:type="pct"/>
                  <w:vAlign w:val="center"/>
                </w:tcPr>
                <w:p w14:paraId="0B9FF353">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纯氩</w:t>
                  </w:r>
                </w:p>
              </w:tc>
            </w:tr>
            <w:tr w14:paraId="0F46F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520F4F03">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氩纯度（体积分数）</w:t>
                  </w:r>
                </w:p>
              </w:tc>
              <w:tc>
                <w:tcPr>
                  <w:tcW w:w="1523" w:type="pct"/>
                  <w:vAlign w:val="center"/>
                </w:tcPr>
                <w:p w14:paraId="234E7D97">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≥99.999×10</w:t>
                  </w:r>
                  <w:r>
                    <w:rPr>
                      <w:rFonts w:hint="default" w:ascii="Times New Roman" w:hAnsi="Times New Roman" w:cs="Times New Roman"/>
                      <w:vertAlign w:val="superscript"/>
                      <w:lang w:val="en-US" w:eastAsia="zh-CN"/>
                    </w:rPr>
                    <w:t>-2</w:t>
                  </w:r>
                </w:p>
              </w:tc>
              <w:tc>
                <w:tcPr>
                  <w:tcW w:w="1523" w:type="pct"/>
                  <w:vAlign w:val="center"/>
                </w:tcPr>
                <w:p w14:paraId="414B5D7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≥99.99×10</w:t>
                  </w:r>
                  <w:r>
                    <w:rPr>
                      <w:rFonts w:hint="default" w:ascii="Times New Roman" w:hAnsi="Times New Roman" w:cs="Times New Roman"/>
                      <w:vertAlign w:val="superscript"/>
                      <w:lang w:val="en-US" w:eastAsia="zh-CN"/>
                    </w:rPr>
                    <w:t>-2</w:t>
                  </w:r>
                </w:p>
              </w:tc>
            </w:tr>
            <w:tr w14:paraId="02309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578AEB8A">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氢含量（体积分数）</w:t>
                  </w:r>
                </w:p>
              </w:tc>
              <w:tc>
                <w:tcPr>
                  <w:tcW w:w="1523" w:type="pct"/>
                  <w:vAlign w:val="center"/>
                </w:tcPr>
                <w:p w14:paraId="7B4E7C9D">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≤0.5×10</w:t>
                  </w:r>
                  <w:r>
                    <w:rPr>
                      <w:rFonts w:hint="default" w:ascii="Times New Roman" w:hAnsi="Times New Roman" w:cs="Times New Roman"/>
                      <w:vertAlign w:val="superscript"/>
                      <w:lang w:val="en-US" w:eastAsia="zh-CN"/>
                    </w:rPr>
                    <w:t>-6</w:t>
                  </w:r>
                </w:p>
              </w:tc>
              <w:tc>
                <w:tcPr>
                  <w:tcW w:w="1523" w:type="pct"/>
                  <w:vAlign w:val="center"/>
                </w:tcPr>
                <w:p w14:paraId="4B211489">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≤5×10</w:t>
                  </w:r>
                  <w:r>
                    <w:rPr>
                      <w:rFonts w:hint="default" w:ascii="Times New Roman" w:hAnsi="Times New Roman" w:cs="Times New Roman"/>
                      <w:vertAlign w:val="superscript"/>
                      <w:lang w:val="en-US" w:eastAsia="zh-CN"/>
                    </w:rPr>
                    <w:t>-6</w:t>
                  </w:r>
                </w:p>
              </w:tc>
            </w:tr>
            <w:tr w14:paraId="5A211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6B07D315">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氧含量（体积分数）</w:t>
                  </w:r>
                </w:p>
              </w:tc>
              <w:tc>
                <w:tcPr>
                  <w:tcW w:w="1523" w:type="pct"/>
                  <w:shd w:val="clear" w:color="auto" w:fill="auto"/>
                  <w:vAlign w:val="center"/>
                </w:tcPr>
                <w:p w14:paraId="6D63EA5A">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≤1.5×10</w:t>
                  </w:r>
                  <w:r>
                    <w:rPr>
                      <w:rFonts w:hint="default" w:ascii="Times New Roman" w:hAnsi="Times New Roman" w:cs="Times New Roman"/>
                      <w:vertAlign w:val="superscript"/>
                      <w:lang w:val="en-US" w:eastAsia="zh-CN"/>
                    </w:rPr>
                    <w:t>-6</w:t>
                  </w:r>
                </w:p>
              </w:tc>
              <w:tc>
                <w:tcPr>
                  <w:tcW w:w="1523" w:type="pct"/>
                  <w:shd w:val="clear" w:color="auto" w:fill="auto"/>
                  <w:vAlign w:val="center"/>
                </w:tcPr>
                <w:p w14:paraId="56A26604">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≤10×10</w:t>
                  </w:r>
                  <w:r>
                    <w:rPr>
                      <w:rFonts w:hint="default" w:ascii="Times New Roman" w:hAnsi="Times New Roman" w:cs="Times New Roman"/>
                      <w:vertAlign w:val="superscript"/>
                      <w:lang w:val="en-US" w:eastAsia="zh-CN"/>
                    </w:rPr>
                    <w:t>-6</w:t>
                  </w:r>
                </w:p>
              </w:tc>
            </w:tr>
            <w:tr w14:paraId="745FD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shd w:val="clear" w:color="auto" w:fill="auto"/>
                  <w:vAlign w:val="center"/>
                </w:tcPr>
                <w:p w14:paraId="01A5763F">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氮含量（体积分数）</w:t>
                  </w:r>
                </w:p>
              </w:tc>
              <w:tc>
                <w:tcPr>
                  <w:tcW w:w="1523" w:type="pct"/>
                  <w:shd w:val="clear" w:color="auto" w:fill="auto"/>
                  <w:vAlign w:val="center"/>
                </w:tcPr>
                <w:p w14:paraId="34D468B6">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≤4×10</w:t>
                  </w:r>
                  <w:r>
                    <w:rPr>
                      <w:rFonts w:hint="default" w:ascii="Times New Roman" w:hAnsi="Times New Roman" w:cs="Times New Roman"/>
                      <w:vertAlign w:val="superscript"/>
                      <w:lang w:val="en-US" w:eastAsia="zh-CN"/>
                    </w:rPr>
                    <w:t>-6</w:t>
                  </w:r>
                </w:p>
              </w:tc>
              <w:tc>
                <w:tcPr>
                  <w:tcW w:w="1523" w:type="pct"/>
                  <w:shd w:val="clear" w:color="auto" w:fill="auto"/>
                  <w:vAlign w:val="center"/>
                </w:tcPr>
                <w:p w14:paraId="407AF80E">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≤50×10</w:t>
                  </w:r>
                  <w:r>
                    <w:rPr>
                      <w:rFonts w:hint="default" w:ascii="Times New Roman" w:hAnsi="Times New Roman" w:cs="Times New Roman"/>
                      <w:vertAlign w:val="superscript"/>
                      <w:lang w:val="en-US" w:eastAsia="zh-CN"/>
                    </w:rPr>
                    <w:t>-6</w:t>
                  </w:r>
                </w:p>
              </w:tc>
            </w:tr>
            <w:tr w14:paraId="5E24D7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shd w:val="clear" w:color="auto" w:fill="auto"/>
                  <w:vAlign w:val="center"/>
                </w:tcPr>
                <w:p w14:paraId="62B40706">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甲烷含量（体积分数）</w:t>
                  </w:r>
                </w:p>
              </w:tc>
              <w:tc>
                <w:tcPr>
                  <w:tcW w:w="1523" w:type="pct"/>
                  <w:shd w:val="clear" w:color="auto" w:fill="auto"/>
                  <w:vAlign w:val="center"/>
                </w:tcPr>
                <w:p w14:paraId="78AE53A6">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≤0.4×10</w:t>
                  </w:r>
                  <w:r>
                    <w:rPr>
                      <w:rFonts w:hint="default" w:ascii="Times New Roman" w:hAnsi="Times New Roman" w:cs="Times New Roman"/>
                      <w:vertAlign w:val="superscript"/>
                      <w:lang w:val="en-US" w:eastAsia="zh-CN"/>
                    </w:rPr>
                    <w:t>-6</w:t>
                  </w:r>
                </w:p>
              </w:tc>
              <w:tc>
                <w:tcPr>
                  <w:tcW w:w="1523" w:type="pct"/>
                  <w:shd w:val="clear" w:color="auto" w:fill="auto"/>
                  <w:vAlign w:val="center"/>
                </w:tcPr>
                <w:p w14:paraId="21B11BCB">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≤5×10</w:t>
                  </w:r>
                  <w:r>
                    <w:rPr>
                      <w:rFonts w:hint="default" w:ascii="Times New Roman" w:hAnsi="Times New Roman" w:cs="Times New Roman"/>
                      <w:vertAlign w:val="superscript"/>
                      <w:lang w:val="en-US" w:eastAsia="zh-CN"/>
                    </w:rPr>
                    <w:t>-6</w:t>
                  </w:r>
                </w:p>
              </w:tc>
            </w:tr>
            <w:tr w14:paraId="1C02D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vAlign w:val="center"/>
                </w:tcPr>
                <w:p w14:paraId="7D8EC560">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一氧化碳含量（体积分数）</w:t>
                  </w:r>
                </w:p>
              </w:tc>
              <w:tc>
                <w:tcPr>
                  <w:tcW w:w="1523" w:type="pct"/>
                  <w:vAlign w:val="center"/>
                </w:tcPr>
                <w:p w14:paraId="749ACD86">
                  <w:pPr>
                    <w:pStyle w:val="40"/>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≤0.3×10</w:t>
                  </w:r>
                  <w:r>
                    <w:rPr>
                      <w:rFonts w:hint="default" w:ascii="Times New Roman" w:hAnsi="Times New Roman" w:cs="Times New Roman"/>
                      <w:vertAlign w:val="superscript"/>
                      <w:lang w:val="en-US" w:eastAsia="zh-CN"/>
                    </w:rPr>
                    <w:t>-6</w:t>
                  </w:r>
                </w:p>
              </w:tc>
              <w:tc>
                <w:tcPr>
                  <w:tcW w:w="1523" w:type="pct"/>
                  <w:vAlign w:val="center"/>
                </w:tcPr>
                <w:p w14:paraId="4040A319">
                  <w:pPr>
                    <w:pStyle w:val="40"/>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≤5×10</w:t>
                  </w:r>
                  <w:r>
                    <w:rPr>
                      <w:rFonts w:hint="default" w:ascii="Times New Roman" w:hAnsi="Times New Roman" w:cs="Times New Roman"/>
                      <w:vertAlign w:val="superscript"/>
                      <w:lang w:val="en-US" w:eastAsia="zh-CN"/>
                    </w:rPr>
                    <w:t>-6</w:t>
                  </w:r>
                </w:p>
              </w:tc>
            </w:tr>
            <w:tr w14:paraId="1AFCB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shd w:val="clear" w:color="auto" w:fill="auto"/>
                  <w:vAlign w:val="center"/>
                </w:tcPr>
                <w:p w14:paraId="2310124C">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二氧化碳含量（体积分数）</w:t>
                  </w:r>
                </w:p>
              </w:tc>
              <w:tc>
                <w:tcPr>
                  <w:tcW w:w="1523" w:type="pct"/>
                  <w:shd w:val="clear" w:color="auto" w:fill="auto"/>
                  <w:vAlign w:val="center"/>
                </w:tcPr>
                <w:p w14:paraId="2CA4DE34">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≤0.3×10</w:t>
                  </w:r>
                  <w:r>
                    <w:rPr>
                      <w:rFonts w:hint="default" w:ascii="Times New Roman" w:hAnsi="Times New Roman" w:cs="Times New Roman"/>
                      <w:vertAlign w:val="superscript"/>
                      <w:lang w:val="en-US" w:eastAsia="zh-CN"/>
                    </w:rPr>
                    <w:t>-6</w:t>
                  </w:r>
                </w:p>
              </w:tc>
              <w:tc>
                <w:tcPr>
                  <w:tcW w:w="1523" w:type="pct"/>
                  <w:shd w:val="clear" w:color="auto" w:fill="auto"/>
                  <w:vAlign w:val="center"/>
                </w:tcPr>
                <w:p w14:paraId="1BE15121">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≤10×10</w:t>
                  </w:r>
                  <w:r>
                    <w:rPr>
                      <w:rFonts w:hint="default" w:ascii="Times New Roman" w:hAnsi="Times New Roman" w:cs="Times New Roman"/>
                      <w:vertAlign w:val="superscript"/>
                      <w:lang w:val="en-US" w:eastAsia="zh-CN"/>
                    </w:rPr>
                    <w:t>-6</w:t>
                  </w:r>
                </w:p>
              </w:tc>
            </w:tr>
            <w:tr w14:paraId="5C04C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53" w:type="pct"/>
                  <w:shd w:val="clear" w:color="auto" w:fill="auto"/>
                  <w:vAlign w:val="center"/>
                </w:tcPr>
                <w:p w14:paraId="11163FEE">
                  <w:pPr>
                    <w:pStyle w:val="40"/>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水分含量（体积分数）</w:t>
                  </w:r>
                </w:p>
              </w:tc>
              <w:tc>
                <w:tcPr>
                  <w:tcW w:w="1523" w:type="pct"/>
                  <w:shd w:val="clear" w:color="auto" w:fill="auto"/>
                  <w:vAlign w:val="center"/>
                </w:tcPr>
                <w:p w14:paraId="7E50D386">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≤3×10</w:t>
                  </w:r>
                  <w:r>
                    <w:rPr>
                      <w:rFonts w:hint="default" w:ascii="Times New Roman" w:hAnsi="Times New Roman" w:cs="Times New Roman"/>
                      <w:vertAlign w:val="superscript"/>
                      <w:lang w:val="en-US" w:eastAsia="zh-CN"/>
                    </w:rPr>
                    <w:t>-6</w:t>
                  </w:r>
                </w:p>
              </w:tc>
              <w:tc>
                <w:tcPr>
                  <w:tcW w:w="1523" w:type="pct"/>
                  <w:shd w:val="clear" w:color="auto" w:fill="auto"/>
                  <w:vAlign w:val="center"/>
                </w:tcPr>
                <w:p w14:paraId="7A8107D7">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≤15×10</w:t>
                  </w:r>
                  <w:r>
                    <w:rPr>
                      <w:rFonts w:hint="default" w:ascii="Times New Roman" w:hAnsi="Times New Roman" w:cs="Times New Roman"/>
                      <w:vertAlign w:val="superscript"/>
                      <w:lang w:val="en-US" w:eastAsia="zh-CN"/>
                    </w:rPr>
                    <w:t>-6</w:t>
                  </w:r>
                </w:p>
              </w:tc>
            </w:tr>
          </w:tbl>
          <w:p w14:paraId="5A6F36EA">
            <w:pPr>
              <w:pStyle w:val="10"/>
              <w:keepNext w:val="0"/>
              <w:keepLines w:val="0"/>
              <w:pageBreakBefore w:val="0"/>
              <w:widowControl/>
              <w:kinsoku/>
              <w:wordWrap/>
              <w:overflowPunct/>
              <w:topLinePunct w:val="0"/>
              <w:autoSpaceDE/>
              <w:autoSpaceDN/>
              <w:bidi w:val="0"/>
              <w:adjustRightInd/>
              <w:snapToGrid w:val="0"/>
              <w:spacing w:before="157" w:beforeLines="50" w:after="0" w:line="360" w:lineRule="auto"/>
              <w:ind w:right="0" w:firstLine="422" w:firstLineChars="20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bCs/>
                <w:color w:val="000000"/>
                <w:kern w:val="0"/>
                <w:sz w:val="21"/>
                <w:szCs w:val="21"/>
                <w:lang w:val="en-US" w:eastAsia="zh-CN" w:bidi="ar"/>
              </w:rPr>
              <w:t>表 2-9    《工业液体二氧化碳》（GB/T6052-2011）</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22"/>
              <w:gridCol w:w="1519"/>
              <w:gridCol w:w="1519"/>
              <w:gridCol w:w="1524"/>
            </w:tblGrid>
            <w:tr w14:paraId="7E460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3" w:type="pct"/>
                  <w:vAlign w:val="center"/>
                </w:tcPr>
                <w:p w14:paraId="236E83F0">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项目</w:t>
                  </w:r>
                </w:p>
              </w:tc>
              <w:tc>
                <w:tcPr>
                  <w:tcW w:w="2856" w:type="pct"/>
                  <w:gridSpan w:val="3"/>
                  <w:vAlign w:val="center"/>
                </w:tcPr>
                <w:p w14:paraId="4F70ABC8">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指标</w:t>
                  </w:r>
                </w:p>
              </w:tc>
            </w:tr>
            <w:tr w14:paraId="5D0AC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3" w:type="pct"/>
                  <w:vAlign w:val="center"/>
                </w:tcPr>
                <w:p w14:paraId="2A9220C4">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二氧化碳含量（体积分数）</w:t>
                  </w:r>
                </w:p>
              </w:tc>
              <w:tc>
                <w:tcPr>
                  <w:tcW w:w="951" w:type="pct"/>
                  <w:vAlign w:val="center"/>
                </w:tcPr>
                <w:p w14:paraId="14F2E1C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≥99×10</w:t>
                  </w:r>
                  <w:r>
                    <w:rPr>
                      <w:rFonts w:hint="default" w:ascii="Times New Roman" w:hAnsi="Times New Roman" w:cs="Times New Roman"/>
                      <w:vertAlign w:val="superscript"/>
                      <w:lang w:val="en-US" w:eastAsia="zh-CN"/>
                    </w:rPr>
                    <w:t>-2</w:t>
                  </w:r>
                </w:p>
              </w:tc>
              <w:tc>
                <w:tcPr>
                  <w:tcW w:w="951" w:type="pct"/>
                  <w:vAlign w:val="center"/>
                </w:tcPr>
                <w:p w14:paraId="33DD6AAF">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≥99.5×10</w:t>
                  </w:r>
                  <w:r>
                    <w:rPr>
                      <w:rFonts w:hint="default" w:ascii="Times New Roman" w:hAnsi="Times New Roman" w:cs="Times New Roman"/>
                      <w:vertAlign w:val="superscript"/>
                      <w:lang w:val="en-US" w:eastAsia="zh-CN"/>
                    </w:rPr>
                    <w:t>-2</w:t>
                  </w:r>
                </w:p>
              </w:tc>
              <w:tc>
                <w:tcPr>
                  <w:tcW w:w="954" w:type="pct"/>
                  <w:vAlign w:val="center"/>
                </w:tcPr>
                <w:p w14:paraId="2A898163">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≥99.9×10</w:t>
                  </w:r>
                  <w:r>
                    <w:rPr>
                      <w:rFonts w:hint="default" w:ascii="Times New Roman" w:hAnsi="Times New Roman" w:cs="Times New Roman"/>
                      <w:vertAlign w:val="superscript"/>
                      <w:lang w:val="en-US" w:eastAsia="zh-CN"/>
                    </w:rPr>
                    <w:t>-2</w:t>
                  </w:r>
                </w:p>
              </w:tc>
            </w:tr>
            <w:tr w14:paraId="78396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43" w:type="pct"/>
                  <w:shd w:val="clear" w:color="auto" w:fill="auto"/>
                  <w:vAlign w:val="center"/>
                </w:tcPr>
                <w:p w14:paraId="207145EE">
                  <w:pPr>
                    <w:pStyle w:val="40"/>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游离水）</w:t>
                  </w:r>
                </w:p>
              </w:tc>
              <w:tc>
                <w:tcPr>
                  <w:tcW w:w="951" w:type="pct"/>
                  <w:shd w:val="clear" w:color="auto" w:fill="auto"/>
                  <w:vAlign w:val="center"/>
                </w:tcPr>
                <w:p w14:paraId="283F5005">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无</w:t>
                  </w:r>
                </w:p>
              </w:tc>
              <w:tc>
                <w:tcPr>
                  <w:tcW w:w="951" w:type="pct"/>
                  <w:shd w:val="clear" w:color="auto" w:fill="auto"/>
                  <w:vAlign w:val="center"/>
                </w:tcPr>
                <w:p w14:paraId="5D2BC80C">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c>
                <w:tcPr>
                  <w:tcW w:w="954" w:type="pct"/>
                  <w:shd w:val="clear" w:color="auto" w:fill="auto"/>
                  <w:vAlign w:val="center"/>
                </w:tcPr>
                <w:p w14:paraId="261CADE4">
                  <w:pPr>
                    <w:pStyle w:val="40"/>
                    <w:bidi w:val="0"/>
                    <w:ind w:firstLine="0" w:firstLineChars="0"/>
                    <w:rPr>
                      <w:rFonts w:hint="default" w:ascii="Times New Roman" w:hAnsi="Times New Roman" w:cs="Times New Roman"/>
                      <w:lang w:val="en-US" w:eastAsia="zh-CN"/>
                    </w:rPr>
                  </w:pPr>
                  <w:r>
                    <w:rPr>
                      <w:rFonts w:hint="default" w:ascii="Times New Roman" w:hAnsi="Times New Roman" w:cs="Times New Roman"/>
                      <w:lang w:val="en-US" w:eastAsia="zh-CN"/>
                    </w:rPr>
                    <w:t>/</w:t>
                  </w:r>
                </w:p>
              </w:tc>
            </w:tr>
          </w:tbl>
          <w:p w14:paraId="65999C41">
            <w:pPr>
              <w:keepNext w:val="0"/>
              <w:keepLines w:val="0"/>
              <w:pageBreakBefore w:val="0"/>
              <w:widowControl/>
              <w:suppressLineNumbers w:val="0"/>
              <w:kinsoku/>
              <w:wordWrap/>
              <w:overflowPunct/>
              <w:topLinePunct w:val="0"/>
              <w:autoSpaceDE/>
              <w:autoSpaceDN/>
              <w:bidi w:val="0"/>
              <w:adjustRightInd/>
              <w:snapToGrid/>
              <w:spacing w:before="313" w:beforeLines="100" w:line="360" w:lineRule="auto"/>
              <w:ind w:right="0" w:firstLine="480" w:firstLineChars="200"/>
              <w:jc w:val="left"/>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4.2 气瓶检验站主要产品及生产能力</w:t>
            </w:r>
          </w:p>
          <w:p w14:paraId="0551BB60">
            <w:pPr>
              <w:jc w:val="center"/>
              <w:rPr>
                <w:rFonts w:hint="default" w:ascii="Times New Roman" w:hAnsi="Times New Roman" w:eastAsia="宋体" w:cs="Times New Roman"/>
                <w:b/>
                <w:bCs/>
                <w:color w:val="000000"/>
                <w:kern w:val="0"/>
                <w:sz w:val="21"/>
                <w:szCs w:val="21"/>
                <w:lang w:val="en-US" w:eastAsia="zh-CN" w:bidi="ar"/>
              </w:rPr>
            </w:pPr>
            <w:r>
              <w:rPr>
                <w:rFonts w:hint="default" w:ascii="Times New Roman" w:hAnsi="Times New Roman" w:eastAsia="宋体" w:cs="Times New Roman"/>
                <w:b/>
                <w:bCs/>
                <w:color w:val="000000"/>
                <w:kern w:val="0"/>
                <w:sz w:val="21"/>
                <w:szCs w:val="21"/>
                <w:lang w:val="en-US" w:eastAsia="zh-CN" w:bidi="ar"/>
              </w:rPr>
              <w:t>表 2-10   气瓶检验站项目产品方案一览表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5"/>
              <w:gridCol w:w="1576"/>
              <w:gridCol w:w="1421"/>
              <w:gridCol w:w="1624"/>
              <w:gridCol w:w="1788"/>
            </w:tblGrid>
            <w:tr w14:paraId="55F4D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6" w:type="pct"/>
                  <w:vAlign w:val="center"/>
                </w:tcPr>
                <w:p w14:paraId="007AD8E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气瓶种类</w:t>
                  </w:r>
                </w:p>
              </w:tc>
              <w:tc>
                <w:tcPr>
                  <w:tcW w:w="986" w:type="pct"/>
                  <w:vAlign w:val="center"/>
                </w:tcPr>
                <w:p w14:paraId="7FD1FC8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单位</w:t>
                  </w:r>
                </w:p>
              </w:tc>
              <w:tc>
                <w:tcPr>
                  <w:tcW w:w="889" w:type="pct"/>
                  <w:vAlign w:val="center"/>
                </w:tcPr>
                <w:p w14:paraId="4D33810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数量</w:t>
                  </w:r>
                </w:p>
              </w:tc>
              <w:tc>
                <w:tcPr>
                  <w:tcW w:w="1016" w:type="pct"/>
                  <w:vAlign w:val="center"/>
                </w:tcPr>
                <w:p w14:paraId="209A5E4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规格</w:t>
                  </w:r>
                </w:p>
              </w:tc>
              <w:tc>
                <w:tcPr>
                  <w:tcW w:w="1119" w:type="pct"/>
                  <w:vAlign w:val="center"/>
                </w:tcPr>
                <w:p w14:paraId="3E5156CD">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备注说明</w:t>
                  </w:r>
                </w:p>
              </w:tc>
            </w:tr>
            <w:tr w14:paraId="11EE9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6" w:type="pct"/>
                  <w:vAlign w:val="center"/>
                </w:tcPr>
                <w:p w14:paraId="47361A8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LPG/丙烷钢瓶</w:t>
                  </w:r>
                </w:p>
              </w:tc>
              <w:tc>
                <w:tcPr>
                  <w:tcW w:w="986" w:type="pct"/>
                  <w:vAlign w:val="center"/>
                </w:tcPr>
                <w:p w14:paraId="48F68E3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个（只）/年</w:t>
                  </w:r>
                </w:p>
              </w:tc>
              <w:tc>
                <w:tcPr>
                  <w:tcW w:w="889" w:type="pct"/>
                  <w:vAlign w:val="center"/>
                </w:tcPr>
                <w:p w14:paraId="5A71301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60000只</w:t>
                  </w:r>
                </w:p>
              </w:tc>
              <w:tc>
                <w:tcPr>
                  <w:tcW w:w="1016" w:type="pct"/>
                  <w:vAlign w:val="center"/>
                </w:tcPr>
                <w:p w14:paraId="60163DC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15kg钢瓶</w:t>
                  </w:r>
                </w:p>
              </w:tc>
              <w:tc>
                <w:tcPr>
                  <w:tcW w:w="1119" w:type="pct"/>
                  <w:vAlign w:val="center"/>
                </w:tcPr>
                <w:p w14:paraId="2CC35CE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年工作300d</w:t>
                  </w:r>
                </w:p>
              </w:tc>
            </w:tr>
            <w:tr w14:paraId="1ED0E0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6" w:type="pct"/>
                  <w:vAlign w:val="center"/>
                </w:tcPr>
                <w:p w14:paraId="5F9A0E3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其他气体无缝钢瓶</w:t>
                  </w:r>
                </w:p>
              </w:tc>
              <w:tc>
                <w:tcPr>
                  <w:tcW w:w="986" w:type="pct"/>
                  <w:vAlign w:val="center"/>
                </w:tcPr>
                <w:p w14:paraId="35895E9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个（只）/年</w:t>
                  </w:r>
                </w:p>
              </w:tc>
              <w:tc>
                <w:tcPr>
                  <w:tcW w:w="889" w:type="pct"/>
                  <w:vAlign w:val="center"/>
                </w:tcPr>
                <w:p w14:paraId="062B9AD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10000只</w:t>
                  </w:r>
                </w:p>
              </w:tc>
              <w:tc>
                <w:tcPr>
                  <w:tcW w:w="1016" w:type="pct"/>
                  <w:vAlign w:val="center"/>
                </w:tcPr>
                <w:p w14:paraId="526AC19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40L钢瓶</w:t>
                  </w:r>
                </w:p>
              </w:tc>
              <w:tc>
                <w:tcPr>
                  <w:tcW w:w="1119" w:type="pct"/>
                  <w:vAlign w:val="center"/>
                </w:tcPr>
                <w:p w14:paraId="6C5B23A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年工作300d</w:t>
                  </w:r>
                </w:p>
              </w:tc>
            </w:tr>
          </w:tbl>
          <w:p w14:paraId="3D5570B5">
            <w:pPr>
              <w:keepNext w:val="0"/>
              <w:keepLines w:val="0"/>
              <w:pageBreakBefore w:val="0"/>
              <w:widowControl w:val="0"/>
              <w:kinsoku/>
              <w:wordWrap/>
              <w:overflowPunct/>
              <w:topLinePunct w:val="0"/>
              <w:autoSpaceDE/>
              <w:autoSpaceDN/>
              <w:bidi w:val="0"/>
              <w:adjustRightInd/>
              <w:snapToGrid/>
              <w:spacing w:before="313" w:beforeLines="100" w:line="360" w:lineRule="auto"/>
              <w:ind w:firstLine="482" w:firstLineChars="200"/>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5、原辅材料及能源消耗</w:t>
            </w:r>
          </w:p>
          <w:p w14:paraId="686E2618">
            <w:pPr>
              <w:pStyle w:val="10"/>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jc w:val="left"/>
              <w:textAlignment w:val="auto"/>
              <w:rPr>
                <w:rFonts w:hint="default" w:ascii="Times New Roman" w:hAnsi="Times New Roman" w:cs="Times New Roman"/>
                <w:b w:val="0"/>
                <w:bCs w:val="0"/>
                <w:color w:val="0000FF"/>
                <w:sz w:val="24"/>
                <w:szCs w:val="24"/>
                <w:highlight w:val="none"/>
                <w:lang w:val="en-US" w:eastAsia="zh-CN"/>
              </w:rPr>
            </w:pPr>
            <w:r>
              <w:rPr>
                <w:rFonts w:hint="default" w:ascii="Times New Roman" w:hAnsi="Times New Roman" w:cs="Times New Roman"/>
                <w:b w:val="0"/>
                <w:bCs w:val="0"/>
                <w:color w:val="0000FF"/>
                <w:sz w:val="24"/>
                <w:szCs w:val="24"/>
                <w:highlight w:val="none"/>
                <w:lang w:val="en-US" w:eastAsia="zh-CN"/>
              </w:rPr>
              <w:t>5.1 灌（充）装站原料消耗情况</w:t>
            </w:r>
          </w:p>
          <w:p w14:paraId="174954CD">
            <w:pPr>
              <w:pStyle w:val="10"/>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jc w:val="left"/>
              <w:textAlignment w:val="auto"/>
              <w:rPr>
                <w:rFonts w:hint="default" w:ascii="Times New Roman" w:hAnsi="Times New Roman" w:eastAsia="宋体" w:cs="Times New Roman"/>
                <w:b w:val="0"/>
                <w:bCs w:val="0"/>
                <w:color w:val="0000FF"/>
                <w:sz w:val="24"/>
                <w:szCs w:val="24"/>
                <w:highlight w:val="none"/>
                <w:lang w:val="en-US" w:eastAsia="zh-CN"/>
              </w:rPr>
            </w:pPr>
            <w:r>
              <w:rPr>
                <w:rFonts w:hint="default" w:ascii="Times New Roman" w:hAnsi="Times New Roman" w:eastAsia="宋体" w:cs="Times New Roman"/>
                <w:b w:val="0"/>
                <w:bCs w:val="0"/>
                <w:color w:val="0000FF"/>
                <w:sz w:val="24"/>
                <w:szCs w:val="24"/>
                <w:highlight w:val="none"/>
                <w:lang w:val="en-US" w:eastAsia="zh-CN"/>
              </w:rPr>
              <w:t>（1）</w:t>
            </w:r>
            <w:r>
              <w:rPr>
                <w:rFonts w:hint="default" w:ascii="Times New Roman" w:hAnsi="Times New Roman" w:cs="Times New Roman"/>
                <w:b w:val="0"/>
                <w:bCs w:val="0"/>
                <w:color w:val="0000FF"/>
                <w:sz w:val="24"/>
                <w:szCs w:val="24"/>
                <w:highlight w:val="none"/>
                <w:lang w:val="en-US" w:eastAsia="zh-CN"/>
              </w:rPr>
              <w:t>灌装、充装气体储存及灌（充）装量</w:t>
            </w:r>
          </w:p>
          <w:p w14:paraId="330ABA81">
            <w:pPr>
              <w:pStyle w:val="10"/>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jc w:val="left"/>
              <w:textAlignment w:val="auto"/>
              <w:rPr>
                <w:rFonts w:hint="default" w:ascii="Times New Roman" w:hAnsi="Times New Roman" w:eastAsia="宋体" w:cs="Times New Roman"/>
                <w:b/>
                <w:bCs/>
                <w:color w:val="0000FF"/>
                <w:kern w:val="0"/>
                <w:sz w:val="24"/>
                <w:szCs w:val="24"/>
                <w:lang w:val="en-US" w:eastAsia="zh-CN" w:bidi="ar"/>
              </w:rPr>
            </w:pPr>
            <w:r>
              <w:rPr>
                <w:rFonts w:hint="default" w:ascii="Times New Roman" w:hAnsi="Times New Roman" w:eastAsia="宋体" w:cs="Times New Roman"/>
                <w:b w:val="0"/>
                <w:bCs w:val="0"/>
                <w:color w:val="0000FF"/>
                <w:sz w:val="24"/>
                <w:szCs w:val="24"/>
                <w:highlight w:val="none"/>
                <w:lang w:val="en-US" w:eastAsia="zh-CN"/>
              </w:rPr>
              <w:t>项目主要充装气体为液化石油气、液态</w:t>
            </w:r>
            <w:r>
              <w:rPr>
                <w:rFonts w:hint="default" w:ascii="Times New Roman" w:hAnsi="Times New Roman" w:cs="Times New Roman"/>
                <w:b w:val="0"/>
                <w:bCs w:val="0"/>
                <w:color w:val="0000FF"/>
                <w:sz w:val="24"/>
                <w:szCs w:val="24"/>
                <w:highlight w:val="none"/>
                <w:lang w:val="en-US" w:eastAsia="zh-CN"/>
              </w:rPr>
              <w:t>改性</w:t>
            </w:r>
            <w:r>
              <w:rPr>
                <w:rFonts w:hint="default" w:ascii="Times New Roman" w:hAnsi="Times New Roman" w:eastAsia="宋体" w:cs="Times New Roman"/>
                <w:b w:val="0"/>
                <w:bCs w:val="0"/>
                <w:color w:val="0000FF"/>
                <w:sz w:val="24"/>
                <w:szCs w:val="24"/>
                <w:highlight w:val="none"/>
                <w:lang w:val="en-US" w:eastAsia="zh-CN"/>
              </w:rPr>
              <w:t>丙烷、工业液态氧气、</w:t>
            </w:r>
            <w:r>
              <w:rPr>
                <w:rFonts w:hint="default" w:ascii="Times New Roman" w:hAnsi="Times New Roman" w:cs="Times New Roman"/>
                <w:b w:val="0"/>
                <w:bCs w:val="0"/>
                <w:color w:val="0000FF"/>
                <w:sz w:val="24"/>
                <w:szCs w:val="24"/>
                <w:highlight w:val="none"/>
                <w:lang w:val="en-US" w:eastAsia="zh-CN"/>
              </w:rPr>
              <w:t>医用液态氧气、</w:t>
            </w:r>
            <w:r>
              <w:rPr>
                <w:rFonts w:hint="default" w:ascii="Times New Roman" w:hAnsi="Times New Roman" w:eastAsia="宋体" w:cs="Times New Roman"/>
                <w:b w:val="0"/>
                <w:bCs w:val="0"/>
                <w:color w:val="0000FF"/>
                <w:sz w:val="24"/>
                <w:szCs w:val="24"/>
                <w:highlight w:val="none"/>
                <w:lang w:val="en-US" w:eastAsia="zh-CN"/>
              </w:rPr>
              <w:t>工业液态氮气、工业液态氩气、工业液态二氧化碳气体。主要原料使用情况见下表。</w:t>
            </w:r>
          </w:p>
          <w:p w14:paraId="24A46016">
            <w:pPr>
              <w:pStyle w:val="10"/>
              <w:jc w:val="center"/>
              <w:rPr>
                <w:rFonts w:hint="default" w:ascii="Times New Roman" w:hAnsi="Times New Roman" w:cs="Times New Roman"/>
                <w:color w:val="0000FF"/>
                <w:sz w:val="15"/>
                <w:szCs w:val="16"/>
                <w:lang w:val="en-US" w:eastAsia="zh-CN"/>
              </w:rPr>
            </w:pPr>
            <w:r>
              <w:rPr>
                <w:rFonts w:hint="default" w:ascii="Times New Roman" w:hAnsi="Times New Roman" w:eastAsia="宋体" w:cs="Times New Roman"/>
                <w:b/>
                <w:bCs/>
                <w:color w:val="0000FF"/>
                <w:kern w:val="0"/>
                <w:sz w:val="21"/>
                <w:szCs w:val="21"/>
                <w:lang w:val="en-US" w:eastAsia="zh-CN" w:bidi="ar"/>
              </w:rPr>
              <w:t>表2</w:t>
            </w:r>
            <w:r>
              <w:rPr>
                <w:rFonts w:hint="default" w:ascii="Times New Roman" w:hAnsi="Times New Roman" w:cs="Times New Roman"/>
                <w:b/>
                <w:bCs/>
                <w:color w:val="0000FF"/>
                <w:kern w:val="0"/>
                <w:sz w:val="21"/>
                <w:szCs w:val="21"/>
                <w:lang w:val="en-US" w:eastAsia="zh-CN" w:bidi="ar"/>
              </w:rPr>
              <w:t>.5-1</w:t>
            </w:r>
            <w:r>
              <w:rPr>
                <w:rFonts w:hint="default" w:ascii="Times New Roman" w:hAnsi="Times New Roman" w:eastAsia="宋体" w:cs="Times New Roman"/>
                <w:b/>
                <w:bCs/>
                <w:color w:val="0000FF"/>
                <w:kern w:val="0"/>
                <w:sz w:val="21"/>
                <w:szCs w:val="21"/>
                <w:lang w:val="en-US" w:eastAsia="zh-CN" w:bidi="ar"/>
              </w:rPr>
              <w:t xml:space="preserve">   本项目</w:t>
            </w:r>
            <w:r>
              <w:rPr>
                <w:rFonts w:hint="default" w:ascii="Times New Roman" w:hAnsi="Times New Roman" w:cs="Times New Roman"/>
                <w:b/>
                <w:bCs/>
                <w:color w:val="0000FF"/>
                <w:kern w:val="0"/>
                <w:sz w:val="21"/>
                <w:szCs w:val="21"/>
                <w:lang w:val="en-US" w:eastAsia="zh-CN" w:bidi="ar"/>
              </w:rPr>
              <w:t>原辅材料</w:t>
            </w:r>
            <w:r>
              <w:rPr>
                <w:rFonts w:hint="default" w:ascii="Times New Roman" w:hAnsi="Times New Roman" w:eastAsia="宋体" w:cs="Times New Roman"/>
                <w:b/>
                <w:bCs/>
                <w:color w:val="0000FF"/>
                <w:kern w:val="0"/>
                <w:sz w:val="21"/>
                <w:szCs w:val="21"/>
                <w:lang w:val="en-US" w:eastAsia="zh-CN" w:bidi="ar"/>
              </w:rPr>
              <w:t>一览表</w:t>
            </w:r>
          </w:p>
          <w:tbl>
            <w:tblPr>
              <w:tblStyle w:val="32"/>
              <w:tblW w:w="0" w:type="auto"/>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68"/>
              <w:gridCol w:w="928"/>
              <w:gridCol w:w="925"/>
              <w:gridCol w:w="834"/>
              <w:gridCol w:w="899"/>
              <w:gridCol w:w="864"/>
              <w:gridCol w:w="854"/>
              <w:gridCol w:w="2110"/>
            </w:tblGrid>
            <w:tr w14:paraId="155B4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80" w:hRule="atLeast"/>
              </w:trPr>
              <w:tc>
                <w:tcPr>
                  <w:tcW w:w="568" w:type="dxa"/>
                  <w:shd w:val="clear" w:color="auto" w:fill="auto"/>
                  <w:noWrap/>
                  <w:vAlign w:val="center"/>
                </w:tcPr>
                <w:p w14:paraId="2813E69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序号</w:t>
                  </w:r>
                </w:p>
              </w:tc>
              <w:tc>
                <w:tcPr>
                  <w:tcW w:w="928" w:type="dxa"/>
                  <w:shd w:val="clear" w:color="auto" w:fill="auto"/>
                  <w:vAlign w:val="center"/>
                </w:tcPr>
                <w:p w14:paraId="2EE75A15">
                  <w:pPr>
                    <w:pStyle w:val="40"/>
                    <w:bidi w:val="0"/>
                    <w:rPr>
                      <w:rFonts w:hint="default" w:ascii="Times New Roman" w:hAnsi="Times New Roman" w:cs="Times New Roman"/>
                      <w:color w:val="0000FF"/>
                      <w:lang w:val="en-US" w:eastAsia="zh-CN"/>
                    </w:rPr>
                  </w:pPr>
                  <w:r>
                    <w:rPr>
                      <w:rFonts w:hint="eastAsia" w:cs="Times New Roman"/>
                      <w:color w:val="0000FF"/>
                      <w:lang w:val="en-US" w:eastAsia="zh-CN"/>
                    </w:rPr>
                    <w:t>生产线</w:t>
                  </w:r>
                </w:p>
              </w:tc>
              <w:tc>
                <w:tcPr>
                  <w:tcW w:w="969" w:type="dxa"/>
                  <w:shd w:val="clear" w:color="auto" w:fill="auto"/>
                  <w:vAlign w:val="center"/>
                </w:tcPr>
                <w:p w14:paraId="6C6AC9E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名称</w:t>
                  </w:r>
                </w:p>
              </w:tc>
              <w:tc>
                <w:tcPr>
                  <w:tcW w:w="839" w:type="dxa"/>
                  <w:shd w:val="clear" w:color="auto" w:fill="auto"/>
                  <w:vAlign w:val="center"/>
                </w:tcPr>
                <w:p w14:paraId="074A927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年用量（t/a）</w:t>
                  </w:r>
                </w:p>
              </w:tc>
              <w:tc>
                <w:tcPr>
                  <w:tcW w:w="753" w:type="dxa"/>
                  <w:shd w:val="clear" w:color="auto" w:fill="auto"/>
                  <w:vAlign w:val="center"/>
                </w:tcPr>
                <w:p w14:paraId="205D704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最大储存量(t)</w:t>
                  </w:r>
                </w:p>
              </w:tc>
              <w:tc>
                <w:tcPr>
                  <w:tcW w:w="880" w:type="dxa"/>
                  <w:shd w:val="clear" w:color="auto" w:fill="auto"/>
                  <w:vAlign w:val="center"/>
                </w:tcPr>
                <w:p w14:paraId="1C6250E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储存</w:t>
                  </w:r>
                </w:p>
                <w:p w14:paraId="5EE1CA8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方式</w:t>
                  </w:r>
                </w:p>
              </w:tc>
              <w:tc>
                <w:tcPr>
                  <w:tcW w:w="883" w:type="dxa"/>
                  <w:shd w:val="clear" w:color="auto" w:fill="auto"/>
                  <w:vAlign w:val="center"/>
                </w:tcPr>
                <w:p w14:paraId="527A18E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来源</w:t>
                  </w:r>
                </w:p>
              </w:tc>
              <w:tc>
                <w:tcPr>
                  <w:tcW w:w="2110" w:type="dxa"/>
                  <w:shd w:val="clear" w:color="auto" w:fill="auto"/>
                  <w:noWrap/>
                  <w:vAlign w:val="center"/>
                </w:tcPr>
                <w:p w14:paraId="0616BF5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备注</w:t>
                  </w:r>
                </w:p>
              </w:tc>
            </w:tr>
            <w:tr w14:paraId="6D2FD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68" w:type="dxa"/>
                  <w:shd w:val="clear" w:color="auto" w:fill="auto"/>
                  <w:noWrap/>
                  <w:vAlign w:val="center"/>
                </w:tcPr>
                <w:p w14:paraId="4D313685">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1</w:t>
                  </w:r>
                </w:p>
              </w:tc>
              <w:tc>
                <w:tcPr>
                  <w:tcW w:w="928" w:type="dxa"/>
                  <w:vMerge w:val="restart"/>
                  <w:shd w:val="clear" w:color="auto" w:fill="auto"/>
                  <w:vAlign w:val="center"/>
                </w:tcPr>
                <w:p w14:paraId="28A028BE">
                  <w:pPr>
                    <w:pStyle w:val="40"/>
                    <w:bidi w:val="0"/>
                    <w:rPr>
                      <w:rFonts w:hint="default" w:cs="Times New Roman"/>
                      <w:color w:val="0000FF"/>
                      <w:lang w:val="en-US" w:eastAsia="zh-CN"/>
                    </w:rPr>
                  </w:pPr>
                  <w:r>
                    <w:rPr>
                      <w:rFonts w:hint="default" w:cs="Times New Roman"/>
                      <w:color w:val="0000FF"/>
                      <w:lang w:val="en-US" w:eastAsia="zh-CN"/>
                    </w:rPr>
                    <w:t>工业用气灌装/充装区</w:t>
                  </w:r>
                </w:p>
              </w:tc>
              <w:tc>
                <w:tcPr>
                  <w:tcW w:w="969" w:type="dxa"/>
                  <w:shd w:val="clear" w:color="auto" w:fill="auto"/>
                  <w:vAlign w:val="center"/>
                </w:tcPr>
                <w:p w14:paraId="06F40A6A">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液态丙烷</w:t>
                  </w:r>
                </w:p>
              </w:tc>
              <w:tc>
                <w:tcPr>
                  <w:tcW w:w="839" w:type="dxa"/>
                  <w:shd w:val="clear" w:color="auto" w:fill="auto"/>
                  <w:vAlign w:val="center"/>
                </w:tcPr>
                <w:p w14:paraId="51461D9B">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3283.5</w:t>
                  </w:r>
                </w:p>
              </w:tc>
              <w:tc>
                <w:tcPr>
                  <w:tcW w:w="753" w:type="dxa"/>
                  <w:shd w:val="clear" w:color="auto" w:fill="auto"/>
                  <w:vAlign w:val="center"/>
                </w:tcPr>
                <w:p w14:paraId="7B617DED">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40.56</w:t>
                  </w:r>
                </w:p>
              </w:tc>
              <w:tc>
                <w:tcPr>
                  <w:tcW w:w="880" w:type="dxa"/>
                  <w:shd w:val="clear" w:color="auto" w:fill="auto"/>
                  <w:vAlign w:val="center"/>
                </w:tcPr>
                <w:p w14:paraId="5DFA4F1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地下</w:t>
                  </w:r>
                </w:p>
                <w:p w14:paraId="74C12777">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卧式</w:t>
                  </w:r>
                </w:p>
                <w:p w14:paraId="3C56BE55">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储罐</w:t>
                  </w:r>
                </w:p>
              </w:tc>
              <w:tc>
                <w:tcPr>
                  <w:tcW w:w="883" w:type="dxa"/>
                  <w:shd w:val="clear" w:color="auto" w:fill="auto"/>
                  <w:vAlign w:val="center"/>
                </w:tcPr>
                <w:p w14:paraId="38055BA5">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外购，罐车运输</w:t>
                  </w:r>
                </w:p>
              </w:tc>
              <w:tc>
                <w:tcPr>
                  <w:tcW w:w="2110" w:type="dxa"/>
                  <w:shd w:val="clear" w:color="auto" w:fill="auto"/>
                  <w:noWrap/>
                  <w:vAlign w:val="center"/>
                </w:tcPr>
                <w:p w14:paraId="254D75BF">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液化工业丙烷密度507kg/m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，最大储存量以罐体容积80%计。</w:t>
                  </w:r>
                </w:p>
              </w:tc>
            </w:tr>
            <w:tr w14:paraId="6DA44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68" w:type="dxa"/>
                  <w:shd w:val="clear" w:color="auto" w:fill="auto"/>
                  <w:noWrap/>
                  <w:vAlign w:val="center"/>
                </w:tcPr>
                <w:p w14:paraId="56688771">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2</w:t>
                  </w:r>
                </w:p>
              </w:tc>
              <w:tc>
                <w:tcPr>
                  <w:tcW w:w="928" w:type="dxa"/>
                  <w:vMerge w:val="continue"/>
                  <w:shd w:val="clear" w:color="auto" w:fill="auto"/>
                  <w:vAlign w:val="center"/>
                </w:tcPr>
                <w:p w14:paraId="4AFDDEA3">
                  <w:pPr>
                    <w:pStyle w:val="40"/>
                    <w:bidi w:val="0"/>
                    <w:rPr>
                      <w:rFonts w:hint="eastAsia" w:cs="Times New Roman"/>
                      <w:color w:val="0000FF"/>
                      <w:lang w:val="en-US" w:eastAsia="zh-CN"/>
                    </w:rPr>
                  </w:pPr>
                </w:p>
              </w:tc>
              <w:tc>
                <w:tcPr>
                  <w:tcW w:w="969" w:type="dxa"/>
                  <w:shd w:val="clear" w:color="auto" w:fill="auto"/>
                  <w:vAlign w:val="center"/>
                </w:tcPr>
                <w:p w14:paraId="7687BE4D">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丙烷增效剂</w:t>
                  </w:r>
                </w:p>
              </w:tc>
              <w:tc>
                <w:tcPr>
                  <w:tcW w:w="839" w:type="dxa"/>
                  <w:shd w:val="clear" w:color="auto" w:fill="auto"/>
                  <w:vAlign w:val="center"/>
                </w:tcPr>
                <w:p w14:paraId="022848AF">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16.5</w:t>
                  </w:r>
                </w:p>
              </w:tc>
              <w:tc>
                <w:tcPr>
                  <w:tcW w:w="753" w:type="dxa"/>
                  <w:shd w:val="clear" w:color="auto" w:fill="auto"/>
                  <w:vAlign w:val="center"/>
                </w:tcPr>
                <w:p w14:paraId="2E1191E9">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0.125</w:t>
                  </w:r>
                </w:p>
              </w:tc>
              <w:tc>
                <w:tcPr>
                  <w:tcW w:w="880" w:type="dxa"/>
                  <w:shd w:val="clear" w:color="auto" w:fill="auto"/>
                  <w:vAlign w:val="center"/>
                </w:tcPr>
                <w:p w14:paraId="733A822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125kg</w:t>
                  </w:r>
                </w:p>
                <w:p w14:paraId="0995F3A4">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桶装</w:t>
                  </w:r>
                </w:p>
              </w:tc>
              <w:tc>
                <w:tcPr>
                  <w:tcW w:w="883" w:type="dxa"/>
                  <w:shd w:val="clear" w:color="auto" w:fill="auto"/>
                  <w:vAlign w:val="center"/>
                </w:tcPr>
                <w:p w14:paraId="08E8BB97">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外购</w:t>
                  </w:r>
                </w:p>
              </w:tc>
              <w:tc>
                <w:tcPr>
                  <w:tcW w:w="2110" w:type="dxa"/>
                  <w:shd w:val="clear" w:color="auto" w:fill="auto"/>
                  <w:noWrap/>
                  <w:vAlign w:val="center"/>
                </w:tcPr>
                <w:p w14:paraId="7C85871E">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丙烷气体增效剂，添加比例为5‰（重量）</w:t>
                  </w:r>
                </w:p>
              </w:tc>
            </w:tr>
            <w:tr w14:paraId="45155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68" w:type="dxa"/>
                  <w:shd w:val="clear" w:color="auto" w:fill="auto"/>
                  <w:noWrap/>
                  <w:vAlign w:val="center"/>
                </w:tcPr>
                <w:p w14:paraId="2D7AB6E9">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3</w:t>
                  </w:r>
                </w:p>
              </w:tc>
              <w:tc>
                <w:tcPr>
                  <w:tcW w:w="928" w:type="dxa"/>
                  <w:vMerge w:val="restart"/>
                  <w:shd w:val="clear" w:color="auto" w:fill="auto"/>
                  <w:vAlign w:val="center"/>
                </w:tcPr>
                <w:p w14:paraId="6096ECE6">
                  <w:pPr>
                    <w:pStyle w:val="40"/>
                    <w:bidi w:val="0"/>
                    <w:rPr>
                      <w:rFonts w:hint="eastAsia" w:cs="Times New Roman"/>
                      <w:color w:val="0000FF"/>
                      <w:lang w:val="en-US" w:eastAsia="zh-CN"/>
                    </w:rPr>
                  </w:pPr>
                  <w:r>
                    <w:rPr>
                      <w:rFonts w:hint="default" w:cs="Times New Roman"/>
                      <w:color w:val="0000FF"/>
                      <w:lang w:val="en-US" w:eastAsia="zh-CN"/>
                    </w:rPr>
                    <w:t>其他工业气体充装区</w:t>
                  </w:r>
                </w:p>
              </w:tc>
              <w:tc>
                <w:tcPr>
                  <w:tcW w:w="969" w:type="dxa"/>
                  <w:shd w:val="clear" w:color="auto" w:fill="auto"/>
                  <w:vAlign w:val="center"/>
                </w:tcPr>
                <w:p w14:paraId="7190B869">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液态</w:t>
                  </w:r>
                  <w:r>
                    <w:rPr>
                      <w:rFonts w:hint="default" w:ascii="Times New Roman" w:hAnsi="Times New Roman" w:cs="Times New Roman"/>
                      <w:color w:val="0000FF"/>
                      <w:lang w:val="en-US" w:eastAsia="zh-CN"/>
                    </w:rPr>
                    <w:t>工业氧气</w:t>
                  </w:r>
                </w:p>
              </w:tc>
              <w:tc>
                <w:tcPr>
                  <w:tcW w:w="839" w:type="dxa"/>
                  <w:shd w:val="clear" w:color="auto" w:fill="auto"/>
                  <w:vAlign w:val="center"/>
                </w:tcPr>
                <w:p w14:paraId="3978C450">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9365.4</w:t>
                  </w:r>
                </w:p>
              </w:tc>
              <w:tc>
                <w:tcPr>
                  <w:tcW w:w="753" w:type="dxa"/>
                  <w:shd w:val="clear" w:color="auto" w:fill="auto"/>
                  <w:vAlign w:val="center"/>
                </w:tcPr>
                <w:p w14:paraId="6B2AED68">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56.76</w:t>
                  </w:r>
                </w:p>
              </w:tc>
              <w:tc>
                <w:tcPr>
                  <w:tcW w:w="880" w:type="dxa"/>
                  <w:shd w:val="clear" w:color="auto" w:fill="auto"/>
                  <w:vAlign w:val="center"/>
                </w:tcPr>
                <w:p w14:paraId="1FCE352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地上</w:t>
                  </w:r>
                </w:p>
                <w:p w14:paraId="4BE2015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立式</w:t>
                  </w:r>
                </w:p>
                <w:p w14:paraId="38C6153D">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储罐</w:t>
                  </w:r>
                </w:p>
              </w:tc>
              <w:tc>
                <w:tcPr>
                  <w:tcW w:w="883" w:type="dxa"/>
                  <w:shd w:val="clear" w:color="auto" w:fill="auto"/>
                  <w:vAlign w:val="center"/>
                </w:tcPr>
                <w:p w14:paraId="6DA27198">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外购，罐车运输</w:t>
                  </w:r>
                </w:p>
              </w:tc>
              <w:tc>
                <w:tcPr>
                  <w:tcW w:w="2110" w:type="dxa"/>
                  <w:shd w:val="clear" w:color="auto" w:fill="auto"/>
                  <w:noWrap/>
                  <w:vAlign w:val="center"/>
                </w:tcPr>
                <w:p w14:paraId="39F2C20D">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液氧密度1419kg/m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，最大储存量以罐体容积80%计。</w:t>
                  </w:r>
                </w:p>
              </w:tc>
            </w:tr>
            <w:tr w14:paraId="4097C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68" w:type="dxa"/>
                  <w:shd w:val="clear" w:color="auto" w:fill="auto"/>
                  <w:noWrap/>
                  <w:vAlign w:val="center"/>
                </w:tcPr>
                <w:p w14:paraId="4A9F0234">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4</w:t>
                  </w:r>
                </w:p>
              </w:tc>
              <w:tc>
                <w:tcPr>
                  <w:tcW w:w="928" w:type="dxa"/>
                  <w:vMerge w:val="continue"/>
                  <w:shd w:val="clear" w:color="auto" w:fill="auto"/>
                  <w:vAlign w:val="center"/>
                </w:tcPr>
                <w:p w14:paraId="452E8260">
                  <w:pPr>
                    <w:pStyle w:val="40"/>
                    <w:bidi w:val="0"/>
                    <w:rPr>
                      <w:rFonts w:hint="eastAsia" w:cs="Times New Roman"/>
                      <w:color w:val="0000FF"/>
                      <w:lang w:val="en-US" w:eastAsia="zh-CN"/>
                    </w:rPr>
                  </w:pPr>
                </w:p>
              </w:tc>
              <w:tc>
                <w:tcPr>
                  <w:tcW w:w="969" w:type="dxa"/>
                  <w:shd w:val="clear" w:color="auto" w:fill="auto"/>
                  <w:vAlign w:val="center"/>
                </w:tcPr>
                <w:p w14:paraId="7A8E849C">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液态</w:t>
                  </w:r>
                  <w:r>
                    <w:rPr>
                      <w:rFonts w:hint="default" w:ascii="Times New Roman" w:hAnsi="Times New Roman" w:cs="Times New Roman"/>
                      <w:color w:val="0000FF"/>
                      <w:lang w:val="en-US" w:eastAsia="zh-CN"/>
                    </w:rPr>
                    <w:t>氮气</w:t>
                  </w:r>
                </w:p>
              </w:tc>
              <w:tc>
                <w:tcPr>
                  <w:tcW w:w="839" w:type="dxa"/>
                  <w:shd w:val="clear" w:color="auto" w:fill="auto"/>
                  <w:vAlign w:val="center"/>
                </w:tcPr>
                <w:p w14:paraId="04310E7A">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5332.8</w:t>
                  </w:r>
                </w:p>
              </w:tc>
              <w:tc>
                <w:tcPr>
                  <w:tcW w:w="753" w:type="dxa"/>
                  <w:shd w:val="clear" w:color="auto" w:fill="auto"/>
                  <w:vAlign w:val="center"/>
                </w:tcPr>
                <w:p w14:paraId="0D657CAE">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32.32</w:t>
                  </w:r>
                </w:p>
              </w:tc>
              <w:tc>
                <w:tcPr>
                  <w:tcW w:w="880" w:type="dxa"/>
                  <w:shd w:val="clear" w:color="auto" w:fill="auto"/>
                  <w:vAlign w:val="center"/>
                </w:tcPr>
                <w:p w14:paraId="736B085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地上</w:t>
                  </w:r>
                </w:p>
                <w:p w14:paraId="6612B41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立式</w:t>
                  </w:r>
                </w:p>
                <w:p w14:paraId="38202E5E">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储罐</w:t>
                  </w:r>
                </w:p>
              </w:tc>
              <w:tc>
                <w:tcPr>
                  <w:tcW w:w="883" w:type="dxa"/>
                  <w:shd w:val="clear" w:color="auto" w:fill="auto"/>
                  <w:vAlign w:val="center"/>
                </w:tcPr>
                <w:p w14:paraId="7EABC3AD">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外购，罐车运输</w:t>
                  </w:r>
                </w:p>
              </w:tc>
              <w:tc>
                <w:tcPr>
                  <w:tcW w:w="2110" w:type="dxa"/>
                  <w:shd w:val="clear" w:color="auto" w:fill="auto"/>
                  <w:noWrap/>
                  <w:vAlign w:val="center"/>
                </w:tcPr>
                <w:p w14:paraId="6E4E6F6E">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液氮密度808kg/m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，最大储存量以罐体容积 80%计。</w:t>
                  </w:r>
                </w:p>
              </w:tc>
            </w:tr>
            <w:tr w14:paraId="7835E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68" w:type="dxa"/>
                  <w:shd w:val="clear" w:color="auto" w:fill="auto"/>
                  <w:noWrap/>
                  <w:vAlign w:val="center"/>
                </w:tcPr>
                <w:p w14:paraId="042BED30">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5</w:t>
                  </w:r>
                </w:p>
              </w:tc>
              <w:tc>
                <w:tcPr>
                  <w:tcW w:w="928" w:type="dxa"/>
                  <w:vMerge w:val="continue"/>
                  <w:shd w:val="clear" w:color="auto" w:fill="auto"/>
                  <w:vAlign w:val="center"/>
                </w:tcPr>
                <w:p w14:paraId="5EF4BF26">
                  <w:pPr>
                    <w:pStyle w:val="40"/>
                    <w:bidi w:val="0"/>
                    <w:rPr>
                      <w:rFonts w:hint="eastAsia" w:cs="Times New Roman"/>
                      <w:color w:val="0000FF"/>
                      <w:lang w:val="en-US" w:eastAsia="zh-CN"/>
                    </w:rPr>
                  </w:pPr>
                </w:p>
              </w:tc>
              <w:tc>
                <w:tcPr>
                  <w:tcW w:w="969" w:type="dxa"/>
                  <w:shd w:val="clear" w:color="auto" w:fill="auto"/>
                  <w:vAlign w:val="center"/>
                </w:tcPr>
                <w:p w14:paraId="7F3485DE">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液态</w:t>
                  </w:r>
                  <w:r>
                    <w:rPr>
                      <w:rFonts w:hint="default" w:ascii="Times New Roman" w:hAnsi="Times New Roman" w:cs="Times New Roman"/>
                      <w:color w:val="0000FF"/>
                      <w:lang w:val="en-US" w:eastAsia="zh-CN"/>
                    </w:rPr>
                    <w:t>氩气</w:t>
                  </w:r>
                </w:p>
              </w:tc>
              <w:tc>
                <w:tcPr>
                  <w:tcW w:w="839" w:type="dxa"/>
                  <w:shd w:val="clear" w:color="auto" w:fill="auto"/>
                  <w:vAlign w:val="center"/>
                </w:tcPr>
                <w:p w14:paraId="0CFF2495">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9207</w:t>
                  </w:r>
                </w:p>
              </w:tc>
              <w:tc>
                <w:tcPr>
                  <w:tcW w:w="753" w:type="dxa"/>
                  <w:shd w:val="clear" w:color="auto" w:fill="auto"/>
                  <w:vAlign w:val="center"/>
                </w:tcPr>
                <w:p w14:paraId="193E34E7">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55.80</w:t>
                  </w:r>
                </w:p>
              </w:tc>
              <w:tc>
                <w:tcPr>
                  <w:tcW w:w="880" w:type="dxa"/>
                  <w:shd w:val="clear" w:color="auto" w:fill="auto"/>
                  <w:vAlign w:val="center"/>
                </w:tcPr>
                <w:p w14:paraId="7F5E4D7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地上</w:t>
                  </w:r>
                </w:p>
                <w:p w14:paraId="189F5AF0">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立式</w:t>
                  </w:r>
                </w:p>
                <w:p w14:paraId="73B19BFE">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储罐</w:t>
                  </w:r>
                </w:p>
              </w:tc>
              <w:tc>
                <w:tcPr>
                  <w:tcW w:w="883" w:type="dxa"/>
                  <w:shd w:val="clear" w:color="auto" w:fill="auto"/>
                  <w:vAlign w:val="center"/>
                </w:tcPr>
                <w:p w14:paraId="723E3319">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外购，罐车运输</w:t>
                  </w:r>
                </w:p>
              </w:tc>
              <w:tc>
                <w:tcPr>
                  <w:tcW w:w="2110" w:type="dxa"/>
                  <w:shd w:val="clear" w:color="auto" w:fill="auto"/>
                  <w:noWrap/>
                  <w:vAlign w:val="center"/>
                </w:tcPr>
                <w:p w14:paraId="0DBBF780">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液氩密度1395kg/m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，最大储存量以罐体容积80%计。</w:t>
                  </w:r>
                </w:p>
              </w:tc>
            </w:tr>
            <w:tr w14:paraId="6CFD1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68" w:type="dxa"/>
                  <w:shd w:val="clear" w:color="auto" w:fill="auto"/>
                  <w:noWrap/>
                  <w:vAlign w:val="center"/>
                </w:tcPr>
                <w:p w14:paraId="2D6EFC4A">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6</w:t>
                  </w:r>
                </w:p>
              </w:tc>
              <w:tc>
                <w:tcPr>
                  <w:tcW w:w="928" w:type="dxa"/>
                  <w:vMerge w:val="continue"/>
                  <w:shd w:val="clear" w:color="auto" w:fill="auto"/>
                  <w:vAlign w:val="center"/>
                </w:tcPr>
                <w:p w14:paraId="0075448F">
                  <w:pPr>
                    <w:pStyle w:val="40"/>
                    <w:bidi w:val="0"/>
                    <w:rPr>
                      <w:rFonts w:hint="eastAsia" w:cs="Times New Roman"/>
                      <w:color w:val="0000FF"/>
                      <w:lang w:val="en-US" w:eastAsia="zh-CN"/>
                    </w:rPr>
                  </w:pPr>
                </w:p>
              </w:tc>
              <w:tc>
                <w:tcPr>
                  <w:tcW w:w="969" w:type="dxa"/>
                  <w:shd w:val="clear" w:color="auto" w:fill="auto"/>
                  <w:vAlign w:val="center"/>
                </w:tcPr>
                <w:p w14:paraId="522C9531">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液态</w:t>
                  </w:r>
                  <w:r>
                    <w:rPr>
                      <w:rFonts w:hint="default" w:ascii="Times New Roman" w:hAnsi="Times New Roman" w:cs="Times New Roman"/>
                      <w:color w:val="0000FF"/>
                      <w:lang w:val="en-US" w:eastAsia="zh-CN"/>
                    </w:rPr>
                    <w:t>二氧化碳气</w:t>
                  </w:r>
                </w:p>
              </w:tc>
              <w:tc>
                <w:tcPr>
                  <w:tcW w:w="839" w:type="dxa"/>
                  <w:shd w:val="clear" w:color="auto" w:fill="auto"/>
                  <w:vAlign w:val="center"/>
                </w:tcPr>
                <w:p w14:paraId="434DA584">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5082</w:t>
                  </w:r>
                </w:p>
              </w:tc>
              <w:tc>
                <w:tcPr>
                  <w:tcW w:w="753" w:type="dxa"/>
                  <w:shd w:val="clear" w:color="auto" w:fill="auto"/>
                  <w:vAlign w:val="center"/>
                </w:tcPr>
                <w:p w14:paraId="29BA9262">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30.80</w:t>
                  </w:r>
                </w:p>
              </w:tc>
              <w:tc>
                <w:tcPr>
                  <w:tcW w:w="880" w:type="dxa"/>
                  <w:shd w:val="clear" w:color="auto" w:fill="auto"/>
                  <w:vAlign w:val="center"/>
                </w:tcPr>
                <w:p w14:paraId="2E3A655A">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地上</w:t>
                  </w:r>
                </w:p>
                <w:p w14:paraId="6F83CC8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立式</w:t>
                  </w:r>
                </w:p>
                <w:p w14:paraId="5E7F0656">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储罐</w:t>
                  </w:r>
                </w:p>
              </w:tc>
              <w:tc>
                <w:tcPr>
                  <w:tcW w:w="883" w:type="dxa"/>
                  <w:shd w:val="clear" w:color="auto" w:fill="auto"/>
                  <w:vAlign w:val="center"/>
                </w:tcPr>
                <w:p w14:paraId="3B049489">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外购，罐车运输</w:t>
                  </w:r>
                </w:p>
              </w:tc>
              <w:tc>
                <w:tcPr>
                  <w:tcW w:w="2110" w:type="dxa"/>
                  <w:shd w:val="clear" w:color="auto" w:fill="auto"/>
                  <w:noWrap/>
                  <w:vAlign w:val="center"/>
                </w:tcPr>
                <w:p w14:paraId="4BFADAE8">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液体二氧化碳密度770kg/m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，最大储存</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量以罐体容积80%计。</w:t>
                  </w:r>
                </w:p>
              </w:tc>
            </w:tr>
            <w:tr w14:paraId="0F698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68" w:type="dxa"/>
                  <w:shd w:val="clear" w:color="auto" w:fill="auto"/>
                  <w:noWrap/>
                  <w:vAlign w:val="center"/>
                </w:tcPr>
                <w:p w14:paraId="1FF54184">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7</w:t>
                  </w:r>
                </w:p>
              </w:tc>
              <w:tc>
                <w:tcPr>
                  <w:tcW w:w="928" w:type="dxa"/>
                  <w:vMerge w:val="restart"/>
                  <w:shd w:val="clear" w:color="auto" w:fill="auto"/>
                  <w:vAlign w:val="center"/>
                </w:tcPr>
                <w:p w14:paraId="0BABBC44">
                  <w:pPr>
                    <w:pStyle w:val="40"/>
                    <w:bidi w:val="0"/>
                    <w:rPr>
                      <w:rFonts w:hint="eastAsia" w:cs="Times New Roman"/>
                      <w:color w:val="0000FF"/>
                      <w:lang w:val="en-US" w:eastAsia="zh-CN"/>
                    </w:rPr>
                  </w:pPr>
                  <w:r>
                    <w:rPr>
                      <w:rFonts w:hint="eastAsia" w:cs="Times New Roman"/>
                      <w:color w:val="0000FF"/>
                      <w:lang w:val="en-US" w:eastAsia="zh-CN"/>
                    </w:rPr>
                    <w:t>医用氧气充装区</w:t>
                  </w:r>
                </w:p>
              </w:tc>
              <w:tc>
                <w:tcPr>
                  <w:tcW w:w="969" w:type="dxa"/>
                  <w:shd w:val="clear" w:color="auto" w:fill="auto"/>
                  <w:vAlign w:val="center"/>
                </w:tcPr>
                <w:p w14:paraId="44F14608">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液态</w:t>
                  </w:r>
                  <w:r>
                    <w:rPr>
                      <w:rFonts w:hint="default" w:ascii="Times New Roman" w:hAnsi="Times New Roman" w:cs="Times New Roman"/>
                      <w:color w:val="0000FF"/>
                      <w:lang w:val="en-US" w:eastAsia="zh-CN"/>
                    </w:rPr>
                    <w:t>医用氧气</w:t>
                  </w:r>
                </w:p>
              </w:tc>
              <w:tc>
                <w:tcPr>
                  <w:tcW w:w="839" w:type="dxa"/>
                  <w:shd w:val="clear" w:color="auto" w:fill="auto"/>
                  <w:vAlign w:val="center"/>
                </w:tcPr>
                <w:p w14:paraId="565FDBBF">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9365.4</w:t>
                  </w:r>
                </w:p>
              </w:tc>
              <w:tc>
                <w:tcPr>
                  <w:tcW w:w="753" w:type="dxa"/>
                  <w:shd w:val="clear" w:color="auto" w:fill="auto"/>
                  <w:vAlign w:val="center"/>
                </w:tcPr>
                <w:p w14:paraId="19B5CD1D">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56.76</w:t>
                  </w:r>
                </w:p>
              </w:tc>
              <w:tc>
                <w:tcPr>
                  <w:tcW w:w="880" w:type="dxa"/>
                  <w:shd w:val="clear" w:color="auto" w:fill="auto"/>
                  <w:vAlign w:val="center"/>
                </w:tcPr>
                <w:p w14:paraId="751D2092">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地上</w:t>
                  </w:r>
                </w:p>
                <w:p w14:paraId="28C4D8FA">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立式</w:t>
                  </w:r>
                </w:p>
                <w:p w14:paraId="384E3972">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储罐</w:t>
                  </w:r>
                </w:p>
              </w:tc>
              <w:tc>
                <w:tcPr>
                  <w:tcW w:w="883" w:type="dxa"/>
                  <w:shd w:val="clear" w:color="auto" w:fill="auto"/>
                  <w:vAlign w:val="center"/>
                </w:tcPr>
                <w:p w14:paraId="169E2074">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外购，罐车运输</w:t>
                  </w:r>
                </w:p>
              </w:tc>
              <w:tc>
                <w:tcPr>
                  <w:tcW w:w="2110" w:type="dxa"/>
                  <w:shd w:val="clear" w:color="auto" w:fill="auto"/>
                  <w:noWrap/>
                  <w:vAlign w:val="center"/>
                </w:tcPr>
                <w:p w14:paraId="5A4476A6">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液氧密度1419kg/m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，最大储存量以罐体容积80%计。</w:t>
                  </w:r>
                </w:p>
              </w:tc>
            </w:tr>
            <w:tr w14:paraId="047C8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568" w:type="dxa"/>
                  <w:shd w:val="clear" w:color="auto" w:fill="auto"/>
                  <w:noWrap/>
                  <w:vAlign w:val="center"/>
                </w:tcPr>
                <w:p w14:paraId="5D55E6C4">
                  <w:pPr>
                    <w:pStyle w:val="40"/>
                    <w:bidi w:val="0"/>
                    <w:rPr>
                      <w:rFonts w:hint="default" w:ascii="Times New Roman" w:hAnsi="Times New Roman" w:cs="Times New Roman"/>
                      <w:color w:val="0000FF"/>
                      <w:lang w:val="en-US" w:eastAsia="zh-CN"/>
                    </w:rPr>
                  </w:pPr>
                  <w:r>
                    <w:rPr>
                      <w:rFonts w:hint="eastAsia" w:cs="Times New Roman"/>
                      <w:color w:val="0000FF"/>
                      <w:lang w:val="en-US" w:eastAsia="zh-CN"/>
                    </w:rPr>
                    <w:t>8</w:t>
                  </w:r>
                </w:p>
              </w:tc>
              <w:tc>
                <w:tcPr>
                  <w:tcW w:w="928" w:type="dxa"/>
                  <w:vMerge w:val="continue"/>
                  <w:shd w:val="clear" w:color="auto" w:fill="auto"/>
                  <w:vAlign w:val="center"/>
                </w:tcPr>
                <w:p w14:paraId="7B9D9B61">
                  <w:pPr>
                    <w:pStyle w:val="40"/>
                    <w:bidi w:val="0"/>
                    <w:rPr>
                      <w:rFonts w:hint="eastAsia" w:cs="Times New Roman"/>
                      <w:color w:val="0000FF"/>
                      <w:lang w:val="en-US" w:eastAsia="zh-CN"/>
                    </w:rPr>
                  </w:pPr>
                </w:p>
              </w:tc>
              <w:tc>
                <w:tcPr>
                  <w:tcW w:w="969" w:type="dxa"/>
                  <w:shd w:val="clear" w:color="auto" w:fill="auto"/>
                  <w:vAlign w:val="center"/>
                </w:tcPr>
                <w:p w14:paraId="2BA4DDFA">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酒精95%</w:t>
                  </w:r>
                </w:p>
              </w:tc>
              <w:tc>
                <w:tcPr>
                  <w:tcW w:w="839" w:type="dxa"/>
                  <w:shd w:val="clear" w:color="auto" w:fill="auto"/>
                  <w:vAlign w:val="center"/>
                </w:tcPr>
                <w:p w14:paraId="73E657C5">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kern w:val="2"/>
                      <w:sz w:val="21"/>
                      <w:szCs w:val="21"/>
                      <w:lang w:val="en-US" w:eastAsia="zh-CN" w:bidi="ar-SA"/>
                    </w:rPr>
                    <w:t>0.67</w:t>
                  </w:r>
                </w:p>
              </w:tc>
              <w:tc>
                <w:tcPr>
                  <w:tcW w:w="753" w:type="dxa"/>
                  <w:shd w:val="clear" w:color="auto" w:fill="auto"/>
                  <w:vAlign w:val="center"/>
                </w:tcPr>
                <w:p w14:paraId="0F6FA1C1">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kern w:val="2"/>
                      <w:sz w:val="21"/>
                      <w:szCs w:val="21"/>
                      <w:lang w:val="en-US" w:eastAsia="zh-CN" w:bidi="ar-SA"/>
                    </w:rPr>
                    <w:t>14.16kg</w:t>
                  </w:r>
                </w:p>
              </w:tc>
              <w:tc>
                <w:tcPr>
                  <w:tcW w:w="880" w:type="dxa"/>
                  <w:shd w:val="clear" w:color="auto" w:fill="auto"/>
                  <w:vAlign w:val="center"/>
                </w:tcPr>
                <w:p w14:paraId="1A24CD78">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瓶装</w:t>
                  </w:r>
                </w:p>
              </w:tc>
              <w:tc>
                <w:tcPr>
                  <w:tcW w:w="883" w:type="dxa"/>
                  <w:shd w:val="clear" w:color="auto" w:fill="auto"/>
                  <w:vAlign w:val="center"/>
                </w:tcPr>
                <w:p w14:paraId="2C7A46EC">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外购，罐车运输</w:t>
                  </w:r>
                </w:p>
              </w:tc>
              <w:tc>
                <w:tcPr>
                  <w:tcW w:w="2110" w:type="dxa"/>
                  <w:shd w:val="clear" w:color="auto" w:fill="auto"/>
                  <w:noWrap/>
                  <w:vAlign w:val="center"/>
                </w:tcPr>
                <w:p w14:paraId="5F4AAC6F">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95%乙醇密度789</w:t>
                  </w:r>
                  <w:r>
                    <w:rPr>
                      <w:rFonts w:hint="default" w:ascii="Times New Roman" w:hAnsi="Times New Roman" w:cs="Times New Roman"/>
                      <w:color w:val="0000FF"/>
                      <w:lang w:val="en-US" w:eastAsia="zh-CN"/>
                    </w:rPr>
                    <w:t>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，配制一次使用7天，储存量为7天</w:t>
                  </w:r>
                </w:p>
              </w:tc>
            </w:tr>
            <w:tr w14:paraId="0884B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568" w:type="dxa"/>
                  <w:shd w:val="clear" w:color="auto" w:fill="auto"/>
                  <w:noWrap/>
                  <w:vAlign w:val="center"/>
                </w:tcPr>
                <w:p w14:paraId="2D05D359">
                  <w:pPr>
                    <w:pStyle w:val="40"/>
                    <w:bidi w:val="0"/>
                    <w:rPr>
                      <w:rFonts w:hint="eastAsia" w:ascii="Times New Roman" w:hAnsi="Times New Roman" w:eastAsia="宋体" w:cs="Times New Roman"/>
                      <w:color w:val="0000FF"/>
                      <w:lang w:val="en-US" w:eastAsia="zh-CN"/>
                    </w:rPr>
                  </w:pPr>
                  <w:r>
                    <w:rPr>
                      <w:rFonts w:hint="eastAsia" w:cs="Times New Roman"/>
                      <w:color w:val="0000FF"/>
                      <w:lang w:val="en-US" w:eastAsia="zh-CN"/>
                    </w:rPr>
                    <w:t>9</w:t>
                  </w:r>
                </w:p>
              </w:tc>
              <w:tc>
                <w:tcPr>
                  <w:tcW w:w="928" w:type="dxa"/>
                  <w:shd w:val="clear" w:color="auto" w:fill="auto"/>
                  <w:vAlign w:val="center"/>
                </w:tcPr>
                <w:p w14:paraId="203FBB76">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民用燃气（LPG）灌装区</w:t>
                  </w:r>
                </w:p>
              </w:tc>
              <w:tc>
                <w:tcPr>
                  <w:tcW w:w="969" w:type="dxa"/>
                  <w:shd w:val="clear" w:color="auto" w:fill="auto"/>
                  <w:vAlign w:val="center"/>
                </w:tcPr>
                <w:p w14:paraId="48FBE9D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液化石油气</w:t>
                  </w:r>
                </w:p>
              </w:tc>
              <w:tc>
                <w:tcPr>
                  <w:tcW w:w="839" w:type="dxa"/>
                  <w:shd w:val="clear" w:color="auto" w:fill="auto"/>
                  <w:vAlign w:val="center"/>
                </w:tcPr>
                <w:p w14:paraId="0A5B52F6">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3300</w:t>
                  </w:r>
                </w:p>
              </w:tc>
              <w:tc>
                <w:tcPr>
                  <w:tcW w:w="753" w:type="dxa"/>
                  <w:shd w:val="clear" w:color="auto" w:fill="auto"/>
                  <w:vAlign w:val="center"/>
                </w:tcPr>
                <w:p w14:paraId="6384DAB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46.4</w:t>
                  </w:r>
                </w:p>
              </w:tc>
              <w:tc>
                <w:tcPr>
                  <w:tcW w:w="880" w:type="dxa"/>
                  <w:shd w:val="clear" w:color="auto" w:fill="auto"/>
                  <w:vAlign w:val="center"/>
                </w:tcPr>
                <w:p w14:paraId="035B1F8A">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地下</w:t>
                  </w:r>
                </w:p>
                <w:p w14:paraId="03B7E86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卧式</w:t>
                  </w:r>
                </w:p>
                <w:p w14:paraId="2AFC2E0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储罐</w:t>
                  </w:r>
                </w:p>
              </w:tc>
              <w:tc>
                <w:tcPr>
                  <w:tcW w:w="883" w:type="dxa"/>
                  <w:shd w:val="clear" w:color="auto" w:fill="auto"/>
                  <w:vAlign w:val="center"/>
                </w:tcPr>
                <w:p w14:paraId="72C1C13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外购，罐车运输</w:t>
                  </w:r>
                </w:p>
              </w:tc>
              <w:tc>
                <w:tcPr>
                  <w:tcW w:w="2110" w:type="dxa"/>
                  <w:shd w:val="clear" w:color="auto" w:fill="auto"/>
                  <w:vAlign w:val="center"/>
                </w:tcPr>
                <w:p w14:paraId="6347184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液化石油气密度580kg/m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，最大储存</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量以罐体容积80%计。</w:t>
                  </w:r>
                </w:p>
              </w:tc>
            </w:tr>
          </w:tbl>
          <w:p w14:paraId="3CC22F6E">
            <w:pPr>
              <w:keepNext w:val="0"/>
              <w:keepLines w:val="0"/>
              <w:pageBreakBefore w:val="0"/>
              <w:widowControl/>
              <w:suppressLineNumbers w:val="0"/>
              <w:kinsoku/>
              <w:wordWrap/>
              <w:overflowPunct/>
              <w:topLinePunct w:val="0"/>
              <w:autoSpaceDE/>
              <w:autoSpaceDN/>
              <w:bidi w:val="0"/>
              <w:adjustRightInd/>
              <w:snapToGrid/>
              <w:spacing w:before="313" w:beforeLines="100" w:line="360" w:lineRule="auto"/>
              <w:ind w:right="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（2）主要充装、灌装气体理化性能</w:t>
            </w:r>
          </w:p>
          <w:p w14:paraId="1EF1D69B">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1）主要</w:t>
            </w:r>
            <w:r>
              <w:rPr>
                <w:rFonts w:hint="default" w:ascii="Times New Roman" w:hAnsi="Times New Roman" w:eastAsia="宋体" w:cs="Times New Roman"/>
                <w:b w:val="0"/>
                <w:bCs w:val="0"/>
                <w:color w:val="auto"/>
                <w:sz w:val="24"/>
                <w:szCs w:val="24"/>
                <w:highlight w:val="none"/>
                <w:lang w:val="en-US" w:eastAsia="zh-CN"/>
              </w:rPr>
              <w:t>原辅材料的理化性质见表2</w:t>
            </w:r>
            <w:r>
              <w:rPr>
                <w:rFonts w:hint="default" w:ascii="Times New Roman" w:hAnsi="Times New Roman" w:cs="Times New Roman"/>
                <w:b w:val="0"/>
                <w:bCs w:val="0"/>
                <w:color w:val="auto"/>
                <w:sz w:val="24"/>
                <w:szCs w:val="24"/>
                <w:highlight w:val="none"/>
                <w:lang w:val="en-US" w:eastAsia="zh-CN"/>
              </w:rPr>
              <w:t>.5-2</w:t>
            </w:r>
            <w:r>
              <w:rPr>
                <w:rFonts w:hint="default" w:ascii="Times New Roman" w:hAnsi="Times New Roman" w:eastAsia="宋体" w:cs="Times New Roman"/>
                <w:b w:val="0"/>
                <w:bCs w:val="0"/>
                <w:color w:val="auto"/>
                <w:sz w:val="24"/>
                <w:szCs w:val="24"/>
                <w:highlight w:val="none"/>
                <w:lang w:val="en-US" w:eastAsia="zh-CN"/>
              </w:rPr>
              <w:t>~表</w:t>
            </w:r>
            <w:r>
              <w:rPr>
                <w:rFonts w:hint="default" w:ascii="Times New Roman" w:hAnsi="Times New Roman" w:cs="Times New Roman"/>
                <w:b w:val="0"/>
                <w:bCs w:val="0"/>
                <w:color w:val="auto"/>
                <w:sz w:val="24"/>
                <w:szCs w:val="24"/>
                <w:highlight w:val="none"/>
                <w:lang w:val="en-US" w:eastAsia="zh-CN"/>
              </w:rPr>
              <w:t>2.5-</w:t>
            </w:r>
            <w:r>
              <w:rPr>
                <w:rFonts w:hint="eastAsia"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lang w:val="en-US" w:eastAsia="zh-CN"/>
              </w:rPr>
              <w:t>。</w:t>
            </w:r>
          </w:p>
          <w:p w14:paraId="1BB6ACDC">
            <w:pPr>
              <w:spacing w:line="360" w:lineRule="auto"/>
              <w:jc w:val="center"/>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表2</w:t>
            </w:r>
            <w:r>
              <w:rPr>
                <w:rFonts w:hint="default" w:ascii="Times New Roman" w:hAnsi="Times New Roman" w:cs="Times New Roman"/>
                <w:b/>
                <w:bCs w:val="0"/>
                <w:color w:val="auto"/>
                <w:sz w:val="21"/>
                <w:szCs w:val="21"/>
                <w:lang w:val="en-US" w:eastAsia="zh-CN"/>
              </w:rPr>
              <w:t>.5-2</w:t>
            </w:r>
            <w:r>
              <w:rPr>
                <w:rFonts w:hint="default" w:ascii="Times New Roman" w:hAnsi="Times New Roman" w:cs="Times New Roman"/>
                <w:b/>
                <w:bCs w:val="0"/>
                <w:color w:val="auto"/>
                <w:sz w:val="21"/>
                <w:szCs w:val="21"/>
              </w:rPr>
              <w:t xml:space="preserve">  液化石油气主要理化性质及危险特性表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1"/>
              <w:gridCol w:w="567"/>
              <w:gridCol w:w="1492"/>
              <w:gridCol w:w="1795"/>
              <w:gridCol w:w="803"/>
              <w:gridCol w:w="2609"/>
            </w:tblGrid>
            <w:tr w14:paraId="37406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4" w:hRule="atLeast"/>
                <w:jc w:val="center"/>
              </w:trPr>
              <w:tc>
                <w:tcPr>
                  <w:tcW w:w="741" w:type="dxa"/>
                  <w:vMerge w:val="restart"/>
                  <w:noWrap w:val="0"/>
                  <w:vAlign w:val="center"/>
                </w:tcPr>
                <w:p w14:paraId="589147A3">
                  <w:pPr>
                    <w:pStyle w:val="102"/>
                    <w:rPr>
                      <w:rFonts w:hint="default" w:ascii="Times New Roman" w:hAnsi="Times New Roman" w:cs="Times New Roman"/>
                      <w:color w:val="auto"/>
                    </w:rPr>
                  </w:pPr>
                  <w:r>
                    <w:rPr>
                      <w:rFonts w:hint="default" w:ascii="Times New Roman" w:hAnsi="Times New Roman" w:cs="Times New Roman"/>
                      <w:color w:val="auto"/>
                    </w:rPr>
                    <w:t>标识</w:t>
                  </w:r>
                </w:p>
              </w:tc>
              <w:tc>
                <w:tcPr>
                  <w:tcW w:w="3978" w:type="dxa"/>
                  <w:gridSpan w:val="3"/>
                  <w:noWrap w:val="0"/>
                  <w:vAlign w:val="center"/>
                </w:tcPr>
                <w:p w14:paraId="7B15DDF4">
                  <w:pPr>
                    <w:pStyle w:val="102"/>
                    <w:rPr>
                      <w:rFonts w:hint="default" w:ascii="Times New Roman" w:hAnsi="Times New Roman" w:cs="Times New Roman"/>
                      <w:color w:val="auto"/>
                    </w:rPr>
                  </w:pPr>
                  <w:r>
                    <w:rPr>
                      <w:rFonts w:hint="default" w:ascii="Times New Roman" w:hAnsi="Times New Roman" w:cs="Times New Roman"/>
                      <w:color w:val="auto"/>
                    </w:rPr>
                    <w:t>中文名：液化石油气</w:t>
                  </w:r>
                </w:p>
              </w:tc>
              <w:tc>
                <w:tcPr>
                  <w:tcW w:w="3543" w:type="dxa"/>
                  <w:gridSpan w:val="2"/>
                  <w:noWrap w:val="0"/>
                  <w:vAlign w:val="center"/>
                </w:tcPr>
                <w:p w14:paraId="60E6F720">
                  <w:pPr>
                    <w:pStyle w:val="102"/>
                    <w:rPr>
                      <w:rFonts w:hint="default" w:ascii="Times New Roman" w:hAnsi="Times New Roman" w:cs="Times New Roman"/>
                      <w:color w:val="auto"/>
                    </w:rPr>
                  </w:pPr>
                  <w:r>
                    <w:rPr>
                      <w:rFonts w:hint="default" w:ascii="Times New Roman" w:hAnsi="Times New Roman" w:cs="Times New Roman"/>
                      <w:color w:val="auto"/>
                    </w:rPr>
                    <w:t>英文名：Liquefied petroleum gas</w:t>
                  </w:r>
                </w:p>
              </w:tc>
            </w:tr>
            <w:tr w14:paraId="7BA21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vMerge w:val="continue"/>
                  <w:noWrap w:val="0"/>
                  <w:vAlign w:val="center"/>
                </w:tcPr>
                <w:p w14:paraId="1182D08B">
                  <w:pPr>
                    <w:pStyle w:val="102"/>
                    <w:rPr>
                      <w:rFonts w:hint="default" w:ascii="Times New Roman" w:hAnsi="Times New Roman" w:cs="Times New Roman"/>
                      <w:color w:val="auto"/>
                    </w:rPr>
                  </w:pPr>
                </w:p>
              </w:tc>
              <w:tc>
                <w:tcPr>
                  <w:tcW w:w="7521" w:type="dxa"/>
                  <w:gridSpan w:val="5"/>
                  <w:noWrap w:val="0"/>
                  <w:vAlign w:val="center"/>
                </w:tcPr>
                <w:p w14:paraId="0D5F6124">
                  <w:pPr>
                    <w:pStyle w:val="102"/>
                    <w:rPr>
                      <w:rFonts w:hint="default" w:ascii="Times New Roman" w:hAnsi="Times New Roman" w:cs="Times New Roman"/>
                      <w:color w:val="auto"/>
                    </w:rPr>
                  </w:pPr>
                  <w:r>
                    <w:rPr>
                      <w:rFonts w:hint="default" w:ascii="Times New Roman" w:hAnsi="Times New Roman" w:cs="Times New Roman"/>
                      <w:color w:val="auto"/>
                    </w:rPr>
                    <w:t>主要组成：丙烷、丁烷等</w:t>
                  </w:r>
                </w:p>
              </w:tc>
            </w:tr>
            <w:tr w14:paraId="3E0CE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vMerge w:val="restart"/>
                  <w:noWrap w:val="0"/>
                  <w:vAlign w:val="center"/>
                </w:tcPr>
                <w:p w14:paraId="7CEB36EF">
                  <w:pPr>
                    <w:pStyle w:val="102"/>
                    <w:rPr>
                      <w:rFonts w:hint="default" w:ascii="Times New Roman" w:hAnsi="Times New Roman" w:cs="Times New Roman"/>
                      <w:color w:val="auto"/>
                    </w:rPr>
                  </w:pPr>
                  <w:r>
                    <w:rPr>
                      <w:rFonts w:hint="default" w:ascii="Times New Roman" w:hAnsi="Times New Roman" w:cs="Times New Roman"/>
                      <w:color w:val="auto"/>
                    </w:rPr>
                    <w:t>理化性质</w:t>
                  </w:r>
                </w:p>
              </w:tc>
              <w:tc>
                <w:tcPr>
                  <w:tcW w:w="7521" w:type="dxa"/>
                  <w:gridSpan w:val="5"/>
                  <w:noWrap w:val="0"/>
                  <w:vAlign w:val="center"/>
                </w:tcPr>
                <w:p w14:paraId="2F09D1E6">
                  <w:pPr>
                    <w:pStyle w:val="102"/>
                    <w:jc w:val="both"/>
                    <w:rPr>
                      <w:rFonts w:hint="default" w:ascii="Times New Roman" w:hAnsi="Times New Roman" w:cs="Times New Roman"/>
                      <w:color w:val="auto"/>
                    </w:rPr>
                  </w:pPr>
                  <w:r>
                    <w:rPr>
                      <w:rFonts w:hint="default" w:ascii="Times New Roman" w:hAnsi="Times New Roman" w:cs="Times New Roman"/>
                      <w:color w:val="auto"/>
                    </w:rPr>
                    <w:t>性状与用途：无色气体或黄棕色油状液体，有特殊臭味，能溶解水，用作石油化工的原料，也可用作燃料</w:t>
                  </w:r>
                </w:p>
              </w:tc>
            </w:tr>
            <w:tr w14:paraId="564B0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vMerge w:val="continue"/>
                  <w:noWrap w:val="0"/>
                  <w:vAlign w:val="center"/>
                </w:tcPr>
                <w:p w14:paraId="4D739107">
                  <w:pPr>
                    <w:pStyle w:val="102"/>
                    <w:rPr>
                      <w:rFonts w:hint="default" w:ascii="Times New Roman" w:hAnsi="Times New Roman" w:cs="Times New Roman"/>
                      <w:color w:val="auto"/>
                    </w:rPr>
                  </w:pPr>
                </w:p>
              </w:tc>
              <w:tc>
                <w:tcPr>
                  <w:tcW w:w="2126" w:type="dxa"/>
                  <w:gridSpan w:val="2"/>
                  <w:noWrap w:val="0"/>
                  <w:vAlign w:val="center"/>
                </w:tcPr>
                <w:p w14:paraId="7563FEEE">
                  <w:pPr>
                    <w:pStyle w:val="102"/>
                    <w:rPr>
                      <w:rFonts w:hint="default" w:ascii="Times New Roman" w:hAnsi="Times New Roman" w:cs="Times New Roman"/>
                      <w:color w:val="auto"/>
                    </w:rPr>
                  </w:pPr>
                  <w:r>
                    <w:rPr>
                      <w:rFonts w:hint="default" w:ascii="Times New Roman" w:hAnsi="Times New Roman" w:cs="Times New Roman"/>
                      <w:color w:val="auto"/>
                    </w:rPr>
                    <w:t>溶解性：不能溶于水</w:t>
                  </w:r>
                </w:p>
              </w:tc>
              <w:tc>
                <w:tcPr>
                  <w:tcW w:w="2694" w:type="dxa"/>
                  <w:gridSpan w:val="2"/>
                  <w:noWrap w:val="0"/>
                  <w:vAlign w:val="center"/>
                </w:tcPr>
                <w:p w14:paraId="6B1ECA80">
                  <w:pPr>
                    <w:pStyle w:val="102"/>
                    <w:rPr>
                      <w:rFonts w:hint="default" w:ascii="Times New Roman" w:hAnsi="Times New Roman" w:cs="Times New Roman"/>
                      <w:color w:val="auto"/>
                    </w:rPr>
                  </w:pPr>
                  <w:r>
                    <w:rPr>
                      <w:rFonts w:hint="default" w:ascii="Times New Roman" w:hAnsi="Times New Roman" w:cs="Times New Roman"/>
                      <w:color w:val="auto"/>
                    </w:rPr>
                    <w:t>饱和蒸气压（kPa）：1.4（50℃）</w:t>
                  </w:r>
                </w:p>
              </w:tc>
              <w:tc>
                <w:tcPr>
                  <w:tcW w:w="2701" w:type="dxa"/>
                  <w:noWrap w:val="0"/>
                  <w:vAlign w:val="center"/>
                </w:tcPr>
                <w:p w14:paraId="7313C863">
                  <w:pPr>
                    <w:pStyle w:val="102"/>
                    <w:rPr>
                      <w:rFonts w:hint="default" w:ascii="Times New Roman" w:hAnsi="Times New Roman" w:cs="Times New Roman"/>
                      <w:color w:val="auto"/>
                    </w:rPr>
                  </w:pPr>
                  <w:r>
                    <w:rPr>
                      <w:rFonts w:hint="default" w:ascii="Times New Roman" w:hAnsi="Times New Roman" w:cs="Times New Roman"/>
                      <w:color w:val="auto"/>
                    </w:rPr>
                    <w:t>相对密度（空气=1）：0.58（常压）</w:t>
                  </w:r>
                </w:p>
              </w:tc>
            </w:tr>
            <w:tr w14:paraId="55CC0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vMerge w:val="continue"/>
                  <w:noWrap w:val="0"/>
                  <w:vAlign w:val="center"/>
                </w:tcPr>
                <w:p w14:paraId="21F77609">
                  <w:pPr>
                    <w:pStyle w:val="102"/>
                    <w:rPr>
                      <w:rFonts w:hint="default" w:ascii="Times New Roman" w:hAnsi="Times New Roman" w:cs="Times New Roman"/>
                      <w:color w:val="auto"/>
                    </w:rPr>
                  </w:pPr>
                </w:p>
              </w:tc>
              <w:tc>
                <w:tcPr>
                  <w:tcW w:w="2126" w:type="dxa"/>
                  <w:gridSpan w:val="2"/>
                  <w:noWrap w:val="0"/>
                  <w:vAlign w:val="center"/>
                </w:tcPr>
                <w:p w14:paraId="377A9BBD">
                  <w:pPr>
                    <w:pStyle w:val="102"/>
                    <w:rPr>
                      <w:rFonts w:hint="default" w:ascii="Times New Roman" w:hAnsi="Times New Roman" w:cs="Times New Roman"/>
                      <w:color w:val="auto"/>
                    </w:rPr>
                  </w:pPr>
                  <w:r>
                    <w:rPr>
                      <w:rFonts w:hint="default" w:ascii="Times New Roman" w:hAnsi="Times New Roman" w:cs="Times New Roman"/>
                      <w:color w:val="auto"/>
                    </w:rPr>
                    <w:t>闪点（℃）：-74</w:t>
                  </w:r>
                </w:p>
              </w:tc>
              <w:tc>
                <w:tcPr>
                  <w:tcW w:w="2694" w:type="dxa"/>
                  <w:gridSpan w:val="2"/>
                  <w:noWrap w:val="0"/>
                  <w:vAlign w:val="center"/>
                </w:tcPr>
                <w:p w14:paraId="353C0CF7">
                  <w:pPr>
                    <w:pStyle w:val="102"/>
                    <w:rPr>
                      <w:rFonts w:hint="default" w:ascii="Times New Roman" w:hAnsi="Times New Roman" w:cs="Times New Roman"/>
                      <w:color w:val="auto"/>
                    </w:rPr>
                  </w:pPr>
                  <w:r>
                    <w:rPr>
                      <w:rFonts w:hint="default" w:ascii="Times New Roman" w:hAnsi="Times New Roman" w:cs="Times New Roman"/>
                      <w:color w:val="auto"/>
                    </w:rPr>
                    <w:t>引燃温度（℃）：426~537</w:t>
                  </w:r>
                </w:p>
              </w:tc>
              <w:tc>
                <w:tcPr>
                  <w:tcW w:w="2701" w:type="dxa"/>
                  <w:noWrap w:val="0"/>
                  <w:vAlign w:val="center"/>
                </w:tcPr>
                <w:p w14:paraId="63FFB569">
                  <w:pPr>
                    <w:pStyle w:val="102"/>
                    <w:rPr>
                      <w:rFonts w:hint="default" w:ascii="Times New Roman" w:hAnsi="Times New Roman" w:cs="Times New Roman"/>
                      <w:color w:val="auto"/>
                    </w:rPr>
                  </w:pPr>
                  <w:r>
                    <w:rPr>
                      <w:rFonts w:hint="default" w:ascii="Times New Roman" w:hAnsi="Times New Roman" w:cs="Times New Roman"/>
                      <w:color w:val="auto"/>
                    </w:rPr>
                    <w:t>爆炸下限[%(V/V)]：1.5</w:t>
                  </w:r>
                </w:p>
              </w:tc>
            </w:tr>
            <w:tr w14:paraId="19C50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vMerge w:val="continue"/>
                  <w:noWrap w:val="0"/>
                  <w:vAlign w:val="center"/>
                </w:tcPr>
                <w:p w14:paraId="1A9A8714">
                  <w:pPr>
                    <w:pStyle w:val="102"/>
                    <w:rPr>
                      <w:rFonts w:hint="default" w:ascii="Times New Roman" w:hAnsi="Times New Roman" w:cs="Times New Roman"/>
                      <w:color w:val="auto"/>
                    </w:rPr>
                  </w:pPr>
                </w:p>
              </w:tc>
              <w:tc>
                <w:tcPr>
                  <w:tcW w:w="2126" w:type="dxa"/>
                  <w:gridSpan w:val="2"/>
                  <w:noWrap w:val="0"/>
                  <w:vAlign w:val="center"/>
                </w:tcPr>
                <w:p w14:paraId="3F5B59D5">
                  <w:pPr>
                    <w:pStyle w:val="102"/>
                    <w:rPr>
                      <w:rFonts w:hint="default" w:ascii="Times New Roman" w:hAnsi="Times New Roman" w:cs="Times New Roman"/>
                      <w:color w:val="auto"/>
                    </w:rPr>
                  </w:pPr>
                  <w:r>
                    <w:rPr>
                      <w:rFonts w:hint="default" w:ascii="Times New Roman" w:hAnsi="Times New Roman" w:cs="Times New Roman"/>
                      <w:color w:val="auto"/>
                    </w:rPr>
                    <w:t>聚合危害：不聚合</w:t>
                  </w:r>
                </w:p>
              </w:tc>
              <w:tc>
                <w:tcPr>
                  <w:tcW w:w="2694" w:type="dxa"/>
                  <w:gridSpan w:val="2"/>
                  <w:noWrap w:val="0"/>
                  <w:vAlign w:val="center"/>
                </w:tcPr>
                <w:p w14:paraId="3CC46AC1">
                  <w:pPr>
                    <w:pStyle w:val="102"/>
                    <w:rPr>
                      <w:rFonts w:hint="default" w:ascii="Times New Roman" w:hAnsi="Times New Roman" w:cs="Times New Roman"/>
                      <w:color w:val="auto"/>
                    </w:rPr>
                  </w:pPr>
                  <w:r>
                    <w:rPr>
                      <w:rFonts w:hint="default" w:ascii="Times New Roman" w:hAnsi="Times New Roman" w:cs="Times New Roman"/>
                      <w:color w:val="auto"/>
                    </w:rPr>
                    <w:t>稳定性：稳定</w:t>
                  </w:r>
                </w:p>
              </w:tc>
              <w:tc>
                <w:tcPr>
                  <w:tcW w:w="2701" w:type="dxa"/>
                  <w:noWrap w:val="0"/>
                  <w:vAlign w:val="center"/>
                </w:tcPr>
                <w:p w14:paraId="2263FE0B">
                  <w:pPr>
                    <w:pStyle w:val="102"/>
                    <w:rPr>
                      <w:rFonts w:hint="default" w:ascii="Times New Roman" w:hAnsi="Times New Roman" w:cs="Times New Roman"/>
                      <w:color w:val="auto"/>
                    </w:rPr>
                  </w:pPr>
                  <w:r>
                    <w:rPr>
                      <w:rFonts w:hint="default" w:ascii="Times New Roman" w:hAnsi="Times New Roman" w:cs="Times New Roman"/>
                      <w:color w:val="auto"/>
                    </w:rPr>
                    <w:t>爆炸上限[%(V/V)]：9.5</w:t>
                  </w:r>
                </w:p>
              </w:tc>
            </w:tr>
            <w:tr w14:paraId="3A370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noWrap w:val="0"/>
                  <w:vAlign w:val="center"/>
                </w:tcPr>
                <w:p w14:paraId="33982377">
                  <w:pPr>
                    <w:pStyle w:val="102"/>
                    <w:rPr>
                      <w:rFonts w:hint="default" w:ascii="Times New Roman" w:hAnsi="Times New Roman" w:cs="Times New Roman"/>
                      <w:color w:val="auto"/>
                    </w:rPr>
                  </w:pPr>
                  <w:r>
                    <w:rPr>
                      <w:rFonts w:hint="default" w:ascii="Times New Roman" w:hAnsi="Times New Roman" w:cs="Times New Roman"/>
                      <w:color w:val="auto"/>
                    </w:rPr>
                    <w:t>危险特性</w:t>
                  </w:r>
                </w:p>
              </w:tc>
              <w:tc>
                <w:tcPr>
                  <w:tcW w:w="7521" w:type="dxa"/>
                  <w:gridSpan w:val="5"/>
                  <w:noWrap w:val="0"/>
                  <w:vAlign w:val="center"/>
                </w:tcPr>
                <w:p w14:paraId="193F8DE5">
                  <w:pPr>
                    <w:pStyle w:val="102"/>
                    <w:jc w:val="both"/>
                    <w:rPr>
                      <w:rFonts w:hint="default" w:ascii="Times New Roman" w:hAnsi="Times New Roman" w:cs="Times New Roman"/>
                      <w:color w:val="auto"/>
                    </w:rPr>
                  </w:pPr>
                  <w:r>
                    <w:rPr>
                      <w:rFonts w:hint="default" w:ascii="Times New Roman" w:hAnsi="Times New Roman" w:cs="Times New Roman"/>
                      <w:color w:val="auto"/>
                    </w:rPr>
                    <w:t>危险特性：极易燃，与空气混合能形成爆炸性混合物，遇热源和明火有燃烧爆炸的危险。与氟、氯等接触会发生剧烈的化学反应。其蒸汽比空气重，能在较低处扩散到相当远的地方，遇火源会着火回燃。</w:t>
                  </w:r>
                </w:p>
                <w:p w14:paraId="32BEAE34">
                  <w:pPr>
                    <w:pStyle w:val="102"/>
                    <w:jc w:val="both"/>
                    <w:rPr>
                      <w:rFonts w:hint="default" w:ascii="Times New Roman" w:hAnsi="Times New Roman" w:cs="Times New Roman"/>
                      <w:color w:val="auto"/>
                    </w:rPr>
                  </w:pPr>
                  <w:r>
                    <w:rPr>
                      <w:rFonts w:hint="default" w:ascii="Times New Roman" w:hAnsi="Times New Roman" w:cs="Times New Roman"/>
                      <w:color w:val="auto"/>
                    </w:rPr>
                    <w:t>燃烧分解产物：一氧化碳、二氧化碳。</w:t>
                  </w:r>
                </w:p>
              </w:tc>
            </w:tr>
            <w:tr w14:paraId="44C30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noWrap w:val="0"/>
                  <w:vAlign w:val="center"/>
                </w:tcPr>
                <w:p w14:paraId="6A588F96">
                  <w:pPr>
                    <w:pStyle w:val="102"/>
                    <w:rPr>
                      <w:rFonts w:hint="default" w:ascii="Times New Roman" w:hAnsi="Times New Roman" w:cs="Times New Roman"/>
                      <w:color w:val="auto"/>
                    </w:rPr>
                  </w:pPr>
                  <w:r>
                    <w:rPr>
                      <w:rFonts w:hint="default" w:ascii="Times New Roman" w:hAnsi="Times New Roman" w:cs="Times New Roman"/>
                      <w:color w:val="auto"/>
                    </w:rPr>
                    <w:t>灭火方法</w:t>
                  </w:r>
                </w:p>
              </w:tc>
              <w:tc>
                <w:tcPr>
                  <w:tcW w:w="7521" w:type="dxa"/>
                  <w:gridSpan w:val="5"/>
                  <w:noWrap w:val="0"/>
                  <w:vAlign w:val="center"/>
                </w:tcPr>
                <w:p w14:paraId="172E2339">
                  <w:pPr>
                    <w:pStyle w:val="102"/>
                    <w:jc w:val="both"/>
                    <w:rPr>
                      <w:rFonts w:hint="default" w:ascii="Times New Roman" w:hAnsi="Times New Roman" w:cs="Times New Roman"/>
                      <w:color w:val="auto"/>
                    </w:rPr>
                  </w:pPr>
                  <w:r>
                    <w:rPr>
                      <w:rFonts w:hint="default" w:ascii="Times New Roman" w:hAnsi="Times New Roman" w:cs="Times New Roman"/>
                      <w:color w:val="auto"/>
                    </w:rPr>
                    <w:t>灭火方法：切断气源。若不能切断气源，则不允许熄灭泄漏处的火焰。喷水冷却容器，可能的话将容器从火场移至空旷处。</w:t>
                  </w:r>
                </w:p>
                <w:p w14:paraId="63F284F8">
                  <w:pPr>
                    <w:pStyle w:val="102"/>
                    <w:jc w:val="both"/>
                    <w:rPr>
                      <w:rFonts w:hint="default" w:ascii="Times New Roman" w:hAnsi="Times New Roman" w:cs="Times New Roman"/>
                      <w:color w:val="auto"/>
                    </w:rPr>
                  </w:pPr>
                  <w:r>
                    <w:rPr>
                      <w:rFonts w:hint="default" w:ascii="Times New Roman" w:hAnsi="Times New Roman" w:cs="Times New Roman"/>
                      <w:color w:val="auto"/>
                    </w:rPr>
                    <w:t>灭火剂：雾状水、泡沫、二氧化碳。</w:t>
                  </w:r>
                </w:p>
              </w:tc>
            </w:tr>
            <w:tr w14:paraId="011C0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noWrap w:val="0"/>
                  <w:vAlign w:val="center"/>
                </w:tcPr>
                <w:p w14:paraId="063CCF53">
                  <w:pPr>
                    <w:pStyle w:val="102"/>
                    <w:rPr>
                      <w:rFonts w:hint="default" w:ascii="Times New Roman" w:hAnsi="Times New Roman" w:cs="Times New Roman"/>
                      <w:color w:val="auto"/>
                    </w:rPr>
                  </w:pPr>
                  <w:r>
                    <w:rPr>
                      <w:rFonts w:hint="default" w:ascii="Times New Roman" w:hAnsi="Times New Roman" w:cs="Times New Roman"/>
                      <w:color w:val="auto"/>
                    </w:rPr>
                    <w:t>毒性</w:t>
                  </w:r>
                </w:p>
              </w:tc>
              <w:tc>
                <w:tcPr>
                  <w:tcW w:w="7521" w:type="dxa"/>
                  <w:gridSpan w:val="5"/>
                  <w:noWrap w:val="0"/>
                  <w:vAlign w:val="center"/>
                </w:tcPr>
                <w:p w14:paraId="3FF438CA">
                  <w:pPr>
                    <w:pStyle w:val="102"/>
                    <w:rPr>
                      <w:rFonts w:hint="default" w:ascii="Times New Roman" w:hAnsi="Times New Roman" w:cs="Times New Roman"/>
                      <w:color w:val="auto"/>
                    </w:rPr>
                  </w:pPr>
                  <w:r>
                    <w:rPr>
                      <w:rFonts w:hint="default" w:ascii="Times New Roman" w:hAnsi="Times New Roman" w:cs="Times New Roman"/>
                      <w:color w:val="auto"/>
                    </w:rPr>
                    <w:t>急性毒性：LD50</w:t>
                  </w:r>
                </w:p>
              </w:tc>
            </w:tr>
            <w:tr w14:paraId="45AEA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noWrap w:val="0"/>
                  <w:vAlign w:val="center"/>
                </w:tcPr>
                <w:p w14:paraId="5414419C">
                  <w:pPr>
                    <w:pStyle w:val="102"/>
                    <w:rPr>
                      <w:rFonts w:hint="default" w:ascii="Times New Roman" w:hAnsi="Times New Roman" w:cs="Times New Roman"/>
                      <w:color w:val="auto"/>
                    </w:rPr>
                  </w:pPr>
                  <w:r>
                    <w:rPr>
                      <w:rFonts w:hint="default" w:ascii="Times New Roman" w:hAnsi="Times New Roman" w:cs="Times New Roman"/>
                      <w:color w:val="auto"/>
                    </w:rPr>
                    <w:t>对人体危害</w:t>
                  </w:r>
                </w:p>
              </w:tc>
              <w:tc>
                <w:tcPr>
                  <w:tcW w:w="7521" w:type="dxa"/>
                  <w:gridSpan w:val="5"/>
                  <w:noWrap w:val="0"/>
                  <w:vAlign w:val="center"/>
                </w:tcPr>
                <w:p w14:paraId="7E9C6E33">
                  <w:pPr>
                    <w:pStyle w:val="102"/>
                    <w:jc w:val="both"/>
                    <w:rPr>
                      <w:rFonts w:hint="default" w:ascii="Times New Roman" w:hAnsi="Times New Roman" w:cs="Times New Roman"/>
                      <w:color w:val="auto"/>
                    </w:rPr>
                  </w:pPr>
                  <w:r>
                    <w:rPr>
                      <w:rFonts w:hint="default" w:ascii="Times New Roman" w:hAnsi="Times New Roman" w:cs="Times New Roman"/>
                      <w:color w:val="auto"/>
                    </w:rPr>
                    <w:t>急性中毒：有头晕、头痛、兴奋或嗜睡、恶心、呕吐、脉缓等；重症可突然倒下，尿失禁，意识丧失，甚至呼吸停止。可致皮肤冻伤。</w:t>
                  </w:r>
                </w:p>
              </w:tc>
            </w:tr>
            <w:tr w14:paraId="7DA74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vMerge w:val="restart"/>
                  <w:noWrap w:val="0"/>
                  <w:vAlign w:val="center"/>
                </w:tcPr>
                <w:p w14:paraId="53A52C3D">
                  <w:pPr>
                    <w:pStyle w:val="102"/>
                    <w:rPr>
                      <w:rFonts w:hint="default" w:ascii="Times New Roman" w:hAnsi="Times New Roman" w:cs="Times New Roman"/>
                      <w:color w:val="auto"/>
                    </w:rPr>
                  </w:pPr>
                  <w:r>
                    <w:rPr>
                      <w:rFonts w:hint="default" w:ascii="Times New Roman" w:hAnsi="Times New Roman" w:cs="Times New Roman"/>
                      <w:color w:val="auto"/>
                    </w:rPr>
                    <w:t>应急处理处置方法</w:t>
                  </w:r>
                </w:p>
              </w:tc>
              <w:tc>
                <w:tcPr>
                  <w:tcW w:w="567" w:type="dxa"/>
                  <w:noWrap w:val="0"/>
                  <w:vAlign w:val="center"/>
                </w:tcPr>
                <w:p w14:paraId="56F9450B">
                  <w:pPr>
                    <w:pStyle w:val="102"/>
                    <w:rPr>
                      <w:rFonts w:hint="default" w:ascii="Times New Roman" w:hAnsi="Times New Roman" w:cs="Times New Roman"/>
                      <w:color w:val="auto"/>
                    </w:rPr>
                  </w:pPr>
                  <w:r>
                    <w:rPr>
                      <w:rFonts w:hint="default" w:ascii="Times New Roman" w:hAnsi="Times New Roman" w:cs="Times New Roman"/>
                      <w:color w:val="auto"/>
                    </w:rPr>
                    <w:t>防护</w:t>
                  </w:r>
                </w:p>
              </w:tc>
              <w:tc>
                <w:tcPr>
                  <w:tcW w:w="6954" w:type="dxa"/>
                  <w:gridSpan w:val="4"/>
                  <w:noWrap w:val="0"/>
                  <w:vAlign w:val="center"/>
                </w:tcPr>
                <w:p w14:paraId="68F12BEA">
                  <w:pPr>
                    <w:pStyle w:val="102"/>
                    <w:jc w:val="both"/>
                    <w:rPr>
                      <w:rFonts w:hint="default" w:ascii="Times New Roman" w:hAnsi="Times New Roman" w:cs="Times New Roman"/>
                      <w:color w:val="auto"/>
                    </w:rPr>
                  </w:pPr>
                  <w:r>
                    <w:rPr>
                      <w:rFonts w:hint="default" w:ascii="Times New Roman" w:hAnsi="Times New Roman" w:cs="Times New Roman"/>
                      <w:color w:val="auto"/>
                    </w:rPr>
                    <w:t>工程控制：生产过程密闭，全面通风；呼吸系统防护：高浓度环境中，佩戴过滤式防毒面具（半面罩）；眼睛防护：一般不需要特殊防护，高浓度接触时可戴安全防护眼镜；身体防护：穿防静电工作服；手防护：戴一般作业防护手套；其他防护：工作现场严禁吸烟。避免高浓度吸入。进入罐、限制性空间或其它高浓度区作业，须有人监护。</w:t>
                  </w:r>
                </w:p>
              </w:tc>
            </w:tr>
            <w:tr w14:paraId="529C8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vMerge w:val="continue"/>
                  <w:noWrap w:val="0"/>
                  <w:vAlign w:val="center"/>
                </w:tcPr>
                <w:p w14:paraId="305B8892">
                  <w:pPr>
                    <w:pStyle w:val="102"/>
                    <w:rPr>
                      <w:rFonts w:hint="default" w:ascii="Times New Roman" w:hAnsi="Times New Roman" w:cs="Times New Roman"/>
                      <w:color w:val="auto"/>
                    </w:rPr>
                  </w:pPr>
                </w:p>
              </w:tc>
              <w:tc>
                <w:tcPr>
                  <w:tcW w:w="567" w:type="dxa"/>
                  <w:noWrap w:val="0"/>
                  <w:vAlign w:val="center"/>
                </w:tcPr>
                <w:p w14:paraId="31E1D87E">
                  <w:pPr>
                    <w:pStyle w:val="102"/>
                    <w:rPr>
                      <w:rFonts w:hint="default" w:ascii="Times New Roman" w:hAnsi="Times New Roman" w:cs="Times New Roman"/>
                      <w:color w:val="auto"/>
                    </w:rPr>
                  </w:pPr>
                  <w:r>
                    <w:rPr>
                      <w:rFonts w:hint="default" w:ascii="Times New Roman" w:hAnsi="Times New Roman" w:cs="Times New Roman"/>
                      <w:color w:val="auto"/>
                    </w:rPr>
                    <w:t>泄漏处置</w:t>
                  </w:r>
                </w:p>
              </w:tc>
              <w:tc>
                <w:tcPr>
                  <w:tcW w:w="6954" w:type="dxa"/>
                  <w:gridSpan w:val="4"/>
                  <w:noWrap w:val="0"/>
                  <w:vAlign w:val="center"/>
                </w:tcPr>
                <w:p w14:paraId="58B27AF8">
                  <w:pPr>
                    <w:pStyle w:val="102"/>
                    <w:jc w:val="both"/>
                    <w:rPr>
                      <w:rFonts w:hint="default" w:ascii="Times New Roman" w:hAnsi="Times New Roman" w:cs="Times New Roman"/>
                      <w:color w:val="auto"/>
                    </w:rPr>
                  </w:pPr>
                  <w:r>
                    <w:rPr>
                      <w:rFonts w:hint="default" w:ascii="Times New Roman" w:hAnsi="Times New Roman" w:cs="Times New Roman"/>
                      <w:color w:val="auto"/>
                    </w:rPr>
                    <w:t>消除所有点火源。根据气体的影响区域划定警戒区，无关人员从侧风、上风向撤离至安全区。建议应急处理人员戴正压自给式呼吸器，穿防静电服。作业时使用的所有设备应接地。禁止接触或跨越泄漏物。尽可能切断泄漏源。喷雾状水稀释。防止气体通过下水道，合理通风，加速扩散。</w:t>
                  </w:r>
                </w:p>
              </w:tc>
            </w:tr>
            <w:tr w14:paraId="7B0B2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vMerge w:val="continue"/>
                  <w:noWrap w:val="0"/>
                  <w:vAlign w:val="center"/>
                </w:tcPr>
                <w:p w14:paraId="48D1FB7B">
                  <w:pPr>
                    <w:pStyle w:val="102"/>
                    <w:rPr>
                      <w:rFonts w:hint="default" w:ascii="Times New Roman" w:hAnsi="Times New Roman" w:cs="Times New Roman"/>
                      <w:color w:val="auto"/>
                    </w:rPr>
                  </w:pPr>
                </w:p>
              </w:tc>
              <w:tc>
                <w:tcPr>
                  <w:tcW w:w="567" w:type="dxa"/>
                  <w:noWrap w:val="0"/>
                  <w:vAlign w:val="center"/>
                </w:tcPr>
                <w:p w14:paraId="33CEAC9E">
                  <w:pPr>
                    <w:pStyle w:val="102"/>
                    <w:rPr>
                      <w:rFonts w:hint="default" w:ascii="Times New Roman" w:hAnsi="Times New Roman" w:cs="Times New Roman"/>
                      <w:color w:val="auto"/>
                    </w:rPr>
                  </w:pPr>
                  <w:r>
                    <w:rPr>
                      <w:rFonts w:hint="default" w:ascii="Times New Roman" w:hAnsi="Times New Roman" w:cs="Times New Roman"/>
                      <w:color w:val="auto"/>
                    </w:rPr>
                    <w:t>应急措施</w:t>
                  </w:r>
                </w:p>
              </w:tc>
              <w:tc>
                <w:tcPr>
                  <w:tcW w:w="6954" w:type="dxa"/>
                  <w:gridSpan w:val="4"/>
                  <w:noWrap w:val="0"/>
                  <w:vAlign w:val="center"/>
                </w:tcPr>
                <w:p w14:paraId="06C2C1A5">
                  <w:pPr>
                    <w:pStyle w:val="102"/>
                    <w:jc w:val="both"/>
                    <w:rPr>
                      <w:rFonts w:hint="default" w:ascii="Times New Roman" w:hAnsi="Times New Roman" w:cs="Times New Roman"/>
                      <w:color w:val="auto"/>
                    </w:rPr>
                  </w:pPr>
                  <w:r>
                    <w:rPr>
                      <w:rFonts w:hint="default" w:ascii="Times New Roman" w:hAnsi="Times New Roman" w:cs="Times New Roman"/>
                      <w:color w:val="auto"/>
                    </w:rPr>
                    <w:t>皮肤接触：如果发生冻伤：将患部浸泡于保持在38～42℃的温水中复温。不要涂擦。不要使用热水或辐射热。使用清洁、干燥的敷料包扎。如有不适感，就医；眼睛接触：不会通过该途径接触；吸入：迅速脱离现场至空气新鲜处。保持呼吸道通畅。如呼吸困难，给输氧。呼吸、心跳停止，立即进行心肺复苏术。就医；食入：不会通过该途径接触。</w:t>
                  </w:r>
                </w:p>
              </w:tc>
            </w:tr>
            <w:tr w14:paraId="3E542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noWrap w:val="0"/>
                  <w:vAlign w:val="center"/>
                </w:tcPr>
                <w:p w14:paraId="6F3EBC48">
                  <w:pPr>
                    <w:pStyle w:val="102"/>
                    <w:rPr>
                      <w:rFonts w:hint="default" w:ascii="Times New Roman" w:hAnsi="Times New Roman" w:cs="Times New Roman"/>
                      <w:color w:val="auto"/>
                    </w:rPr>
                  </w:pPr>
                  <w:r>
                    <w:rPr>
                      <w:rFonts w:hint="default" w:ascii="Times New Roman" w:hAnsi="Times New Roman" w:cs="Times New Roman"/>
                      <w:color w:val="auto"/>
                    </w:rPr>
                    <w:t>储存</w:t>
                  </w:r>
                </w:p>
              </w:tc>
              <w:tc>
                <w:tcPr>
                  <w:tcW w:w="7521" w:type="dxa"/>
                  <w:gridSpan w:val="5"/>
                  <w:noWrap w:val="0"/>
                  <w:vAlign w:val="center"/>
                </w:tcPr>
                <w:p w14:paraId="7FDFA789">
                  <w:pPr>
                    <w:pStyle w:val="102"/>
                    <w:jc w:val="both"/>
                    <w:rPr>
                      <w:rFonts w:hint="default" w:ascii="Times New Roman" w:hAnsi="Times New Roman" w:cs="Times New Roman"/>
                      <w:color w:val="auto"/>
                    </w:rPr>
                  </w:pPr>
                  <w:r>
                    <w:rPr>
                      <w:rFonts w:hint="default" w:ascii="Times New Roman" w:hAnsi="Times New Roman" w:cs="Times New Roman"/>
                      <w:color w:val="auto"/>
                    </w:rPr>
                    <w:t>储罐装本品储存于阴凉、通风处。远离火种、热源。不宜超过35℃。应与氧化剂等分开存放，切忌混储。采用防爆型照明、通风设施。禁止使用易产生火花的机械设备和工具。储区应备有泄漏应急处理设备。</w:t>
                  </w:r>
                </w:p>
              </w:tc>
            </w:tr>
            <w:tr w14:paraId="1D5CE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noWrap w:val="0"/>
                  <w:vAlign w:val="center"/>
                </w:tcPr>
                <w:p w14:paraId="16A81516">
                  <w:pPr>
                    <w:pStyle w:val="102"/>
                    <w:rPr>
                      <w:rFonts w:hint="default" w:ascii="Times New Roman" w:hAnsi="Times New Roman" w:cs="Times New Roman"/>
                      <w:color w:val="auto"/>
                    </w:rPr>
                  </w:pPr>
                  <w:r>
                    <w:rPr>
                      <w:rFonts w:hint="default" w:ascii="Times New Roman" w:hAnsi="Times New Roman" w:cs="Times New Roman"/>
                      <w:color w:val="auto"/>
                    </w:rPr>
                    <w:t>包装</w:t>
                  </w:r>
                </w:p>
              </w:tc>
              <w:tc>
                <w:tcPr>
                  <w:tcW w:w="7521" w:type="dxa"/>
                  <w:gridSpan w:val="5"/>
                  <w:noWrap w:val="0"/>
                  <w:vAlign w:val="center"/>
                </w:tcPr>
                <w:p w14:paraId="2D4562C0">
                  <w:pPr>
                    <w:pStyle w:val="102"/>
                    <w:rPr>
                      <w:rFonts w:hint="default" w:ascii="Times New Roman" w:hAnsi="Times New Roman" w:cs="Times New Roman"/>
                      <w:color w:val="auto"/>
                    </w:rPr>
                  </w:pPr>
                  <w:r>
                    <w:rPr>
                      <w:rFonts w:hint="default" w:ascii="Times New Roman" w:hAnsi="Times New Roman" w:cs="Times New Roman"/>
                      <w:color w:val="auto"/>
                    </w:rPr>
                    <w:t>钢质气瓶、储罐</w:t>
                  </w:r>
                </w:p>
              </w:tc>
            </w:tr>
            <w:tr w14:paraId="18F22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1" w:type="dxa"/>
                  <w:noWrap w:val="0"/>
                  <w:vAlign w:val="center"/>
                </w:tcPr>
                <w:p w14:paraId="10183B42">
                  <w:pPr>
                    <w:pStyle w:val="102"/>
                    <w:rPr>
                      <w:rFonts w:hint="default" w:ascii="Times New Roman" w:hAnsi="Times New Roman" w:cs="Times New Roman"/>
                      <w:color w:val="auto"/>
                    </w:rPr>
                  </w:pPr>
                  <w:r>
                    <w:rPr>
                      <w:rFonts w:hint="default" w:ascii="Times New Roman" w:hAnsi="Times New Roman" w:cs="Times New Roman"/>
                      <w:color w:val="auto"/>
                    </w:rPr>
                    <w:t>运输</w:t>
                  </w:r>
                </w:p>
              </w:tc>
              <w:tc>
                <w:tcPr>
                  <w:tcW w:w="7521" w:type="dxa"/>
                  <w:gridSpan w:val="5"/>
                  <w:noWrap w:val="0"/>
                  <w:vAlign w:val="center"/>
                </w:tcPr>
                <w:p w14:paraId="19899C04">
                  <w:pPr>
                    <w:pStyle w:val="102"/>
                    <w:jc w:val="both"/>
                    <w:rPr>
                      <w:rFonts w:hint="default" w:ascii="Times New Roman" w:hAnsi="Times New Roman" w:cs="Times New Roman"/>
                      <w:color w:val="auto"/>
                    </w:rPr>
                  </w:pPr>
                  <w:r>
                    <w:rPr>
                      <w:rFonts w:hint="default" w:ascii="Times New Roman" w:hAnsi="Times New Roman" w:cs="Times New Roman"/>
                      <w:color w:val="auto"/>
                    </w:rPr>
                    <w:t>采用钢瓶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等混装混运。夏季应早晚运输，防止日光曝晒。</w:t>
                  </w:r>
                </w:p>
                <w:p w14:paraId="15090362">
                  <w:pPr>
                    <w:pStyle w:val="102"/>
                    <w:jc w:val="both"/>
                    <w:rPr>
                      <w:rFonts w:hint="default" w:ascii="Times New Roman" w:hAnsi="Times New Roman" w:cs="Times New Roman"/>
                      <w:color w:val="auto"/>
                    </w:rPr>
                  </w:pPr>
                  <w:r>
                    <w:rPr>
                      <w:rFonts w:hint="default" w:ascii="Times New Roman" w:hAnsi="Times New Roman" w:cs="Times New Roman"/>
                      <w:color w:val="auto"/>
                    </w:rPr>
                    <w:t>中途停留时应远离火种、热源。公路运输时要按规定路线行驶，勿在居民区和人口稠密区停留。铁路运输时要禁止溜放。</w:t>
                  </w:r>
                </w:p>
              </w:tc>
            </w:tr>
          </w:tbl>
          <w:p w14:paraId="7B51526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cs="Times New Roman"/>
                <w:b/>
                <w:bCs w:val="0"/>
                <w:color w:val="auto"/>
                <w:sz w:val="24"/>
                <w:szCs w:val="24"/>
              </w:rPr>
            </w:pPr>
          </w:p>
          <w:p w14:paraId="675571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val="0"/>
                <w:color w:val="auto"/>
                <w:sz w:val="21"/>
                <w:szCs w:val="21"/>
              </w:rPr>
              <w:t>表</w:t>
            </w:r>
            <w:r>
              <w:rPr>
                <w:rFonts w:hint="default" w:ascii="Times New Roman" w:hAnsi="Times New Roman" w:cs="Times New Roman"/>
                <w:b/>
                <w:bCs w:val="0"/>
                <w:color w:val="auto"/>
                <w:sz w:val="21"/>
                <w:szCs w:val="21"/>
                <w:lang w:val="en-US" w:eastAsia="zh-CN"/>
              </w:rPr>
              <w:t>2.5-3</w:t>
            </w:r>
            <w:r>
              <w:rPr>
                <w:rFonts w:hint="default" w:ascii="Times New Roman" w:hAnsi="Times New Roman" w:cs="Times New Roman"/>
                <w:b/>
                <w:bCs w:val="0"/>
                <w:color w:val="auto"/>
                <w:sz w:val="21"/>
                <w:szCs w:val="21"/>
              </w:rPr>
              <w:t xml:space="preserve">  </w:t>
            </w:r>
            <w:r>
              <w:rPr>
                <w:rFonts w:hint="default" w:ascii="Times New Roman" w:hAnsi="Times New Roman" w:cs="Times New Roman"/>
                <w:b/>
                <w:bCs w:val="0"/>
                <w:color w:val="auto"/>
                <w:sz w:val="21"/>
                <w:szCs w:val="21"/>
                <w:lang w:val="en-US" w:eastAsia="zh-CN"/>
              </w:rPr>
              <w:t>丙烷</w:t>
            </w:r>
            <w:r>
              <w:rPr>
                <w:rFonts w:hint="default" w:ascii="Times New Roman" w:hAnsi="Times New Roman" w:cs="Times New Roman"/>
                <w:b/>
                <w:bCs w:val="0"/>
                <w:color w:val="auto"/>
                <w:sz w:val="21"/>
                <w:szCs w:val="21"/>
              </w:rPr>
              <w:t>主要理化性质及危险特性表</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391"/>
              <w:gridCol w:w="361"/>
              <w:gridCol w:w="460"/>
              <w:gridCol w:w="1591"/>
              <w:gridCol w:w="410"/>
              <w:gridCol w:w="2346"/>
            </w:tblGrid>
            <w:tr w14:paraId="6FB54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0C89AF6F">
                  <w:pPr>
                    <w:spacing w:line="480" w:lineRule="exact"/>
                    <w:jc w:val="center"/>
                    <w:rPr>
                      <w:rFonts w:hint="default" w:ascii="Times New Roman" w:hAnsi="Times New Roman" w:cs="Times New Roman"/>
                      <w:color w:val="auto"/>
                    </w:rPr>
                  </w:pPr>
                  <w:r>
                    <w:rPr>
                      <w:rFonts w:hint="default" w:ascii="Times New Roman" w:hAnsi="Times New Roman" w:cs="Times New Roman"/>
                      <w:color w:val="auto"/>
                    </w:rPr>
                    <w:t>标识</w:t>
                  </w:r>
                </w:p>
              </w:tc>
              <w:tc>
                <w:tcPr>
                  <w:tcW w:w="2026" w:type="pct"/>
                  <w:gridSpan w:val="3"/>
                  <w:tcBorders>
                    <w:top w:val="single" w:color="auto" w:sz="4" w:space="0"/>
                    <w:left w:val="single" w:color="auto" w:sz="4" w:space="0"/>
                    <w:bottom w:val="single" w:color="auto" w:sz="4" w:space="0"/>
                    <w:right w:val="single" w:color="auto" w:sz="4" w:space="0"/>
                  </w:tcBorders>
                  <w:noWrap w:val="0"/>
                  <w:vAlign w:val="top"/>
                </w:tcPr>
                <w:p w14:paraId="16CA92DA">
                  <w:pPr>
                    <w:spacing w:line="320" w:lineRule="exact"/>
                    <w:rPr>
                      <w:rFonts w:hint="default" w:ascii="Times New Roman" w:hAnsi="Times New Roman" w:eastAsia="宋体" w:cs="Times New Roman"/>
                      <w:color w:val="auto"/>
                      <w:lang w:eastAsia="zh-CN"/>
                    </w:rPr>
                  </w:pPr>
                  <w:r>
                    <w:rPr>
                      <w:rFonts w:hint="default" w:ascii="Times New Roman" w:hAnsi="Times New Roman" w:cs="Times New Roman"/>
                      <w:color w:val="auto"/>
                    </w:rPr>
                    <w:t>中文名：</w:t>
                  </w:r>
                  <w:r>
                    <w:rPr>
                      <w:rFonts w:hint="default" w:ascii="Times New Roman" w:hAnsi="Times New Roman" w:cs="Times New Roman"/>
                      <w:color w:val="auto"/>
                      <w:lang w:val="en-US" w:eastAsia="zh-CN"/>
                    </w:rPr>
                    <w:t>丙烷</w:t>
                  </w:r>
                </w:p>
              </w:tc>
              <w:tc>
                <w:tcPr>
                  <w:tcW w:w="2734" w:type="pct"/>
                  <w:gridSpan w:val="3"/>
                  <w:tcBorders>
                    <w:top w:val="single" w:color="auto" w:sz="4" w:space="0"/>
                    <w:left w:val="single" w:color="auto" w:sz="4" w:space="0"/>
                    <w:bottom w:val="single" w:color="auto" w:sz="4" w:space="0"/>
                    <w:right w:val="single" w:color="auto" w:sz="4" w:space="0"/>
                  </w:tcBorders>
                  <w:noWrap w:val="0"/>
                  <w:vAlign w:val="top"/>
                </w:tcPr>
                <w:p w14:paraId="10EDD1C6">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英文名：</w:t>
                  </w:r>
                  <w:r>
                    <w:rPr>
                      <w:rFonts w:hint="default" w:ascii="Times New Roman" w:hAnsi="Times New Roman" w:cs="Times New Roman"/>
                      <w:color w:val="auto"/>
                      <w:lang w:val="en-US" w:eastAsia="zh-CN"/>
                    </w:rPr>
                    <w:t>propane</w:t>
                  </w:r>
                </w:p>
              </w:tc>
            </w:tr>
            <w:tr w14:paraId="5CB82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6D3535F3">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38E2DD48">
                  <w:pPr>
                    <w:spacing w:line="320" w:lineRule="exact"/>
                    <w:rPr>
                      <w:rFonts w:hint="default" w:ascii="Times New Roman" w:hAnsi="Times New Roman" w:cs="Times New Roman"/>
                      <w:color w:val="auto"/>
                      <w:vertAlign w:val="subscript"/>
                    </w:rPr>
                  </w:pPr>
                  <w:r>
                    <w:rPr>
                      <w:rFonts w:hint="default" w:ascii="Times New Roman" w:hAnsi="Times New Roman" w:cs="Times New Roman"/>
                      <w:color w:val="auto"/>
                    </w:rPr>
                    <w:t>分子式：C</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rPr>
                    <w:t>H</w:t>
                  </w:r>
                  <w:r>
                    <w:rPr>
                      <w:rFonts w:hint="default" w:ascii="Times New Roman" w:hAnsi="Times New Roman" w:cs="Times New Roman"/>
                      <w:color w:val="auto"/>
                      <w:vertAlign w:val="subscript"/>
                    </w:rPr>
                    <w:t>8</w:t>
                  </w:r>
                </w:p>
              </w:tc>
              <w:tc>
                <w:tcPr>
                  <w:tcW w:w="1555" w:type="pct"/>
                  <w:gridSpan w:val="3"/>
                  <w:tcBorders>
                    <w:top w:val="single" w:color="auto" w:sz="4" w:space="0"/>
                    <w:left w:val="single" w:color="auto" w:sz="4" w:space="0"/>
                    <w:bottom w:val="single" w:color="auto" w:sz="4" w:space="0"/>
                    <w:right w:val="single" w:color="auto" w:sz="4" w:space="0"/>
                  </w:tcBorders>
                  <w:noWrap w:val="0"/>
                  <w:vAlign w:val="top"/>
                </w:tcPr>
                <w:p w14:paraId="3ACCA215">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分子量：</w:t>
                  </w:r>
                  <w:r>
                    <w:rPr>
                      <w:rFonts w:hint="default" w:ascii="Times New Roman" w:hAnsi="Times New Roman" w:cs="Times New Roman"/>
                      <w:color w:val="auto"/>
                      <w:lang w:val="en-US" w:eastAsia="zh-CN"/>
                    </w:rPr>
                    <w:t>44.10</w:t>
                  </w:r>
                </w:p>
              </w:tc>
              <w:tc>
                <w:tcPr>
                  <w:tcW w:w="1472" w:type="pct"/>
                  <w:tcBorders>
                    <w:top w:val="single" w:color="auto" w:sz="4" w:space="0"/>
                    <w:left w:val="single" w:color="auto" w:sz="4" w:space="0"/>
                    <w:bottom w:val="single" w:color="auto" w:sz="4" w:space="0"/>
                    <w:right w:val="single" w:color="auto" w:sz="4" w:space="0"/>
                  </w:tcBorders>
                  <w:noWrap w:val="0"/>
                  <w:vAlign w:val="top"/>
                </w:tcPr>
                <w:p w14:paraId="61118E51">
                  <w:pPr>
                    <w:spacing w:line="320" w:lineRule="exact"/>
                    <w:rPr>
                      <w:rFonts w:hint="default" w:ascii="Times New Roman" w:hAnsi="Times New Roman" w:eastAsia="宋体" w:cs="Times New Roman"/>
                      <w:color w:val="auto"/>
                      <w:lang w:eastAsia="zh-CN"/>
                    </w:rPr>
                  </w:pPr>
                  <w:r>
                    <w:rPr>
                      <w:rFonts w:hint="default" w:ascii="Times New Roman" w:hAnsi="Times New Roman" w:cs="Times New Roman"/>
                      <w:color w:val="auto"/>
                    </w:rPr>
                    <w:t>CAS号：</w:t>
                  </w:r>
                  <w:r>
                    <w:rPr>
                      <w:rFonts w:hint="default" w:ascii="Times New Roman" w:hAnsi="Times New Roman" w:cs="Times New Roman"/>
                      <w:color w:val="auto"/>
                      <w:lang w:val="en-US" w:eastAsia="zh-CN"/>
                    </w:rPr>
                    <w:t>74</w:t>
                  </w:r>
                  <w:r>
                    <w:rPr>
                      <w:rFonts w:hint="default" w:ascii="Times New Roman" w:hAnsi="Times New Roman" w:cs="Times New Roman"/>
                      <w:color w:val="auto"/>
                    </w:rPr>
                    <w:t>－</w:t>
                  </w:r>
                  <w:r>
                    <w:rPr>
                      <w:rFonts w:hint="default" w:ascii="Times New Roman" w:hAnsi="Times New Roman" w:cs="Times New Roman"/>
                      <w:color w:val="auto"/>
                      <w:lang w:val="en-US" w:eastAsia="zh-CN"/>
                    </w:rPr>
                    <w:t>98</w:t>
                  </w:r>
                  <w:r>
                    <w:rPr>
                      <w:rFonts w:hint="default" w:ascii="Times New Roman" w:hAnsi="Times New Roman" w:cs="Times New Roman"/>
                      <w:color w:val="auto"/>
                    </w:rPr>
                    <w:t>－</w:t>
                  </w:r>
                  <w:r>
                    <w:rPr>
                      <w:rFonts w:hint="default" w:ascii="Times New Roman" w:hAnsi="Times New Roman" w:cs="Times New Roman"/>
                      <w:color w:val="auto"/>
                      <w:lang w:val="en-US" w:eastAsia="zh-CN"/>
                    </w:rPr>
                    <w:t>6</w:t>
                  </w:r>
                </w:p>
              </w:tc>
            </w:tr>
            <w:tr w14:paraId="3292C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424DB2D3">
                  <w:pPr>
                    <w:widowControl/>
                    <w:jc w:val="left"/>
                    <w:rPr>
                      <w:rFonts w:hint="default" w:ascii="Times New Roman" w:hAnsi="Times New Roman" w:cs="Times New Roman"/>
                      <w:color w:val="auto"/>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4144BF7B">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危规号：</w:t>
                  </w:r>
                  <w:r>
                    <w:rPr>
                      <w:rFonts w:hint="default" w:ascii="Times New Roman" w:hAnsi="Times New Roman" w:cs="Times New Roman"/>
                      <w:color w:val="auto"/>
                      <w:lang w:val="en-US" w:eastAsia="zh-CN"/>
                    </w:rPr>
                    <w:t>21011</w:t>
                  </w:r>
                </w:p>
              </w:tc>
            </w:tr>
            <w:tr w14:paraId="728FF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3741FA6F">
                  <w:pPr>
                    <w:spacing w:line="380" w:lineRule="exact"/>
                    <w:jc w:val="center"/>
                    <w:rPr>
                      <w:rFonts w:hint="default" w:ascii="Times New Roman" w:hAnsi="Times New Roman" w:cs="Times New Roman"/>
                      <w:color w:val="auto"/>
                    </w:rPr>
                  </w:pPr>
                  <w:r>
                    <w:rPr>
                      <w:rFonts w:hint="default" w:ascii="Times New Roman" w:hAnsi="Times New Roman" w:cs="Times New Roman"/>
                      <w:color w:val="auto"/>
                    </w:rPr>
                    <w:t>理化性质</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57355867">
                  <w:pPr>
                    <w:spacing w:line="320" w:lineRule="exact"/>
                    <w:rPr>
                      <w:rFonts w:hint="default" w:ascii="Times New Roman" w:hAnsi="Times New Roman" w:cs="Times New Roman"/>
                      <w:color w:val="auto"/>
                    </w:rPr>
                  </w:pPr>
                  <w:r>
                    <w:rPr>
                      <w:rFonts w:hint="default" w:ascii="Times New Roman" w:hAnsi="Times New Roman" w:cs="Times New Roman"/>
                      <w:color w:val="auto"/>
                    </w:rPr>
                    <w:t>性状： 无色</w:t>
                  </w:r>
                  <w:r>
                    <w:rPr>
                      <w:rFonts w:hint="default" w:ascii="Times New Roman" w:hAnsi="Times New Roman" w:cs="Times New Roman"/>
                      <w:color w:val="auto"/>
                      <w:lang w:val="en-US" w:eastAsia="zh-CN"/>
                    </w:rPr>
                    <w:t>气体</w:t>
                  </w:r>
                  <w:r>
                    <w:rPr>
                      <w:rFonts w:hint="default" w:ascii="Times New Roman" w:hAnsi="Times New Roman" w:cs="Times New Roman"/>
                      <w:color w:val="auto"/>
                    </w:rPr>
                    <w:t>。</w:t>
                  </w:r>
                </w:p>
              </w:tc>
            </w:tr>
            <w:tr w14:paraId="2F95E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366D1547">
                  <w:pPr>
                    <w:widowControl/>
                    <w:jc w:val="left"/>
                    <w:rPr>
                      <w:rFonts w:hint="default" w:ascii="Times New Roman" w:hAnsi="Times New Roman" w:cs="Times New Roman"/>
                      <w:color w:val="auto"/>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4FE684E9">
                  <w:pPr>
                    <w:spacing w:line="320" w:lineRule="exact"/>
                    <w:rPr>
                      <w:rFonts w:hint="default" w:ascii="Times New Roman" w:hAnsi="Times New Roman" w:cs="Times New Roman"/>
                      <w:color w:val="auto"/>
                    </w:rPr>
                  </w:pPr>
                  <w:r>
                    <w:rPr>
                      <w:rFonts w:hint="default" w:ascii="Times New Roman" w:hAnsi="Times New Roman" w:cs="Times New Roman"/>
                      <w:color w:val="auto"/>
                    </w:rPr>
                    <w:t>溶解性：</w:t>
                  </w:r>
                  <w:r>
                    <w:rPr>
                      <w:rFonts w:hint="default" w:ascii="Times New Roman" w:hAnsi="Times New Roman" w:cs="Times New Roman"/>
                      <w:color w:val="auto"/>
                      <w:lang w:val="en-US" w:eastAsia="zh-CN"/>
                    </w:rPr>
                    <w:t>微</w:t>
                  </w:r>
                  <w:r>
                    <w:rPr>
                      <w:rFonts w:hint="default" w:ascii="Times New Roman" w:hAnsi="Times New Roman" w:cs="Times New Roman"/>
                      <w:color w:val="auto"/>
                    </w:rPr>
                    <w:t>溶于水，溶于乙醇、乙醚。</w:t>
                  </w:r>
                </w:p>
              </w:tc>
            </w:tr>
            <w:tr w14:paraId="547EF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3BBD1E5F">
                  <w:pPr>
                    <w:widowControl/>
                    <w:jc w:val="left"/>
                    <w:rPr>
                      <w:rFonts w:hint="default" w:ascii="Times New Roman" w:hAnsi="Times New Roman" w:cs="Times New Roman"/>
                      <w:color w:val="auto"/>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4D967DDA">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熔点（℃）：－</w:t>
                  </w:r>
                  <w:r>
                    <w:rPr>
                      <w:rFonts w:hint="default" w:ascii="Times New Roman" w:hAnsi="Times New Roman" w:cs="Times New Roman"/>
                      <w:color w:val="auto"/>
                      <w:lang w:val="en-US" w:eastAsia="zh-CN"/>
                    </w:rPr>
                    <w:t>187.6</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6A7E6461">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沸点（℃）：</w:t>
                  </w:r>
                  <w:r>
                    <w:rPr>
                      <w:rFonts w:hint="default" w:ascii="Times New Roman" w:hAnsi="Times New Roman" w:cs="Times New Roman"/>
                      <w:color w:val="auto"/>
                      <w:lang w:val="en-US" w:eastAsia="zh-CN"/>
                    </w:rPr>
                    <w:t>-42.1</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0FEB5F50">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相对密度（水＝1）：</w:t>
                  </w:r>
                  <w:r>
                    <w:rPr>
                      <w:rFonts w:hint="default" w:ascii="Times New Roman" w:hAnsi="Times New Roman" w:cs="Times New Roman"/>
                      <w:color w:val="auto"/>
                      <w:lang w:val="en-US" w:eastAsia="zh-CN"/>
                    </w:rPr>
                    <w:t>0.58</w:t>
                  </w:r>
                </w:p>
              </w:tc>
            </w:tr>
            <w:tr w14:paraId="69F58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713C28C4">
                  <w:pPr>
                    <w:widowControl/>
                    <w:jc w:val="left"/>
                    <w:rPr>
                      <w:rFonts w:hint="default" w:ascii="Times New Roman" w:hAnsi="Times New Roman" w:cs="Times New Roman"/>
                      <w:color w:val="auto"/>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356076F7">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临界温度（℃）：</w:t>
                  </w:r>
                  <w:r>
                    <w:rPr>
                      <w:rFonts w:hint="default" w:ascii="Times New Roman" w:hAnsi="Times New Roman" w:cs="Times New Roman"/>
                      <w:color w:val="auto"/>
                      <w:lang w:val="en-US" w:eastAsia="zh-CN"/>
                    </w:rPr>
                    <w:t>96.8</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7015502B">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临界压力（MPa）：</w:t>
                  </w:r>
                  <w:r>
                    <w:rPr>
                      <w:rFonts w:hint="default" w:ascii="Times New Roman" w:hAnsi="Times New Roman" w:cs="Times New Roman"/>
                      <w:color w:val="auto"/>
                      <w:lang w:val="en-US" w:eastAsia="zh-CN"/>
                    </w:rPr>
                    <w:t>4.25</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7C23E0F4">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相对密度（空气＝1）：</w:t>
                  </w:r>
                  <w:r>
                    <w:rPr>
                      <w:rFonts w:hint="default" w:ascii="Times New Roman" w:hAnsi="Times New Roman" w:cs="Times New Roman"/>
                      <w:color w:val="auto"/>
                      <w:lang w:val="en-US" w:eastAsia="zh-CN"/>
                    </w:rPr>
                    <w:t>1.56</w:t>
                  </w:r>
                </w:p>
              </w:tc>
            </w:tr>
            <w:tr w14:paraId="447B1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50099186">
                  <w:pPr>
                    <w:widowControl/>
                    <w:jc w:val="left"/>
                    <w:rPr>
                      <w:rFonts w:hint="default" w:ascii="Times New Roman" w:hAnsi="Times New Roman" w:cs="Times New Roman"/>
                      <w:color w:val="auto"/>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7EF1F2F9">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燃烧热（KJ/mol）：</w:t>
                  </w:r>
                  <w:r>
                    <w:rPr>
                      <w:rFonts w:hint="default" w:ascii="Times New Roman" w:hAnsi="Times New Roman" w:cs="Times New Roman"/>
                      <w:color w:val="auto"/>
                      <w:lang w:val="en-US" w:eastAsia="zh-CN"/>
                    </w:rPr>
                    <w:t>2217.8</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189214E8">
                  <w:pPr>
                    <w:spacing w:line="320" w:lineRule="exact"/>
                    <w:rPr>
                      <w:rFonts w:hint="default" w:ascii="Times New Roman" w:hAnsi="Times New Roman" w:cs="Times New Roman"/>
                      <w:color w:val="auto"/>
                    </w:rPr>
                  </w:pPr>
                  <w:r>
                    <w:rPr>
                      <w:rFonts w:hint="default" w:ascii="Times New Roman" w:hAnsi="Times New Roman" w:cs="Times New Roman"/>
                      <w:color w:val="auto"/>
                    </w:rPr>
                    <w:t>最小点火能（mJ）：无资料</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2806F84C">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饱和蒸汽压（KPa）：</w:t>
                  </w:r>
                  <w:r>
                    <w:rPr>
                      <w:rFonts w:hint="default" w:ascii="Times New Roman" w:hAnsi="Times New Roman" w:cs="Times New Roman"/>
                      <w:color w:val="auto"/>
                      <w:lang w:val="en-US" w:eastAsia="zh-CN"/>
                    </w:rPr>
                    <w:t>53.52</w:t>
                  </w:r>
                </w:p>
              </w:tc>
            </w:tr>
            <w:tr w14:paraId="2C218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4594095D">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燃烧爆炸危险性</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3F9B359C">
                  <w:pPr>
                    <w:spacing w:line="320" w:lineRule="exact"/>
                    <w:rPr>
                      <w:rFonts w:hint="default" w:ascii="Times New Roman" w:hAnsi="Times New Roman" w:cs="Times New Roman"/>
                      <w:color w:val="auto"/>
                    </w:rPr>
                  </w:pPr>
                  <w:r>
                    <w:rPr>
                      <w:rFonts w:hint="default" w:ascii="Times New Roman" w:hAnsi="Times New Roman" w:cs="Times New Roman"/>
                      <w:color w:val="auto"/>
                    </w:rPr>
                    <w:t>燃烧性：易燃</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6268C3E9">
                  <w:pPr>
                    <w:spacing w:line="320" w:lineRule="exact"/>
                    <w:rPr>
                      <w:rFonts w:hint="default" w:ascii="Times New Roman" w:hAnsi="Times New Roman" w:cs="Times New Roman"/>
                      <w:color w:val="auto"/>
                    </w:rPr>
                  </w:pPr>
                  <w:r>
                    <w:rPr>
                      <w:rFonts w:hint="default" w:ascii="Times New Roman" w:hAnsi="Times New Roman" w:cs="Times New Roman"/>
                      <w:color w:val="auto"/>
                    </w:rPr>
                    <w:t>燃烧分解产物：一氧化碳、二氧化碳。</w:t>
                  </w:r>
                </w:p>
              </w:tc>
            </w:tr>
            <w:tr w14:paraId="643AA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19CA0A43">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7DBD1DB0">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闪点（℃）：</w:t>
                  </w:r>
                  <w:r>
                    <w:rPr>
                      <w:rFonts w:hint="default" w:ascii="Times New Roman" w:hAnsi="Times New Roman" w:cs="Times New Roman"/>
                      <w:color w:val="auto"/>
                      <w:lang w:val="en-US" w:eastAsia="zh-CN"/>
                    </w:rPr>
                    <w:t>-104</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4A687CBF">
                  <w:pPr>
                    <w:spacing w:line="320" w:lineRule="exact"/>
                    <w:rPr>
                      <w:rFonts w:hint="default" w:ascii="Times New Roman" w:hAnsi="Times New Roman" w:cs="Times New Roman"/>
                      <w:color w:val="auto"/>
                    </w:rPr>
                  </w:pPr>
                  <w:r>
                    <w:rPr>
                      <w:rFonts w:hint="default" w:ascii="Times New Roman" w:hAnsi="Times New Roman" w:cs="Times New Roman"/>
                      <w:color w:val="auto"/>
                    </w:rPr>
                    <w:t>聚合危害：无资料</w:t>
                  </w:r>
                </w:p>
              </w:tc>
            </w:tr>
            <w:tr w14:paraId="6DCA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4B660513">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058CAD4A">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爆炸下限（％）：</w:t>
                  </w:r>
                  <w:r>
                    <w:rPr>
                      <w:rFonts w:hint="default" w:ascii="Times New Roman" w:hAnsi="Times New Roman" w:cs="Times New Roman"/>
                      <w:color w:val="auto"/>
                      <w:lang w:val="en-US" w:eastAsia="zh-CN"/>
                    </w:rPr>
                    <w:t>2.1</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764B1F5C">
                  <w:pPr>
                    <w:spacing w:line="320" w:lineRule="exact"/>
                    <w:rPr>
                      <w:rFonts w:hint="default" w:ascii="Times New Roman" w:hAnsi="Times New Roman" w:cs="Times New Roman"/>
                      <w:color w:val="auto"/>
                    </w:rPr>
                  </w:pPr>
                  <w:r>
                    <w:rPr>
                      <w:rFonts w:hint="default" w:ascii="Times New Roman" w:hAnsi="Times New Roman" w:cs="Times New Roman"/>
                      <w:color w:val="auto"/>
                    </w:rPr>
                    <w:t>稳定性：无资料</w:t>
                  </w:r>
                </w:p>
              </w:tc>
            </w:tr>
            <w:tr w14:paraId="5BBED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5DA0AD7C">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45075409">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爆炸上限（％）：</w:t>
                  </w:r>
                  <w:r>
                    <w:rPr>
                      <w:rFonts w:hint="default" w:ascii="Times New Roman" w:hAnsi="Times New Roman" w:cs="Times New Roman"/>
                      <w:color w:val="auto"/>
                      <w:lang w:val="en-US" w:eastAsia="zh-CN"/>
                    </w:rPr>
                    <w:t>9.5</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20E59D2B">
                  <w:pPr>
                    <w:spacing w:line="320" w:lineRule="exact"/>
                    <w:rPr>
                      <w:rFonts w:hint="default" w:ascii="Times New Roman" w:hAnsi="Times New Roman" w:cs="Times New Roman"/>
                      <w:color w:val="auto"/>
                    </w:rPr>
                  </w:pPr>
                  <w:r>
                    <w:rPr>
                      <w:rFonts w:hint="default" w:ascii="Times New Roman" w:hAnsi="Times New Roman" w:cs="Times New Roman"/>
                      <w:color w:val="auto"/>
                    </w:rPr>
                    <w:t>最大爆炸压力（MPa）：无资料</w:t>
                  </w:r>
                </w:p>
              </w:tc>
            </w:tr>
            <w:tr w14:paraId="608D3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423D05FF">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04FC893B">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引燃温度（℃）：</w:t>
                  </w:r>
                  <w:r>
                    <w:rPr>
                      <w:rFonts w:hint="default" w:ascii="Times New Roman" w:hAnsi="Times New Roman" w:cs="Times New Roman"/>
                      <w:color w:val="auto"/>
                      <w:lang w:val="en-US" w:eastAsia="zh-CN"/>
                    </w:rPr>
                    <w:t>450</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1203A243">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禁忌物：强氧化剂</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卤素。</w:t>
                  </w:r>
                </w:p>
              </w:tc>
            </w:tr>
            <w:tr w14:paraId="162707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7BCC4C50">
                  <w:pPr>
                    <w:widowControl/>
                    <w:jc w:val="left"/>
                    <w:rPr>
                      <w:rFonts w:hint="default" w:ascii="Times New Roman" w:hAnsi="Times New Roman" w:cs="Times New Roman"/>
                      <w:color w:val="auto"/>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50AD7A36">
                  <w:pPr>
                    <w:spacing w:line="320" w:lineRule="exact"/>
                    <w:rPr>
                      <w:rFonts w:hint="default" w:ascii="Times New Roman" w:hAnsi="Times New Roman" w:cs="Times New Roman"/>
                      <w:color w:val="auto"/>
                    </w:rPr>
                  </w:pPr>
                  <w:r>
                    <w:rPr>
                      <w:rFonts w:hint="default" w:ascii="Times New Roman" w:hAnsi="Times New Roman" w:cs="Times New Roman"/>
                      <w:color w:val="auto"/>
                    </w:rPr>
                    <w:t>危险特性：易燃气体。与空气混合能形成爆炸性混合物，遇热源和明火有燃烧爆炸的危险。与氧化剂接触猛烈反应。气体比空气重，能在较低处扩散到相当远的地方，遇火源会着火回燃。</w:t>
                  </w:r>
                </w:p>
              </w:tc>
            </w:tr>
            <w:tr w14:paraId="78D94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782265A5">
                  <w:pPr>
                    <w:widowControl/>
                    <w:jc w:val="left"/>
                    <w:rPr>
                      <w:rFonts w:hint="default" w:ascii="Times New Roman" w:hAnsi="Times New Roman" w:cs="Times New Roman"/>
                      <w:color w:val="auto"/>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6B76736B">
                  <w:pPr>
                    <w:spacing w:line="320" w:lineRule="exact"/>
                    <w:rPr>
                      <w:rFonts w:hint="default" w:ascii="Times New Roman" w:hAnsi="Times New Roman" w:cs="Times New Roman"/>
                      <w:color w:val="auto"/>
                    </w:rPr>
                  </w:pPr>
                  <w:r>
                    <w:rPr>
                      <w:rFonts w:hint="default" w:ascii="Times New Roman" w:hAnsi="Times New Roman" w:cs="Times New Roman"/>
                      <w:color w:val="auto"/>
                    </w:rPr>
                    <w:t>灭火剂：喷水冷却容器，可能的话将容器从火场移至空旷处。</w:t>
                  </w:r>
                  <w:r>
                    <w:rPr>
                      <w:rFonts w:hint="default" w:ascii="Times New Roman" w:hAnsi="Times New Roman" w:cs="Times New Roman"/>
                      <w:color w:val="auto"/>
                      <w:lang w:val="en-US" w:eastAsia="zh-CN"/>
                    </w:rPr>
                    <w:t>雾状水、</w:t>
                  </w:r>
                  <w:r>
                    <w:rPr>
                      <w:rFonts w:hint="default" w:ascii="Times New Roman" w:hAnsi="Times New Roman" w:cs="Times New Roman"/>
                      <w:color w:val="auto"/>
                    </w:rPr>
                    <w:t>泡沫、二氧化碳、干粉。</w:t>
                  </w:r>
                </w:p>
              </w:tc>
            </w:tr>
            <w:tr w14:paraId="728C9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282F5DA6">
                  <w:pPr>
                    <w:jc w:val="center"/>
                    <w:rPr>
                      <w:rFonts w:hint="default" w:ascii="Times New Roman" w:hAnsi="Times New Roman" w:cs="Times New Roman"/>
                      <w:color w:val="auto"/>
                    </w:rPr>
                  </w:pPr>
                  <w:r>
                    <w:rPr>
                      <w:rFonts w:hint="default" w:ascii="Times New Roman" w:hAnsi="Times New Roman" w:cs="Times New Roman"/>
                      <w:color w:val="auto"/>
                    </w:rPr>
                    <w:t>毒性</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4587A3EF">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接触限值： 中国MAC（mg/m</w:t>
                  </w:r>
                  <w:r>
                    <w:rPr>
                      <w:rFonts w:hint="default" w:ascii="Times New Roman" w:hAnsi="Times New Roman" w:cs="Times New Roman"/>
                      <w:color w:val="auto"/>
                      <w:vertAlign w:val="superscript"/>
                    </w:rPr>
                    <w:t>3</w:t>
                  </w:r>
                  <w:r>
                    <w:rPr>
                      <w:rFonts w:hint="default" w:ascii="Times New Roman" w:hAnsi="Times New Roman" w:cs="Times New Roman"/>
                      <w:color w:val="auto"/>
                    </w:rPr>
                    <w:t>） 未制定标准    前苏联 MAC（mg/m</w:t>
                  </w:r>
                  <w:r>
                    <w:rPr>
                      <w:rFonts w:hint="default" w:ascii="Times New Roman" w:hAnsi="Times New Roman" w:cs="Times New Roman"/>
                      <w:color w:val="auto"/>
                      <w:vertAlign w:val="superscript"/>
                    </w:rPr>
                    <w:t>3</w:t>
                  </w:r>
                  <w:r>
                    <w:rPr>
                      <w:rFonts w:hint="default" w:ascii="Times New Roman" w:hAnsi="Times New Roman" w:cs="Times New Roman"/>
                      <w:color w:val="auto"/>
                    </w:rPr>
                    <w:t xml:space="preserve">） </w:t>
                  </w:r>
                  <w:r>
                    <w:rPr>
                      <w:rFonts w:hint="default" w:ascii="Times New Roman" w:hAnsi="Times New Roman" w:cs="Times New Roman"/>
                      <w:color w:val="auto"/>
                      <w:lang w:val="en-US" w:eastAsia="zh-CN"/>
                    </w:rPr>
                    <w:t>300</w:t>
                  </w:r>
                </w:p>
                <w:p w14:paraId="215DBA4E">
                  <w:pPr>
                    <w:spacing w:line="320" w:lineRule="exact"/>
                    <w:rPr>
                      <w:rFonts w:hint="default" w:ascii="Times New Roman" w:hAnsi="Times New Roman" w:cs="Times New Roman"/>
                      <w:color w:val="auto"/>
                    </w:rPr>
                  </w:pPr>
                  <w:r>
                    <w:rPr>
                      <w:rFonts w:hint="default" w:ascii="Times New Roman" w:hAnsi="Times New Roman" w:cs="Times New Roman"/>
                      <w:color w:val="auto"/>
                    </w:rPr>
                    <w:t>毒理资料：</w:t>
                  </w:r>
                </w:p>
              </w:tc>
            </w:tr>
            <w:tr w14:paraId="6556C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38" w:type="pct"/>
                  <w:tcBorders>
                    <w:top w:val="single" w:color="auto" w:sz="4" w:space="0"/>
                    <w:left w:val="single" w:color="auto" w:sz="4" w:space="0"/>
                    <w:bottom w:val="single" w:color="auto" w:sz="4" w:space="0"/>
                    <w:right w:val="single" w:color="auto" w:sz="4" w:space="0"/>
                  </w:tcBorders>
                  <w:noWrap w:val="0"/>
                  <w:vAlign w:val="center"/>
                </w:tcPr>
                <w:p w14:paraId="10CF79EB">
                  <w:pPr>
                    <w:spacing w:line="240" w:lineRule="exact"/>
                    <w:jc w:val="center"/>
                    <w:rPr>
                      <w:rFonts w:hint="default" w:ascii="Times New Roman" w:hAnsi="Times New Roman" w:cs="Times New Roman"/>
                      <w:color w:val="auto"/>
                    </w:rPr>
                  </w:pPr>
                  <w:r>
                    <w:rPr>
                      <w:rFonts w:hint="default" w:ascii="Times New Roman" w:hAnsi="Times New Roman" w:cs="Times New Roman"/>
                      <w:color w:val="auto"/>
                    </w:rPr>
                    <w:t>对人体危害</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74B08108">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rPr>
                  </w:pPr>
                  <w:r>
                    <w:rPr>
                      <w:rFonts w:hint="default" w:ascii="Times New Roman" w:hAnsi="Times New Roman" w:cs="Times New Roman"/>
                      <w:color w:val="auto"/>
                    </w:rPr>
                    <w:t>侵入途径： 吸入。</w:t>
                  </w:r>
                </w:p>
                <w:p w14:paraId="126B85D4">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rPr>
                  </w:pPr>
                  <w:r>
                    <w:rPr>
                      <w:rFonts w:hint="default" w:ascii="Times New Roman" w:hAnsi="Times New Roman" w:cs="Times New Roman"/>
                      <w:color w:val="auto"/>
                    </w:rPr>
                    <w:t>健康危害：本品有单纯性窒息及麻醉作用。人短暂接触 1%丙烷，不引起症状;10%以下的浓度，只引起轻度头晕;接触高浓度时可出现麻醉状态、意识丧失;极高浓度时可致窒息。</w:t>
                  </w:r>
                </w:p>
              </w:tc>
            </w:tr>
            <w:tr w14:paraId="758AC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197ECDEE">
                  <w:pPr>
                    <w:spacing w:line="320" w:lineRule="exact"/>
                    <w:jc w:val="center"/>
                    <w:rPr>
                      <w:rFonts w:hint="default" w:ascii="Times New Roman" w:hAnsi="Times New Roman" w:cs="Times New Roman"/>
                      <w:color w:val="auto"/>
                    </w:rPr>
                  </w:pPr>
                  <w:r>
                    <w:rPr>
                      <w:rFonts w:hint="default" w:ascii="Times New Roman" w:hAnsi="Times New Roman" w:cs="Times New Roman"/>
                      <w:color w:val="auto"/>
                    </w:rPr>
                    <w:t>急救</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76103EF2">
                  <w:pPr>
                    <w:spacing w:line="300" w:lineRule="exact"/>
                    <w:rPr>
                      <w:rFonts w:hint="default" w:ascii="Times New Roman" w:hAnsi="Times New Roman" w:cs="Times New Roman"/>
                      <w:color w:val="auto"/>
                    </w:rPr>
                  </w:pPr>
                  <w:r>
                    <w:rPr>
                      <w:rFonts w:hint="default" w:ascii="Times New Roman" w:hAnsi="Times New Roman" w:cs="Times New Roman"/>
                      <w:color w:val="auto"/>
                    </w:rPr>
                    <w:t>吸入：迅速脱离现场至空气新鲜处。保持呼吸道通畅。如呼吸困难，给输。如呼吸停止，立即进行人工呼吸。就医。</w:t>
                  </w:r>
                </w:p>
              </w:tc>
            </w:tr>
            <w:tr w14:paraId="57273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40B60E1D">
                  <w:pPr>
                    <w:spacing w:line="500" w:lineRule="exact"/>
                    <w:jc w:val="center"/>
                    <w:rPr>
                      <w:rFonts w:hint="default" w:ascii="Times New Roman" w:hAnsi="Times New Roman" w:cs="Times New Roman"/>
                      <w:color w:val="auto"/>
                    </w:rPr>
                  </w:pPr>
                  <w:r>
                    <w:rPr>
                      <w:rFonts w:hint="default" w:ascii="Times New Roman" w:hAnsi="Times New Roman" w:cs="Times New Roman"/>
                      <w:color w:val="auto"/>
                    </w:rPr>
                    <w:t>防护</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219E63B3">
                  <w:pPr>
                    <w:spacing w:line="30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工程防护：</w:t>
                  </w:r>
                  <w:r>
                    <w:rPr>
                      <w:rFonts w:hint="default" w:ascii="Times New Roman" w:hAnsi="Times New Roman" w:cs="Times New Roman"/>
                      <w:color w:val="auto"/>
                      <w:lang w:val="en-US" w:eastAsia="zh-CN"/>
                    </w:rPr>
                    <w:t>生产过程密闭，全面通风。</w:t>
                  </w:r>
                </w:p>
                <w:p w14:paraId="2C49D569">
                  <w:pPr>
                    <w:pStyle w:val="15"/>
                    <w:rPr>
                      <w:rFonts w:hint="default" w:ascii="Times New Roman" w:hAnsi="Times New Roman" w:cs="Times New Roman"/>
                      <w:color w:val="auto"/>
                      <w:lang w:eastAsia="zh-CN"/>
                    </w:rPr>
                  </w:pPr>
                  <w:r>
                    <w:rPr>
                      <w:rFonts w:hint="default" w:ascii="Times New Roman" w:hAnsi="Times New Roman" w:cs="Times New Roman"/>
                      <w:color w:val="auto"/>
                    </w:rPr>
                    <w:t>呼吸系统防护</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一</w:t>
                  </w:r>
                  <w:r>
                    <w:rPr>
                      <w:rFonts w:hint="default" w:ascii="Times New Roman" w:hAnsi="Times New Roman" w:cs="Times New Roman"/>
                      <w:color w:val="auto"/>
                      <w:lang w:eastAsia="zh-CN"/>
                    </w:rPr>
                    <w:t>般不需要特殊防护，但建议特殊情况下，佩戴自吸过滤式防毒面具(半面罩)。</w:t>
                  </w:r>
                </w:p>
                <w:p w14:paraId="59372F0B">
                  <w:pPr>
                    <w:pStyle w:val="15"/>
                    <w:rPr>
                      <w:rFonts w:hint="default" w:ascii="Times New Roman" w:hAnsi="Times New Roman" w:cs="Times New Roman"/>
                      <w:color w:val="auto"/>
                      <w:lang w:eastAsia="zh-CN"/>
                    </w:rPr>
                  </w:pPr>
                  <w:r>
                    <w:rPr>
                      <w:rFonts w:hint="default" w:ascii="Times New Roman" w:hAnsi="Times New Roman" w:cs="Times New Roman"/>
                      <w:color w:val="auto"/>
                      <w:lang w:eastAsia="zh-CN"/>
                    </w:rPr>
                    <w:t>眼睛防护：</w:t>
                  </w:r>
                  <w:r>
                    <w:rPr>
                      <w:rFonts w:hint="default" w:ascii="Times New Roman" w:hAnsi="Times New Roman" w:cs="Times New Roman"/>
                      <w:color w:val="auto"/>
                      <w:lang w:val="en-US" w:eastAsia="zh-CN"/>
                    </w:rPr>
                    <w:t>一</w:t>
                  </w:r>
                  <w:r>
                    <w:rPr>
                      <w:rFonts w:hint="default" w:ascii="Times New Roman" w:hAnsi="Times New Roman" w:cs="Times New Roman"/>
                      <w:color w:val="auto"/>
                      <w:lang w:eastAsia="zh-CN"/>
                    </w:rPr>
                    <w:t>般不需要特殊防护，高浓度接触时可戴安全防护眼镜。</w:t>
                  </w:r>
                </w:p>
                <w:p w14:paraId="68A60973">
                  <w:pPr>
                    <w:pStyle w:val="15"/>
                    <w:rPr>
                      <w:rFonts w:hint="default" w:ascii="Times New Roman" w:hAnsi="Times New Roman" w:cs="Times New Roman"/>
                      <w:color w:val="auto"/>
                      <w:lang w:eastAsia="zh-CN"/>
                    </w:rPr>
                  </w:pPr>
                  <w:r>
                    <w:rPr>
                      <w:rFonts w:hint="default" w:ascii="Times New Roman" w:hAnsi="Times New Roman" w:cs="Times New Roman"/>
                      <w:color w:val="auto"/>
                      <w:lang w:eastAsia="zh-CN"/>
                    </w:rPr>
                    <w:t>身体防护:穿防静电工作服。</w:t>
                  </w:r>
                </w:p>
                <w:p w14:paraId="68C54654">
                  <w:pPr>
                    <w:pStyle w:val="15"/>
                    <w:rPr>
                      <w:rFonts w:hint="default" w:ascii="Times New Roman" w:hAnsi="Times New Roman" w:cs="Times New Roman"/>
                      <w:color w:val="auto"/>
                      <w:lang w:eastAsia="zh-CN"/>
                    </w:rPr>
                  </w:pPr>
                  <w:r>
                    <w:rPr>
                      <w:rFonts w:hint="default" w:ascii="Times New Roman" w:hAnsi="Times New Roman" w:cs="Times New Roman"/>
                      <w:color w:val="auto"/>
                      <w:lang w:eastAsia="zh-CN"/>
                    </w:rPr>
                    <w:t>手防护:戴一般作业防护手套。</w:t>
                  </w:r>
                </w:p>
                <w:p w14:paraId="2A6DE8EE">
                  <w:pPr>
                    <w:pStyle w:val="15"/>
                    <w:rPr>
                      <w:rFonts w:hint="default" w:ascii="Times New Roman" w:hAnsi="Times New Roman" w:cs="Times New Roman"/>
                      <w:color w:val="auto"/>
                      <w:lang w:eastAsia="zh-CN"/>
                    </w:rPr>
                  </w:pPr>
                  <w:r>
                    <w:rPr>
                      <w:rFonts w:hint="default" w:ascii="Times New Roman" w:hAnsi="Times New Roman" w:cs="Times New Roman"/>
                      <w:color w:val="auto"/>
                      <w:lang w:eastAsia="zh-CN"/>
                    </w:rPr>
                    <w:t>其他防护:工作现场严禁吸烟。避免长期反复接触。进入罐、限制性空间或其它高浓度区作业，须有人监护。</w:t>
                  </w:r>
                </w:p>
                <w:p w14:paraId="42F6B51B">
                  <w:pPr>
                    <w:pStyle w:val="15"/>
                    <w:rPr>
                      <w:rFonts w:hint="default" w:ascii="Times New Roman" w:hAnsi="Times New Roman" w:cs="Times New Roman"/>
                      <w:color w:val="auto"/>
                    </w:rPr>
                  </w:pPr>
                  <w:r>
                    <w:rPr>
                      <w:rFonts w:hint="default" w:ascii="Times New Roman" w:hAnsi="Times New Roman" w:cs="Times New Roman"/>
                      <w:color w:val="auto"/>
                    </w:rPr>
                    <w:t>个人防护： 空气中浓度较高时，建议佩戴自吸过滤式防毒面具（半面罩）。眼睛防护要戴安全防护眼镜；穿防毒物渗透工作服；戴乳胶手套。工作现场严禁吸烟。工作毕，淋浴更衣。注意个人清洁卫生。</w:t>
                  </w:r>
                </w:p>
              </w:tc>
            </w:tr>
            <w:tr w14:paraId="38549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1AE070AF">
                  <w:pPr>
                    <w:spacing w:line="300" w:lineRule="exact"/>
                    <w:jc w:val="center"/>
                    <w:rPr>
                      <w:rFonts w:hint="default" w:ascii="Times New Roman" w:hAnsi="Times New Roman" w:cs="Times New Roman"/>
                      <w:color w:val="auto"/>
                    </w:rPr>
                  </w:pPr>
                  <w:r>
                    <w:rPr>
                      <w:rFonts w:hint="default" w:ascii="Times New Roman" w:hAnsi="Times New Roman" w:cs="Times New Roman"/>
                      <w:color w:val="auto"/>
                    </w:rPr>
                    <w:t>泄漏处理</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353A649F">
                  <w:pPr>
                    <w:spacing w:line="300" w:lineRule="exact"/>
                    <w:rPr>
                      <w:rFonts w:hint="default" w:ascii="Times New Roman" w:hAnsi="Times New Roman" w:cs="Times New Roman"/>
                      <w:color w:val="auto"/>
                    </w:rPr>
                  </w:pPr>
                  <w:r>
                    <w:rPr>
                      <w:rFonts w:hint="default" w:ascii="Times New Roman" w:hAnsi="Times New Roman" w:cs="Times New Roman"/>
                      <w:color w:val="auto"/>
                    </w:rPr>
                    <w:t>迅速撤离泄漏污染区人员至上风处，并进行隔离，严格限制出入。切断火源。建议应急处理人员戴自给正压式呼吸器，穿防静电工作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r w14:paraId="13AF0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8" w:hRule="atLeast"/>
              </w:trPr>
              <w:tc>
                <w:tcPr>
                  <w:tcW w:w="238" w:type="pct"/>
                  <w:tcBorders>
                    <w:top w:val="single" w:color="auto" w:sz="4" w:space="0"/>
                    <w:left w:val="single" w:color="auto" w:sz="4" w:space="0"/>
                    <w:bottom w:val="single" w:color="auto" w:sz="4" w:space="0"/>
                    <w:right w:val="single" w:color="auto" w:sz="4" w:space="0"/>
                  </w:tcBorders>
                  <w:noWrap w:val="0"/>
                  <w:vAlign w:val="center"/>
                </w:tcPr>
                <w:p w14:paraId="00886705">
                  <w:pPr>
                    <w:spacing w:line="500" w:lineRule="atLeast"/>
                    <w:jc w:val="center"/>
                    <w:rPr>
                      <w:rFonts w:hint="default" w:ascii="Times New Roman" w:hAnsi="Times New Roman" w:cs="Times New Roman"/>
                      <w:color w:val="auto"/>
                    </w:rPr>
                  </w:pPr>
                  <w:r>
                    <w:rPr>
                      <w:rFonts w:hint="default" w:ascii="Times New Roman" w:hAnsi="Times New Roman" w:cs="Times New Roman"/>
                      <w:color w:val="auto"/>
                    </w:rPr>
                    <w:t>贮运</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08642DB6">
                  <w:pPr>
                    <w:spacing w:line="30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包装标志：      UN编号：</w:t>
                  </w:r>
                  <w:r>
                    <w:rPr>
                      <w:rFonts w:hint="default" w:ascii="Times New Roman" w:hAnsi="Times New Roman" w:cs="Times New Roman"/>
                      <w:color w:val="auto"/>
                      <w:lang w:val="en-US" w:eastAsia="zh-CN"/>
                    </w:rPr>
                    <w:t>1978</w:t>
                  </w:r>
                  <w:r>
                    <w:rPr>
                      <w:rFonts w:hint="default" w:ascii="Times New Roman" w:hAnsi="Times New Roman" w:cs="Times New Roman"/>
                      <w:color w:val="auto"/>
                    </w:rPr>
                    <w:t xml:space="preserve">    包装分类：      包装方法：</w:t>
                  </w:r>
                  <w:r>
                    <w:rPr>
                      <w:rFonts w:hint="default" w:ascii="Times New Roman" w:hAnsi="Times New Roman" w:cs="Times New Roman"/>
                      <w:color w:val="auto"/>
                      <w:lang w:val="en-US" w:eastAsia="zh-CN"/>
                    </w:rPr>
                    <w:t>钢制气瓶</w:t>
                  </w:r>
                </w:p>
                <w:p w14:paraId="3A699227">
                  <w:pPr>
                    <w:spacing w:line="300" w:lineRule="exact"/>
                    <w:rPr>
                      <w:rFonts w:hint="default" w:ascii="Times New Roman" w:hAnsi="Times New Roman" w:cs="Times New Roman"/>
                      <w:color w:val="auto"/>
                    </w:rPr>
                  </w:pPr>
                  <w:r>
                    <w:rPr>
                      <w:rFonts w:hint="default" w:ascii="Times New Roman" w:hAnsi="Times New Roman" w:cs="Times New Roman"/>
                      <w:color w:val="auto"/>
                    </w:rPr>
                    <w:t>储运条件：储存于阴凉、通风的库房。远离火种、热源。库温不宜超过30℃。应与氧化剂、卤素分开存放，切忌混储。采用防爆型照明、通风设施。禁止使用易产生火花的机械设备和工具。储区应备有泄漏应急处理设备。</w:t>
                  </w:r>
                </w:p>
              </w:tc>
            </w:tr>
          </w:tbl>
          <w:p w14:paraId="0FE4914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lang w:val="en-US" w:eastAsia="zh-CN"/>
              </w:rPr>
            </w:pPr>
          </w:p>
          <w:p w14:paraId="7487AF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val="0"/>
                <w:color w:val="auto"/>
                <w:sz w:val="21"/>
                <w:szCs w:val="21"/>
              </w:rPr>
              <w:t>表2</w:t>
            </w:r>
            <w:r>
              <w:rPr>
                <w:rFonts w:hint="default" w:ascii="Times New Roman" w:hAnsi="Times New Roman" w:cs="Times New Roman"/>
                <w:b/>
                <w:bCs w:val="0"/>
                <w:color w:val="auto"/>
                <w:sz w:val="21"/>
                <w:szCs w:val="21"/>
                <w:lang w:val="en-US" w:eastAsia="zh-CN"/>
              </w:rPr>
              <w:t xml:space="preserve">.5-4  </w:t>
            </w:r>
            <w:r>
              <w:rPr>
                <w:rFonts w:hint="default" w:ascii="Times New Roman" w:hAnsi="Times New Roman" w:cs="Times New Roman"/>
                <w:b/>
                <w:bCs w:val="0"/>
                <w:color w:val="auto"/>
                <w:sz w:val="21"/>
                <w:szCs w:val="21"/>
              </w:rPr>
              <w:t xml:space="preserve"> </w:t>
            </w:r>
            <w:r>
              <w:rPr>
                <w:rFonts w:hint="default" w:ascii="Times New Roman" w:hAnsi="Times New Roman" w:cs="Times New Roman"/>
                <w:b/>
                <w:bCs w:val="0"/>
                <w:color w:val="auto"/>
                <w:sz w:val="21"/>
                <w:szCs w:val="21"/>
                <w:lang w:val="en-US" w:eastAsia="zh-CN"/>
              </w:rPr>
              <w:t>氧气</w:t>
            </w:r>
            <w:r>
              <w:rPr>
                <w:rFonts w:hint="default" w:ascii="Times New Roman" w:hAnsi="Times New Roman" w:cs="Times New Roman"/>
                <w:b/>
                <w:bCs w:val="0"/>
                <w:color w:val="auto"/>
                <w:sz w:val="21"/>
                <w:szCs w:val="21"/>
              </w:rPr>
              <w:t>主要理化性质及危险特性表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2602"/>
              <w:gridCol w:w="939"/>
              <w:gridCol w:w="1051"/>
              <w:gridCol w:w="552"/>
              <w:gridCol w:w="2218"/>
            </w:tblGrid>
            <w:tr w14:paraId="096F4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582" w:type="dxa"/>
                  <w:vMerge w:val="restart"/>
                  <w:tcBorders>
                    <w:top w:val="single" w:color="auto" w:sz="4" w:space="0"/>
                    <w:left w:val="single" w:color="auto" w:sz="4" w:space="0"/>
                    <w:bottom w:val="single" w:color="auto" w:sz="4" w:space="0"/>
                    <w:right w:val="single" w:color="auto" w:sz="4" w:space="0"/>
                  </w:tcBorders>
                  <w:noWrap w:val="0"/>
                  <w:vAlign w:val="center"/>
                </w:tcPr>
                <w:p w14:paraId="6FFAB827">
                  <w:pPr>
                    <w:spacing w:line="480" w:lineRule="exact"/>
                    <w:jc w:val="left"/>
                    <w:rPr>
                      <w:rFonts w:hint="default" w:ascii="Times New Roman" w:hAnsi="Times New Roman" w:cs="Times New Roman"/>
                      <w:sz w:val="21"/>
                      <w:szCs w:val="21"/>
                    </w:rPr>
                  </w:pPr>
                  <w:r>
                    <w:rPr>
                      <w:rFonts w:hint="default" w:ascii="Times New Roman" w:hAnsi="Times New Roman" w:cs="Times New Roman"/>
                      <w:sz w:val="21"/>
                      <w:szCs w:val="21"/>
                    </w:rPr>
                    <w:t>标识</w:t>
                  </w:r>
                </w:p>
              </w:tc>
              <w:tc>
                <w:tcPr>
                  <w:tcW w:w="3541" w:type="dxa"/>
                  <w:gridSpan w:val="2"/>
                  <w:tcBorders>
                    <w:top w:val="single" w:color="auto" w:sz="4" w:space="0"/>
                    <w:left w:val="single" w:color="auto" w:sz="4" w:space="0"/>
                    <w:bottom w:val="single" w:color="auto" w:sz="4" w:space="0"/>
                    <w:right w:val="single" w:color="auto" w:sz="4" w:space="0"/>
                  </w:tcBorders>
                  <w:noWrap w:val="0"/>
                  <w:vAlign w:val="center"/>
                </w:tcPr>
                <w:p w14:paraId="55AC454C">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中文名：氧、氧气</w:t>
                  </w:r>
                </w:p>
              </w:tc>
              <w:tc>
                <w:tcPr>
                  <w:tcW w:w="3821" w:type="dxa"/>
                  <w:gridSpan w:val="3"/>
                  <w:tcBorders>
                    <w:top w:val="single" w:color="auto" w:sz="4" w:space="0"/>
                    <w:left w:val="single" w:color="auto" w:sz="4" w:space="0"/>
                    <w:bottom w:val="single" w:color="auto" w:sz="4" w:space="0"/>
                    <w:right w:val="single" w:color="auto" w:sz="4" w:space="0"/>
                  </w:tcBorders>
                  <w:noWrap w:val="0"/>
                  <w:vAlign w:val="center"/>
                </w:tcPr>
                <w:p w14:paraId="1AB47782">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英文名：oxygen</w:t>
                  </w:r>
                </w:p>
              </w:tc>
            </w:tr>
            <w:tr w14:paraId="1A1DA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770180D1">
                  <w:pPr>
                    <w:widowControl/>
                    <w:jc w:val="left"/>
                    <w:rPr>
                      <w:rFonts w:hint="default" w:ascii="Times New Roman" w:hAnsi="Times New Roman" w:cs="Times New Roman"/>
                      <w:sz w:val="21"/>
                      <w:szCs w:val="21"/>
                    </w:rPr>
                  </w:pPr>
                </w:p>
              </w:tc>
              <w:tc>
                <w:tcPr>
                  <w:tcW w:w="2602" w:type="dxa"/>
                  <w:tcBorders>
                    <w:top w:val="single" w:color="auto" w:sz="4" w:space="0"/>
                    <w:left w:val="single" w:color="auto" w:sz="4" w:space="0"/>
                    <w:bottom w:val="single" w:color="auto" w:sz="4" w:space="0"/>
                    <w:right w:val="single" w:color="auto" w:sz="4" w:space="0"/>
                  </w:tcBorders>
                  <w:noWrap w:val="0"/>
                  <w:vAlign w:val="center"/>
                </w:tcPr>
                <w:p w14:paraId="03B84B8F">
                  <w:pPr>
                    <w:spacing w:line="340" w:lineRule="atLeast"/>
                    <w:jc w:val="left"/>
                    <w:rPr>
                      <w:rFonts w:hint="default" w:ascii="Times New Roman" w:hAnsi="Times New Roman" w:cs="Times New Roman"/>
                      <w:sz w:val="21"/>
                      <w:szCs w:val="21"/>
                      <w:vertAlign w:val="subscript"/>
                    </w:rPr>
                  </w:pPr>
                  <w:r>
                    <w:rPr>
                      <w:rFonts w:hint="default" w:ascii="Times New Roman" w:hAnsi="Times New Roman" w:cs="Times New Roman"/>
                      <w:sz w:val="21"/>
                      <w:szCs w:val="21"/>
                    </w:rPr>
                    <w:t>分子式：O</w:t>
                  </w:r>
                  <w:r>
                    <w:rPr>
                      <w:rFonts w:hint="default" w:ascii="Times New Roman" w:hAnsi="Times New Roman" w:cs="Times New Roman"/>
                      <w:sz w:val="21"/>
                      <w:szCs w:val="21"/>
                      <w:vertAlign w:val="subscript"/>
                    </w:rPr>
                    <w:t>2</w:t>
                  </w:r>
                </w:p>
              </w:tc>
              <w:tc>
                <w:tcPr>
                  <w:tcW w:w="2542" w:type="dxa"/>
                  <w:gridSpan w:val="3"/>
                  <w:tcBorders>
                    <w:top w:val="single" w:color="auto" w:sz="4" w:space="0"/>
                    <w:left w:val="single" w:color="auto" w:sz="4" w:space="0"/>
                    <w:bottom w:val="single" w:color="auto" w:sz="4" w:space="0"/>
                    <w:right w:val="single" w:color="auto" w:sz="4" w:space="0"/>
                  </w:tcBorders>
                  <w:noWrap w:val="0"/>
                  <w:vAlign w:val="center"/>
                </w:tcPr>
                <w:p w14:paraId="52AB5B4B">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分子量：32.00</w:t>
                  </w:r>
                </w:p>
              </w:tc>
              <w:tc>
                <w:tcPr>
                  <w:tcW w:w="2218" w:type="dxa"/>
                  <w:tcBorders>
                    <w:top w:val="single" w:color="auto" w:sz="4" w:space="0"/>
                    <w:left w:val="single" w:color="auto" w:sz="4" w:space="0"/>
                    <w:bottom w:val="single" w:color="auto" w:sz="4" w:space="0"/>
                    <w:right w:val="single" w:color="auto" w:sz="4" w:space="0"/>
                  </w:tcBorders>
                  <w:noWrap w:val="0"/>
                  <w:vAlign w:val="center"/>
                </w:tcPr>
                <w:p w14:paraId="6DCCE736">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CAS号：7782－44－7</w:t>
                  </w:r>
                </w:p>
              </w:tc>
            </w:tr>
            <w:tr w14:paraId="2C7F1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1195DE4C">
                  <w:pPr>
                    <w:widowControl/>
                    <w:jc w:val="left"/>
                    <w:rPr>
                      <w:rFonts w:hint="default" w:ascii="Times New Roman" w:hAnsi="Times New Roman" w:cs="Times New Roman"/>
                      <w:sz w:val="21"/>
                      <w:szCs w:val="21"/>
                    </w:rPr>
                  </w:pP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388A2E30">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危规号：22001</w:t>
                  </w:r>
                </w:p>
              </w:tc>
            </w:tr>
            <w:tr w14:paraId="41154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582" w:type="dxa"/>
                  <w:vMerge w:val="restart"/>
                  <w:tcBorders>
                    <w:top w:val="single" w:color="auto" w:sz="4" w:space="0"/>
                    <w:left w:val="single" w:color="auto" w:sz="4" w:space="0"/>
                    <w:bottom w:val="single" w:color="auto" w:sz="4" w:space="0"/>
                    <w:right w:val="single" w:color="auto" w:sz="4" w:space="0"/>
                  </w:tcBorders>
                  <w:noWrap w:val="0"/>
                  <w:vAlign w:val="center"/>
                </w:tcPr>
                <w:p w14:paraId="37FC4627">
                  <w:pPr>
                    <w:spacing w:line="380" w:lineRule="exact"/>
                    <w:jc w:val="left"/>
                    <w:rPr>
                      <w:rFonts w:hint="default" w:ascii="Times New Roman" w:hAnsi="Times New Roman" w:cs="Times New Roman"/>
                      <w:sz w:val="21"/>
                      <w:szCs w:val="21"/>
                    </w:rPr>
                  </w:pPr>
                  <w:r>
                    <w:rPr>
                      <w:rFonts w:hint="default" w:ascii="Times New Roman" w:hAnsi="Times New Roman" w:cs="Times New Roman"/>
                      <w:sz w:val="21"/>
                      <w:szCs w:val="21"/>
                    </w:rPr>
                    <w:t>理化性质</w:t>
                  </w: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37785112">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性状：无色无臭气体</w:t>
                  </w:r>
                </w:p>
              </w:tc>
            </w:tr>
            <w:tr w14:paraId="47ADA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6668D00A">
                  <w:pPr>
                    <w:widowControl/>
                    <w:jc w:val="left"/>
                    <w:rPr>
                      <w:rFonts w:hint="default" w:ascii="Times New Roman" w:hAnsi="Times New Roman" w:cs="Times New Roman"/>
                      <w:sz w:val="21"/>
                      <w:szCs w:val="21"/>
                    </w:rPr>
                  </w:pP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3E55438C">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溶解性：溶于水、乙醇</w:t>
                  </w:r>
                </w:p>
              </w:tc>
            </w:tr>
            <w:tr w14:paraId="45286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40A5AF5F">
                  <w:pPr>
                    <w:widowControl/>
                    <w:jc w:val="left"/>
                    <w:rPr>
                      <w:rFonts w:hint="default" w:ascii="Times New Roman" w:hAnsi="Times New Roman" w:cs="Times New Roman"/>
                      <w:sz w:val="21"/>
                      <w:szCs w:val="21"/>
                    </w:rPr>
                  </w:pPr>
                </w:p>
              </w:tc>
              <w:tc>
                <w:tcPr>
                  <w:tcW w:w="2602" w:type="dxa"/>
                  <w:tcBorders>
                    <w:top w:val="single" w:color="auto" w:sz="4" w:space="0"/>
                    <w:left w:val="single" w:color="auto" w:sz="4" w:space="0"/>
                    <w:bottom w:val="single" w:color="auto" w:sz="4" w:space="0"/>
                    <w:right w:val="single" w:color="auto" w:sz="4" w:space="0"/>
                  </w:tcBorders>
                  <w:noWrap w:val="0"/>
                  <w:vAlign w:val="center"/>
                </w:tcPr>
                <w:p w14:paraId="279387B1">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熔点（℃）：－218.8</w:t>
                  </w:r>
                </w:p>
              </w:tc>
              <w:tc>
                <w:tcPr>
                  <w:tcW w:w="1990" w:type="dxa"/>
                  <w:gridSpan w:val="2"/>
                  <w:tcBorders>
                    <w:top w:val="single" w:color="auto" w:sz="4" w:space="0"/>
                    <w:left w:val="single" w:color="auto" w:sz="4" w:space="0"/>
                    <w:bottom w:val="single" w:color="auto" w:sz="4" w:space="0"/>
                    <w:right w:val="single" w:color="auto" w:sz="4" w:space="0"/>
                  </w:tcBorders>
                  <w:noWrap w:val="0"/>
                  <w:vAlign w:val="center"/>
                </w:tcPr>
                <w:p w14:paraId="4EDF7F57">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沸点（℃）：－183.1</w:t>
                  </w:r>
                </w:p>
              </w:tc>
              <w:tc>
                <w:tcPr>
                  <w:tcW w:w="2770" w:type="dxa"/>
                  <w:gridSpan w:val="2"/>
                  <w:tcBorders>
                    <w:top w:val="single" w:color="auto" w:sz="4" w:space="0"/>
                    <w:left w:val="single" w:color="auto" w:sz="4" w:space="0"/>
                    <w:bottom w:val="single" w:color="auto" w:sz="4" w:space="0"/>
                    <w:right w:val="single" w:color="auto" w:sz="4" w:space="0"/>
                  </w:tcBorders>
                  <w:noWrap w:val="0"/>
                  <w:vAlign w:val="center"/>
                </w:tcPr>
                <w:p w14:paraId="57E73FB9">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相对密度（水＝1）：1.14（－183℃）</w:t>
                  </w:r>
                </w:p>
              </w:tc>
            </w:tr>
            <w:tr w14:paraId="5BC86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69C88926">
                  <w:pPr>
                    <w:widowControl/>
                    <w:jc w:val="left"/>
                    <w:rPr>
                      <w:rFonts w:hint="default" w:ascii="Times New Roman" w:hAnsi="Times New Roman" w:cs="Times New Roman"/>
                      <w:sz w:val="21"/>
                      <w:szCs w:val="21"/>
                    </w:rPr>
                  </w:pPr>
                </w:p>
              </w:tc>
              <w:tc>
                <w:tcPr>
                  <w:tcW w:w="2602" w:type="dxa"/>
                  <w:tcBorders>
                    <w:top w:val="single" w:color="auto" w:sz="4" w:space="0"/>
                    <w:left w:val="single" w:color="auto" w:sz="4" w:space="0"/>
                    <w:bottom w:val="single" w:color="auto" w:sz="4" w:space="0"/>
                    <w:right w:val="single" w:color="auto" w:sz="4" w:space="0"/>
                  </w:tcBorders>
                  <w:noWrap w:val="0"/>
                  <w:vAlign w:val="center"/>
                </w:tcPr>
                <w:p w14:paraId="5E30D2F3">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临界温度（℃）：－118.4</w:t>
                  </w:r>
                </w:p>
              </w:tc>
              <w:tc>
                <w:tcPr>
                  <w:tcW w:w="1990" w:type="dxa"/>
                  <w:gridSpan w:val="2"/>
                  <w:tcBorders>
                    <w:top w:val="single" w:color="auto" w:sz="4" w:space="0"/>
                    <w:left w:val="single" w:color="auto" w:sz="4" w:space="0"/>
                    <w:bottom w:val="single" w:color="auto" w:sz="4" w:space="0"/>
                    <w:right w:val="single" w:color="auto" w:sz="4" w:space="0"/>
                  </w:tcBorders>
                  <w:noWrap w:val="0"/>
                  <w:vAlign w:val="center"/>
                </w:tcPr>
                <w:p w14:paraId="44A95423">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临界压力（MPa）：5.08</w:t>
                  </w:r>
                </w:p>
              </w:tc>
              <w:tc>
                <w:tcPr>
                  <w:tcW w:w="2770" w:type="dxa"/>
                  <w:gridSpan w:val="2"/>
                  <w:tcBorders>
                    <w:top w:val="single" w:color="auto" w:sz="4" w:space="0"/>
                    <w:left w:val="single" w:color="auto" w:sz="4" w:space="0"/>
                    <w:bottom w:val="single" w:color="auto" w:sz="4" w:space="0"/>
                    <w:right w:val="single" w:color="auto" w:sz="4" w:space="0"/>
                  </w:tcBorders>
                  <w:noWrap w:val="0"/>
                  <w:vAlign w:val="center"/>
                </w:tcPr>
                <w:p w14:paraId="0F2F7C92">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相对密度（空气＝1）：1.43</w:t>
                  </w:r>
                </w:p>
              </w:tc>
            </w:tr>
            <w:tr w14:paraId="3E034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7F4B8E70">
                  <w:pPr>
                    <w:widowControl/>
                    <w:jc w:val="left"/>
                    <w:rPr>
                      <w:rFonts w:hint="default" w:ascii="Times New Roman" w:hAnsi="Times New Roman" w:cs="Times New Roman"/>
                      <w:sz w:val="21"/>
                      <w:szCs w:val="21"/>
                    </w:rPr>
                  </w:pPr>
                </w:p>
              </w:tc>
              <w:tc>
                <w:tcPr>
                  <w:tcW w:w="2602" w:type="dxa"/>
                  <w:tcBorders>
                    <w:top w:val="single" w:color="auto" w:sz="4" w:space="0"/>
                    <w:left w:val="single" w:color="auto" w:sz="4" w:space="0"/>
                    <w:bottom w:val="single" w:color="auto" w:sz="4" w:space="0"/>
                    <w:right w:val="single" w:color="auto" w:sz="4" w:space="0"/>
                  </w:tcBorders>
                  <w:noWrap w:val="0"/>
                  <w:vAlign w:val="center"/>
                </w:tcPr>
                <w:p w14:paraId="747CBB57">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燃烧热（KJ/mol）：无意义</w:t>
                  </w:r>
                </w:p>
              </w:tc>
              <w:tc>
                <w:tcPr>
                  <w:tcW w:w="1990" w:type="dxa"/>
                  <w:gridSpan w:val="2"/>
                  <w:tcBorders>
                    <w:top w:val="single" w:color="auto" w:sz="4" w:space="0"/>
                    <w:left w:val="single" w:color="auto" w:sz="4" w:space="0"/>
                    <w:bottom w:val="single" w:color="auto" w:sz="4" w:space="0"/>
                    <w:right w:val="single" w:color="auto" w:sz="4" w:space="0"/>
                  </w:tcBorders>
                  <w:noWrap w:val="0"/>
                  <w:vAlign w:val="center"/>
                </w:tcPr>
                <w:p w14:paraId="0912DCF2">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最小点火能（mJ）：</w:t>
                  </w:r>
                </w:p>
              </w:tc>
              <w:tc>
                <w:tcPr>
                  <w:tcW w:w="2770" w:type="dxa"/>
                  <w:gridSpan w:val="2"/>
                  <w:tcBorders>
                    <w:top w:val="single" w:color="auto" w:sz="4" w:space="0"/>
                    <w:left w:val="single" w:color="auto" w:sz="4" w:space="0"/>
                    <w:bottom w:val="single" w:color="auto" w:sz="4" w:space="0"/>
                    <w:right w:val="single" w:color="auto" w:sz="4" w:space="0"/>
                  </w:tcBorders>
                  <w:noWrap w:val="0"/>
                  <w:vAlign w:val="center"/>
                </w:tcPr>
                <w:p w14:paraId="06E3C8AF">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饱和蒸汽压（KPa）：506.62（－164℃）</w:t>
                  </w:r>
                </w:p>
              </w:tc>
            </w:tr>
            <w:tr w14:paraId="22645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582" w:type="dxa"/>
                  <w:vMerge w:val="restart"/>
                  <w:tcBorders>
                    <w:top w:val="single" w:color="auto" w:sz="4" w:space="0"/>
                    <w:left w:val="single" w:color="auto" w:sz="4" w:space="0"/>
                    <w:bottom w:val="single" w:color="auto" w:sz="4" w:space="0"/>
                    <w:right w:val="single" w:color="auto" w:sz="4" w:space="0"/>
                  </w:tcBorders>
                  <w:noWrap w:val="0"/>
                  <w:vAlign w:val="center"/>
                </w:tcPr>
                <w:p w14:paraId="4FEA74B9">
                  <w:pPr>
                    <w:spacing w:line="280" w:lineRule="exact"/>
                    <w:jc w:val="left"/>
                    <w:rPr>
                      <w:rFonts w:hint="default" w:ascii="Times New Roman" w:hAnsi="Times New Roman" w:cs="Times New Roman"/>
                      <w:sz w:val="21"/>
                      <w:szCs w:val="21"/>
                    </w:rPr>
                  </w:pPr>
                  <w:r>
                    <w:rPr>
                      <w:rFonts w:hint="default" w:ascii="Times New Roman" w:hAnsi="Times New Roman" w:cs="Times New Roman"/>
                      <w:sz w:val="21"/>
                      <w:szCs w:val="21"/>
                    </w:rPr>
                    <w:t>燃烧爆炸危险性</w:t>
                  </w:r>
                </w:p>
              </w:tc>
              <w:tc>
                <w:tcPr>
                  <w:tcW w:w="2602" w:type="dxa"/>
                  <w:tcBorders>
                    <w:top w:val="single" w:color="auto" w:sz="4" w:space="0"/>
                    <w:left w:val="single" w:color="auto" w:sz="4" w:space="0"/>
                    <w:bottom w:val="single" w:color="auto" w:sz="4" w:space="0"/>
                    <w:right w:val="single" w:color="auto" w:sz="4" w:space="0"/>
                  </w:tcBorders>
                  <w:noWrap w:val="0"/>
                  <w:vAlign w:val="center"/>
                </w:tcPr>
                <w:p w14:paraId="6961503E">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燃烧性：助燃</w:t>
                  </w:r>
                </w:p>
              </w:tc>
              <w:tc>
                <w:tcPr>
                  <w:tcW w:w="4760" w:type="dxa"/>
                  <w:gridSpan w:val="4"/>
                  <w:tcBorders>
                    <w:top w:val="single" w:color="auto" w:sz="4" w:space="0"/>
                    <w:left w:val="single" w:color="auto" w:sz="4" w:space="0"/>
                    <w:bottom w:val="single" w:color="auto" w:sz="4" w:space="0"/>
                    <w:right w:val="single" w:color="auto" w:sz="4" w:space="0"/>
                  </w:tcBorders>
                  <w:noWrap w:val="0"/>
                  <w:vAlign w:val="center"/>
                </w:tcPr>
                <w:p w14:paraId="57B93A06">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燃烧分解产物：</w:t>
                  </w:r>
                </w:p>
              </w:tc>
            </w:tr>
            <w:tr w14:paraId="23490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2293F437">
                  <w:pPr>
                    <w:widowControl/>
                    <w:jc w:val="left"/>
                    <w:rPr>
                      <w:rFonts w:hint="default" w:ascii="Times New Roman" w:hAnsi="Times New Roman" w:cs="Times New Roman"/>
                      <w:sz w:val="21"/>
                      <w:szCs w:val="21"/>
                    </w:rPr>
                  </w:pPr>
                </w:p>
              </w:tc>
              <w:tc>
                <w:tcPr>
                  <w:tcW w:w="2602" w:type="dxa"/>
                  <w:tcBorders>
                    <w:top w:val="single" w:color="auto" w:sz="4" w:space="0"/>
                    <w:left w:val="single" w:color="auto" w:sz="4" w:space="0"/>
                    <w:bottom w:val="single" w:color="auto" w:sz="4" w:space="0"/>
                    <w:right w:val="single" w:color="auto" w:sz="4" w:space="0"/>
                  </w:tcBorders>
                  <w:noWrap w:val="0"/>
                  <w:vAlign w:val="center"/>
                </w:tcPr>
                <w:p w14:paraId="7AFBADAA">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闪点（℃）：无意义</w:t>
                  </w:r>
                </w:p>
              </w:tc>
              <w:tc>
                <w:tcPr>
                  <w:tcW w:w="4760" w:type="dxa"/>
                  <w:gridSpan w:val="4"/>
                  <w:tcBorders>
                    <w:top w:val="single" w:color="auto" w:sz="4" w:space="0"/>
                    <w:left w:val="single" w:color="auto" w:sz="4" w:space="0"/>
                    <w:bottom w:val="single" w:color="auto" w:sz="4" w:space="0"/>
                    <w:right w:val="single" w:color="auto" w:sz="4" w:space="0"/>
                  </w:tcBorders>
                  <w:noWrap w:val="0"/>
                  <w:vAlign w:val="center"/>
                </w:tcPr>
                <w:p w14:paraId="5754FEE7">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聚合危害：不聚合</w:t>
                  </w:r>
                </w:p>
              </w:tc>
            </w:tr>
            <w:tr w14:paraId="049D5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20C9FFC3">
                  <w:pPr>
                    <w:widowControl/>
                    <w:jc w:val="left"/>
                    <w:rPr>
                      <w:rFonts w:hint="default" w:ascii="Times New Roman" w:hAnsi="Times New Roman" w:cs="Times New Roman"/>
                      <w:sz w:val="21"/>
                      <w:szCs w:val="21"/>
                    </w:rPr>
                  </w:pPr>
                </w:p>
              </w:tc>
              <w:tc>
                <w:tcPr>
                  <w:tcW w:w="2602" w:type="dxa"/>
                  <w:tcBorders>
                    <w:top w:val="single" w:color="auto" w:sz="4" w:space="0"/>
                    <w:left w:val="single" w:color="auto" w:sz="4" w:space="0"/>
                    <w:bottom w:val="single" w:color="auto" w:sz="4" w:space="0"/>
                    <w:right w:val="single" w:color="auto" w:sz="4" w:space="0"/>
                  </w:tcBorders>
                  <w:noWrap w:val="0"/>
                  <w:vAlign w:val="center"/>
                </w:tcPr>
                <w:p w14:paraId="78B4C4BA">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爆炸极限（V％）：无意义</w:t>
                  </w:r>
                </w:p>
              </w:tc>
              <w:tc>
                <w:tcPr>
                  <w:tcW w:w="4760" w:type="dxa"/>
                  <w:gridSpan w:val="4"/>
                  <w:tcBorders>
                    <w:top w:val="single" w:color="auto" w:sz="4" w:space="0"/>
                    <w:left w:val="single" w:color="auto" w:sz="4" w:space="0"/>
                    <w:bottom w:val="single" w:color="auto" w:sz="4" w:space="0"/>
                    <w:right w:val="single" w:color="auto" w:sz="4" w:space="0"/>
                  </w:tcBorders>
                  <w:noWrap w:val="0"/>
                  <w:vAlign w:val="center"/>
                </w:tcPr>
                <w:p w14:paraId="1A009FFE">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稳定性：稳定</w:t>
                  </w:r>
                </w:p>
              </w:tc>
            </w:tr>
            <w:tr w14:paraId="204A7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2FF27B64">
                  <w:pPr>
                    <w:widowControl/>
                    <w:jc w:val="left"/>
                    <w:rPr>
                      <w:rFonts w:hint="default" w:ascii="Times New Roman" w:hAnsi="Times New Roman" w:cs="Times New Roman"/>
                      <w:sz w:val="21"/>
                      <w:szCs w:val="21"/>
                    </w:rPr>
                  </w:pPr>
                </w:p>
              </w:tc>
              <w:tc>
                <w:tcPr>
                  <w:tcW w:w="2602" w:type="dxa"/>
                  <w:tcBorders>
                    <w:top w:val="single" w:color="auto" w:sz="4" w:space="0"/>
                    <w:left w:val="single" w:color="auto" w:sz="4" w:space="0"/>
                    <w:bottom w:val="single" w:color="auto" w:sz="4" w:space="0"/>
                    <w:right w:val="single" w:color="auto" w:sz="4" w:space="0"/>
                  </w:tcBorders>
                  <w:noWrap w:val="0"/>
                  <w:vAlign w:val="center"/>
                </w:tcPr>
                <w:p w14:paraId="5752BDE1">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引燃温度（℃）：无意义</w:t>
                  </w:r>
                </w:p>
              </w:tc>
              <w:tc>
                <w:tcPr>
                  <w:tcW w:w="4760" w:type="dxa"/>
                  <w:gridSpan w:val="4"/>
                  <w:tcBorders>
                    <w:top w:val="single" w:color="auto" w:sz="4" w:space="0"/>
                    <w:left w:val="single" w:color="auto" w:sz="4" w:space="0"/>
                    <w:bottom w:val="single" w:color="auto" w:sz="4" w:space="0"/>
                    <w:right w:val="single" w:color="auto" w:sz="4" w:space="0"/>
                  </w:tcBorders>
                  <w:noWrap w:val="0"/>
                  <w:vAlign w:val="center"/>
                </w:tcPr>
                <w:p w14:paraId="3BD057D4">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禁忌物：易燃或可燃物，活性金属粉末、乙炔</w:t>
                  </w:r>
                </w:p>
              </w:tc>
            </w:tr>
            <w:tr w14:paraId="4C084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16D42079">
                  <w:pPr>
                    <w:widowControl/>
                    <w:jc w:val="left"/>
                    <w:rPr>
                      <w:rFonts w:hint="default" w:ascii="Times New Roman" w:hAnsi="Times New Roman" w:cs="Times New Roman"/>
                      <w:sz w:val="21"/>
                      <w:szCs w:val="21"/>
                    </w:rPr>
                  </w:pP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4A270B7B">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危险特性：是易燃物、可燃物燃烧爆炸的基本要素之一，能氧化大多数活性物质。与易燃物（如乙炔、甲烷等）形成有爆炸性的混合物。</w:t>
                  </w:r>
                </w:p>
              </w:tc>
            </w:tr>
            <w:tr w14:paraId="76459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582" w:type="dxa"/>
                  <w:vMerge w:val="continue"/>
                  <w:tcBorders>
                    <w:top w:val="single" w:color="auto" w:sz="4" w:space="0"/>
                    <w:left w:val="single" w:color="auto" w:sz="4" w:space="0"/>
                    <w:bottom w:val="single" w:color="auto" w:sz="4" w:space="0"/>
                    <w:right w:val="single" w:color="auto" w:sz="4" w:space="0"/>
                  </w:tcBorders>
                  <w:noWrap w:val="0"/>
                  <w:vAlign w:val="center"/>
                </w:tcPr>
                <w:p w14:paraId="2DD21D32">
                  <w:pPr>
                    <w:widowControl/>
                    <w:jc w:val="left"/>
                    <w:rPr>
                      <w:rFonts w:hint="default" w:ascii="Times New Roman" w:hAnsi="Times New Roman" w:cs="Times New Roman"/>
                      <w:sz w:val="21"/>
                      <w:szCs w:val="21"/>
                    </w:rPr>
                  </w:pP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48C7C516">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消防措施：用水保持容器冷却，以防受热爆炸，急剧助长火势，迅速切断气源。用水喷淋保护切断气源的人员，然后根据着火原因选择适当灭火剂灭火。</w:t>
                  </w:r>
                </w:p>
              </w:tc>
            </w:tr>
            <w:tr w14:paraId="485BC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tcBorders>
                    <w:top w:val="single" w:color="auto" w:sz="4" w:space="0"/>
                    <w:left w:val="single" w:color="auto" w:sz="4" w:space="0"/>
                    <w:bottom w:val="single" w:color="auto" w:sz="4" w:space="0"/>
                    <w:right w:val="single" w:color="auto" w:sz="4" w:space="0"/>
                  </w:tcBorders>
                  <w:noWrap w:val="0"/>
                  <w:vAlign w:val="center"/>
                </w:tcPr>
                <w:p w14:paraId="4015DCEE">
                  <w:pPr>
                    <w:jc w:val="left"/>
                    <w:rPr>
                      <w:rFonts w:hint="default" w:ascii="Times New Roman" w:hAnsi="Times New Roman" w:cs="Times New Roman"/>
                      <w:sz w:val="21"/>
                      <w:szCs w:val="21"/>
                    </w:rPr>
                  </w:pPr>
                  <w:r>
                    <w:rPr>
                      <w:rFonts w:hint="default" w:ascii="Times New Roman" w:hAnsi="Times New Roman" w:cs="Times New Roman"/>
                      <w:sz w:val="21"/>
                      <w:szCs w:val="21"/>
                    </w:rPr>
                    <w:t>毒性</w:t>
                  </w: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2F91CFFE">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接触限值：</w:t>
                  </w:r>
                </w:p>
                <w:p w14:paraId="32ECA2CB">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毒理资料：</w:t>
                  </w:r>
                </w:p>
              </w:tc>
            </w:tr>
            <w:tr w14:paraId="3AF3E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tcBorders>
                    <w:top w:val="single" w:color="auto" w:sz="4" w:space="0"/>
                    <w:left w:val="single" w:color="auto" w:sz="4" w:space="0"/>
                    <w:bottom w:val="single" w:color="auto" w:sz="4" w:space="0"/>
                    <w:right w:val="single" w:color="auto" w:sz="4" w:space="0"/>
                  </w:tcBorders>
                  <w:noWrap w:val="0"/>
                  <w:vAlign w:val="center"/>
                </w:tcPr>
                <w:p w14:paraId="11C2B766">
                  <w:pPr>
                    <w:jc w:val="left"/>
                    <w:rPr>
                      <w:rFonts w:hint="default" w:ascii="Times New Roman" w:hAnsi="Times New Roman" w:cs="Times New Roman"/>
                      <w:sz w:val="21"/>
                      <w:szCs w:val="21"/>
                    </w:rPr>
                  </w:pPr>
                  <w:r>
                    <w:rPr>
                      <w:rFonts w:hint="default" w:ascii="Times New Roman" w:hAnsi="Times New Roman" w:cs="Times New Roman"/>
                      <w:sz w:val="21"/>
                      <w:szCs w:val="21"/>
                    </w:rPr>
                    <w:t>对人体危害</w:t>
                  </w: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5FC713B8">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侵入途径：吸入。</w:t>
                  </w:r>
                </w:p>
                <w:p w14:paraId="089E3ED2">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健康危害：常压下，当氧的浓度超过40％时，有可能发生中毒。吸入40％～60％的氧时，出现胸骨后不适感、轻咳，进而胸闷、胸骨后烧灼感和呼吸困难，咳嗽加剧；严重时可发生肺水肿，甚至出现呼吸窘迫综合症。吸入氧浓度在80％以上时，出现面部肌肉抽动、面色苍白、眩晕、心动过速、虚脱，继而全身强直性抽搐、昏迷、呼吸衰竭而死亡。长期处于氧分压为60～100kPa（相对于吸入氧浓度40％左右）的条件下可发生眼损害，严重者可失明。</w:t>
                  </w:r>
                </w:p>
              </w:tc>
            </w:tr>
            <w:tr w14:paraId="087B3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tcBorders>
                    <w:top w:val="single" w:color="auto" w:sz="4" w:space="0"/>
                    <w:left w:val="single" w:color="auto" w:sz="4" w:space="0"/>
                    <w:bottom w:val="single" w:color="auto" w:sz="4" w:space="0"/>
                    <w:right w:val="single" w:color="auto" w:sz="4" w:space="0"/>
                  </w:tcBorders>
                  <w:noWrap w:val="0"/>
                  <w:vAlign w:val="center"/>
                </w:tcPr>
                <w:p w14:paraId="28414A4A">
                  <w:pPr>
                    <w:spacing w:line="320" w:lineRule="exact"/>
                    <w:jc w:val="left"/>
                    <w:rPr>
                      <w:rFonts w:hint="default" w:ascii="Times New Roman" w:hAnsi="Times New Roman" w:cs="Times New Roman"/>
                      <w:sz w:val="21"/>
                      <w:szCs w:val="21"/>
                    </w:rPr>
                  </w:pPr>
                  <w:r>
                    <w:rPr>
                      <w:rFonts w:hint="default" w:ascii="Times New Roman" w:hAnsi="Times New Roman" w:cs="Times New Roman"/>
                      <w:sz w:val="21"/>
                      <w:szCs w:val="21"/>
                    </w:rPr>
                    <w:t>急救</w:t>
                  </w: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2807CB44">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吸入：迅速脱离现场至空气新鲜处。保持呼吸道通畅。如呼吸困然，给输氧。如呼吸停止，立即进行人工呼吸。就医。</w:t>
                  </w:r>
                </w:p>
              </w:tc>
            </w:tr>
            <w:tr w14:paraId="11B3E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tcBorders>
                    <w:top w:val="single" w:color="auto" w:sz="4" w:space="0"/>
                    <w:left w:val="single" w:color="auto" w:sz="4" w:space="0"/>
                    <w:bottom w:val="single" w:color="auto" w:sz="4" w:space="0"/>
                    <w:right w:val="single" w:color="auto" w:sz="4" w:space="0"/>
                  </w:tcBorders>
                  <w:noWrap w:val="0"/>
                  <w:vAlign w:val="center"/>
                </w:tcPr>
                <w:p w14:paraId="350BF106">
                  <w:pPr>
                    <w:spacing w:line="320" w:lineRule="exact"/>
                    <w:jc w:val="left"/>
                    <w:rPr>
                      <w:rFonts w:hint="default" w:ascii="Times New Roman" w:hAnsi="Times New Roman" w:cs="Times New Roman"/>
                      <w:sz w:val="21"/>
                      <w:szCs w:val="21"/>
                    </w:rPr>
                  </w:pPr>
                  <w:r>
                    <w:rPr>
                      <w:rFonts w:hint="default" w:ascii="Times New Roman" w:hAnsi="Times New Roman" w:cs="Times New Roman"/>
                      <w:sz w:val="21"/>
                      <w:szCs w:val="21"/>
                    </w:rPr>
                    <w:t>防护</w:t>
                  </w: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64C83C05">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工程防护：密闭操作。提供良好的自然通风条件。</w:t>
                  </w:r>
                </w:p>
                <w:p w14:paraId="20FD2382">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个人防护：穿一般作业工作服。戴一般作业防护手套。</w:t>
                  </w:r>
                </w:p>
                <w:p w14:paraId="2606E999">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其他：避免高浓度吸入。</w:t>
                  </w:r>
                </w:p>
              </w:tc>
            </w:tr>
            <w:tr w14:paraId="43613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2" w:type="dxa"/>
                  <w:tcBorders>
                    <w:top w:val="single" w:color="auto" w:sz="4" w:space="0"/>
                    <w:left w:val="single" w:color="auto" w:sz="4" w:space="0"/>
                    <w:bottom w:val="single" w:color="auto" w:sz="4" w:space="0"/>
                    <w:right w:val="single" w:color="auto" w:sz="4" w:space="0"/>
                  </w:tcBorders>
                  <w:noWrap w:val="0"/>
                  <w:vAlign w:val="center"/>
                </w:tcPr>
                <w:p w14:paraId="644E8527">
                  <w:pPr>
                    <w:spacing w:line="340" w:lineRule="exact"/>
                    <w:jc w:val="left"/>
                    <w:rPr>
                      <w:rFonts w:hint="default" w:ascii="Times New Roman" w:hAnsi="Times New Roman" w:cs="Times New Roman"/>
                      <w:sz w:val="21"/>
                      <w:szCs w:val="21"/>
                    </w:rPr>
                  </w:pPr>
                  <w:r>
                    <w:rPr>
                      <w:rFonts w:hint="default" w:ascii="Times New Roman" w:hAnsi="Times New Roman" w:cs="Times New Roman"/>
                      <w:sz w:val="21"/>
                      <w:szCs w:val="21"/>
                    </w:rPr>
                    <w:t>泄漏处理</w:t>
                  </w: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56A97221">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迅速撤离泄漏污染区人员至上风处，并进行隔离，严格限制出入。切断火源，建议应急处理人员戴自给正压式呼吸器，穿一般作业工作服。避免与可燃物或易燃物接触。尽可能切断泄漏源。合理通风，加速扩散。漏气容器要妥善处理，修复、检验后再用。</w:t>
                  </w:r>
                </w:p>
              </w:tc>
            </w:tr>
            <w:tr w14:paraId="557EE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trPr>
              <w:tc>
                <w:tcPr>
                  <w:tcW w:w="582" w:type="dxa"/>
                  <w:tcBorders>
                    <w:top w:val="single" w:color="auto" w:sz="4" w:space="0"/>
                    <w:left w:val="single" w:color="auto" w:sz="4" w:space="0"/>
                    <w:bottom w:val="single" w:color="auto" w:sz="4" w:space="0"/>
                    <w:right w:val="single" w:color="auto" w:sz="4" w:space="0"/>
                  </w:tcBorders>
                  <w:noWrap w:val="0"/>
                  <w:vAlign w:val="center"/>
                </w:tcPr>
                <w:p w14:paraId="127E1BD5">
                  <w:pPr>
                    <w:spacing w:line="500" w:lineRule="atLeast"/>
                    <w:jc w:val="left"/>
                    <w:rPr>
                      <w:rFonts w:hint="default" w:ascii="Times New Roman" w:hAnsi="Times New Roman" w:cs="Times New Roman"/>
                      <w:sz w:val="21"/>
                      <w:szCs w:val="21"/>
                    </w:rPr>
                  </w:pPr>
                  <w:r>
                    <w:rPr>
                      <w:rFonts w:hint="default" w:ascii="Times New Roman" w:hAnsi="Times New Roman" w:cs="Times New Roman"/>
                      <w:sz w:val="21"/>
                      <w:szCs w:val="21"/>
                    </w:rPr>
                    <w:t>贮运</w:t>
                  </w:r>
                </w:p>
              </w:tc>
              <w:tc>
                <w:tcPr>
                  <w:tcW w:w="7362" w:type="dxa"/>
                  <w:gridSpan w:val="5"/>
                  <w:tcBorders>
                    <w:top w:val="single" w:color="auto" w:sz="4" w:space="0"/>
                    <w:left w:val="single" w:color="auto" w:sz="4" w:space="0"/>
                    <w:bottom w:val="single" w:color="auto" w:sz="4" w:space="0"/>
                    <w:right w:val="single" w:color="auto" w:sz="4" w:space="0"/>
                  </w:tcBorders>
                  <w:noWrap w:val="0"/>
                  <w:vAlign w:val="center"/>
                </w:tcPr>
                <w:p w14:paraId="299CDF13">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包装标志：5，11    UN编号：1072     包装分类：Ⅲ     包装方法：钢质气瓶</w:t>
                  </w:r>
                </w:p>
                <w:p w14:paraId="40E9D819">
                  <w:pPr>
                    <w:spacing w:line="340" w:lineRule="atLeast"/>
                    <w:jc w:val="left"/>
                    <w:rPr>
                      <w:rFonts w:hint="default" w:ascii="Times New Roman" w:hAnsi="Times New Roman" w:cs="Times New Roman"/>
                      <w:sz w:val="21"/>
                      <w:szCs w:val="21"/>
                    </w:rPr>
                  </w:pPr>
                  <w:r>
                    <w:rPr>
                      <w:rFonts w:hint="default" w:ascii="Times New Roman" w:hAnsi="Times New Roman" w:cs="Times New Roman"/>
                      <w:sz w:val="21"/>
                      <w:szCs w:val="21"/>
                    </w:rPr>
                    <w:t>储运条件：不燃性压缩气体。储存于阴凉、通风仓间内。仓内温度不宜超过30℃。远离火源、热源。防止阳光直射。应与易燃气体、金属粉末分开存放。验收时要注意品名，注意验瓶日期，先进仓的先发用。搬运时轻装轻卸，防止钢瓶及附件破损。</w:t>
                  </w:r>
                </w:p>
              </w:tc>
            </w:tr>
          </w:tbl>
          <w:p w14:paraId="5BD6678E">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4"/>
                <w:szCs w:val="24"/>
                <w:lang w:val="en-US" w:eastAsia="zh-CN"/>
              </w:rPr>
            </w:pPr>
          </w:p>
          <w:p w14:paraId="4505FE34">
            <w:pPr>
              <w:pStyle w:val="10"/>
              <w:jc w:val="center"/>
              <w:rPr>
                <w:rFonts w:hint="default" w:ascii="Times New Roman" w:hAnsi="Times New Roman" w:cs="Times New Roman"/>
                <w:sz w:val="15"/>
                <w:szCs w:val="16"/>
                <w:lang w:val="en-US" w:eastAsia="zh-CN"/>
              </w:rPr>
            </w:pPr>
            <w:r>
              <w:rPr>
                <w:rFonts w:hint="default" w:ascii="Times New Roman" w:hAnsi="Times New Roman" w:cs="Times New Roman"/>
                <w:b/>
                <w:bCs w:val="0"/>
                <w:color w:val="auto"/>
                <w:sz w:val="21"/>
                <w:szCs w:val="21"/>
              </w:rPr>
              <w:t>表2</w:t>
            </w:r>
            <w:r>
              <w:rPr>
                <w:rFonts w:hint="default" w:ascii="Times New Roman" w:hAnsi="Times New Roman" w:cs="Times New Roman"/>
                <w:b/>
                <w:bCs w:val="0"/>
                <w:color w:val="auto"/>
                <w:sz w:val="21"/>
                <w:szCs w:val="21"/>
                <w:lang w:val="en-US" w:eastAsia="zh-CN"/>
              </w:rPr>
              <w:t xml:space="preserve">.5-5  </w:t>
            </w:r>
            <w:r>
              <w:rPr>
                <w:rFonts w:hint="default" w:ascii="Times New Roman" w:hAnsi="Times New Roman" w:cs="Times New Roman"/>
                <w:b/>
                <w:bCs w:val="0"/>
                <w:color w:val="auto"/>
                <w:sz w:val="21"/>
                <w:szCs w:val="21"/>
              </w:rPr>
              <w:t xml:space="preserve"> </w:t>
            </w:r>
            <w:r>
              <w:rPr>
                <w:rFonts w:hint="default" w:ascii="Times New Roman" w:hAnsi="Times New Roman" w:cs="Times New Roman"/>
                <w:b/>
                <w:bCs w:val="0"/>
                <w:color w:val="auto"/>
                <w:sz w:val="21"/>
                <w:szCs w:val="21"/>
                <w:lang w:val="en-US" w:eastAsia="zh-CN"/>
              </w:rPr>
              <w:t>氮气</w:t>
            </w:r>
            <w:r>
              <w:rPr>
                <w:rFonts w:hint="default" w:ascii="Times New Roman" w:hAnsi="Times New Roman" w:cs="Times New Roman"/>
                <w:b/>
                <w:bCs w:val="0"/>
                <w:color w:val="auto"/>
                <w:sz w:val="21"/>
                <w:szCs w:val="21"/>
              </w:rPr>
              <w:t>主要理化性质及危险特性表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2157"/>
              <w:gridCol w:w="634"/>
              <w:gridCol w:w="192"/>
              <w:gridCol w:w="294"/>
              <w:gridCol w:w="991"/>
              <w:gridCol w:w="1042"/>
              <w:gridCol w:w="2223"/>
            </w:tblGrid>
            <w:tr w14:paraId="227AE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285" w:type="pct"/>
                  <w:vMerge w:val="restart"/>
                  <w:tcBorders>
                    <w:top w:val="single" w:color="auto" w:sz="4" w:space="0"/>
                    <w:left w:val="single" w:color="auto" w:sz="4" w:space="0"/>
                    <w:bottom w:val="single" w:color="auto" w:sz="4" w:space="0"/>
                    <w:right w:val="single" w:color="auto" w:sz="4" w:space="0"/>
                  </w:tcBorders>
                  <w:noWrap w:val="0"/>
                  <w:vAlign w:val="center"/>
                </w:tcPr>
                <w:p w14:paraId="61E1F3BF">
                  <w:pPr>
                    <w:spacing w:line="480" w:lineRule="exact"/>
                    <w:jc w:val="center"/>
                    <w:rPr>
                      <w:rFonts w:hint="default" w:ascii="Times New Roman" w:hAnsi="Times New Roman" w:cs="Times New Roman"/>
                    </w:rPr>
                  </w:pPr>
                  <w:r>
                    <w:rPr>
                      <w:rFonts w:hint="default" w:ascii="Times New Roman" w:hAnsi="Times New Roman" w:cs="Times New Roman"/>
                    </w:rPr>
                    <w:t>标识</w:t>
                  </w:r>
                </w:p>
              </w:tc>
              <w:tc>
                <w:tcPr>
                  <w:tcW w:w="2051" w:type="pct"/>
                  <w:gridSpan w:val="4"/>
                  <w:tcBorders>
                    <w:top w:val="single" w:color="auto" w:sz="4" w:space="0"/>
                    <w:left w:val="single" w:color="auto" w:sz="4" w:space="0"/>
                    <w:bottom w:val="single" w:color="auto" w:sz="4" w:space="0"/>
                    <w:right w:val="single" w:color="auto" w:sz="4" w:space="0"/>
                  </w:tcBorders>
                  <w:noWrap w:val="0"/>
                  <w:vAlign w:val="top"/>
                </w:tcPr>
                <w:p w14:paraId="6A4781C7">
                  <w:pPr>
                    <w:rPr>
                      <w:rFonts w:hint="default" w:ascii="Times New Roman" w:hAnsi="Times New Roman" w:cs="Times New Roman"/>
                    </w:rPr>
                  </w:pPr>
                  <w:r>
                    <w:rPr>
                      <w:rFonts w:hint="default" w:ascii="Times New Roman" w:hAnsi="Times New Roman" w:cs="Times New Roman"/>
                    </w:rPr>
                    <w:t>中文名：氮气</w:t>
                  </w:r>
                </w:p>
              </w:tc>
              <w:tc>
                <w:tcPr>
                  <w:tcW w:w="2662" w:type="pct"/>
                  <w:gridSpan w:val="3"/>
                  <w:tcBorders>
                    <w:top w:val="single" w:color="auto" w:sz="4" w:space="0"/>
                    <w:left w:val="single" w:color="auto" w:sz="4" w:space="0"/>
                    <w:bottom w:val="single" w:color="auto" w:sz="4" w:space="0"/>
                    <w:right w:val="single" w:color="auto" w:sz="4" w:space="0"/>
                  </w:tcBorders>
                  <w:noWrap w:val="0"/>
                  <w:vAlign w:val="top"/>
                </w:tcPr>
                <w:p w14:paraId="6C52D1C2">
                  <w:pPr>
                    <w:rPr>
                      <w:rFonts w:hint="default" w:ascii="Times New Roman" w:hAnsi="Times New Roman" w:cs="Times New Roman"/>
                    </w:rPr>
                  </w:pPr>
                  <w:r>
                    <w:rPr>
                      <w:rFonts w:hint="default" w:ascii="Times New Roman" w:hAnsi="Times New Roman" w:cs="Times New Roman"/>
                    </w:rPr>
                    <w:t>英文名：nitrogen</w:t>
                  </w:r>
                </w:p>
              </w:tc>
            </w:tr>
            <w:tr w14:paraId="466DB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725B2DBF">
                  <w:pPr>
                    <w:widowControl/>
                    <w:jc w:val="left"/>
                    <w:rPr>
                      <w:rFonts w:hint="default" w:ascii="Times New Roman" w:hAnsi="Times New Roman" w:cs="Times New Roman"/>
                    </w:rPr>
                  </w:pPr>
                </w:p>
              </w:tc>
              <w:tc>
                <w:tcPr>
                  <w:tcW w:w="1747" w:type="pct"/>
                  <w:gridSpan w:val="2"/>
                  <w:tcBorders>
                    <w:top w:val="single" w:color="auto" w:sz="4" w:space="0"/>
                    <w:left w:val="single" w:color="auto" w:sz="4" w:space="0"/>
                    <w:bottom w:val="single" w:color="auto" w:sz="4" w:space="0"/>
                    <w:right w:val="single" w:color="auto" w:sz="4" w:space="0"/>
                  </w:tcBorders>
                  <w:noWrap w:val="0"/>
                  <w:vAlign w:val="top"/>
                </w:tcPr>
                <w:p w14:paraId="7C7DD327">
                  <w:pPr>
                    <w:rPr>
                      <w:rFonts w:hint="default" w:ascii="Times New Roman" w:hAnsi="Times New Roman" w:cs="Times New Roman"/>
                      <w:vertAlign w:val="subscript"/>
                    </w:rPr>
                  </w:pPr>
                  <w:r>
                    <w:rPr>
                      <w:rFonts w:hint="default" w:ascii="Times New Roman" w:hAnsi="Times New Roman" w:cs="Times New Roman"/>
                    </w:rPr>
                    <w:t>分子式：N</w:t>
                  </w:r>
                  <w:r>
                    <w:rPr>
                      <w:rFonts w:hint="default" w:ascii="Times New Roman" w:hAnsi="Times New Roman" w:cs="Times New Roman"/>
                      <w:vertAlign w:val="subscript"/>
                    </w:rPr>
                    <w:t>2</w:t>
                  </w:r>
                </w:p>
              </w:tc>
              <w:tc>
                <w:tcPr>
                  <w:tcW w:w="1576" w:type="pct"/>
                  <w:gridSpan w:val="4"/>
                  <w:tcBorders>
                    <w:top w:val="single" w:color="auto" w:sz="4" w:space="0"/>
                    <w:left w:val="single" w:color="auto" w:sz="4" w:space="0"/>
                    <w:bottom w:val="single" w:color="auto" w:sz="4" w:space="0"/>
                    <w:right w:val="single" w:color="auto" w:sz="4" w:space="0"/>
                  </w:tcBorders>
                  <w:noWrap w:val="0"/>
                  <w:vAlign w:val="top"/>
                </w:tcPr>
                <w:p w14:paraId="348C2E6F">
                  <w:pPr>
                    <w:rPr>
                      <w:rFonts w:hint="default" w:ascii="Times New Roman" w:hAnsi="Times New Roman" w:cs="Times New Roman"/>
                    </w:rPr>
                  </w:pPr>
                  <w:r>
                    <w:rPr>
                      <w:rFonts w:hint="default" w:ascii="Times New Roman" w:hAnsi="Times New Roman" w:cs="Times New Roman"/>
                    </w:rPr>
                    <w:t>分子量：28.01</w:t>
                  </w:r>
                </w:p>
              </w:tc>
              <w:tc>
                <w:tcPr>
                  <w:tcW w:w="1389" w:type="pct"/>
                  <w:tcBorders>
                    <w:top w:val="single" w:color="auto" w:sz="4" w:space="0"/>
                    <w:left w:val="single" w:color="auto" w:sz="4" w:space="0"/>
                    <w:bottom w:val="single" w:color="auto" w:sz="4" w:space="0"/>
                    <w:right w:val="single" w:color="auto" w:sz="4" w:space="0"/>
                  </w:tcBorders>
                  <w:noWrap w:val="0"/>
                  <w:vAlign w:val="top"/>
                </w:tcPr>
                <w:p w14:paraId="260525CB">
                  <w:pPr>
                    <w:rPr>
                      <w:rFonts w:hint="default" w:ascii="Times New Roman" w:hAnsi="Times New Roman" w:cs="Times New Roman"/>
                    </w:rPr>
                  </w:pPr>
                  <w:r>
                    <w:rPr>
                      <w:rFonts w:hint="default" w:ascii="Times New Roman" w:hAnsi="Times New Roman" w:cs="Times New Roman"/>
                    </w:rPr>
                    <w:t>CAS号：7727－37－9</w:t>
                  </w:r>
                </w:p>
              </w:tc>
            </w:tr>
            <w:tr w14:paraId="400DC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7A342B63">
                  <w:pPr>
                    <w:widowControl/>
                    <w:jc w:val="left"/>
                    <w:rPr>
                      <w:rFonts w:hint="default" w:ascii="Times New Roman" w:hAnsi="Times New Roman" w:cs="Times New Roman"/>
                    </w:rPr>
                  </w:pP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373B5989">
                  <w:pPr>
                    <w:rPr>
                      <w:rFonts w:hint="default" w:ascii="Times New Roman" w:hAnsi="Times New Roman" w:cs="Times New Roman"/>
                    </w:rPr>
                  </w:pPr>
                  <w:r>
                    <w:rPr>
                      <w:rFonts w:hint="default" w:ascii="Times New Roman" w:hAnsi="Times New Roman" w:cs="Times New Roman"/>
                    </w:rPr>
                    <w:t>危规号：22005</w:t>
                  </w:r>
                </w:p>
              </w:tc>
            </w:tr>
            <w:tr w14:paraId="2F9DF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85" w:type="pct"/>
                  <w:vMerge w:val="restart"/>
                  <w:tcBorders>
                    <w:top w:val="single" w:color="auto" w:sz="4" w:space="0"/>
                    <w:left w:val="single" w:color="auto" w:sz="4" w:space="0"/>
                    <w:bottom w:val="single" w:color="auto" w:sz="4" w:space="0"/>
                    <w:right w:val="single" w:color="auto" w:sz="4" w:space="0"/>
                  </w:tcBorders>
                  <w:noWrap w:val="0"/>
                  <w:vAlign w:val="center"/>
                </w:tcPr>
                <w:p w14:paraId="044C638C">
                  <w:pPr>
                    <w:spacing w:line="380" w:lineRule="exact"/>
                    <w:jc w:val="center"/>
                    <w:rPr>
                      <w:rFonts w:hint="default" w:ascii="Times New Roman" w:hAnsi="Times New Roman" w:cs="Times New Roman"/>
                    </w:rPr>
                  </w:pPr>
                  <w:r>
                    <w:rPr>
                      <w:rFonts w:hint="default" w:ascii="Times New Roman" w:hAnsi="Times New Roman" w:cs="Times New Roman"/>
                    </w:rPr>
                    <w:t>理化性质</w:t>
                  </w: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66C32970">
                  <w:pPr>
                    <w:rPr>
                      <w:rFonts w:hint="default" w:ascii="Times New Roman" w:hAnsi="Times New Roman" w:cs="Times New Roman"/>
                    </w:rPr>
                  </w:pPr>
                  <w:r>
                    <w:rPr>
                      <w:rFonts w:hint="default" w:ascii="Times New Roman" w:hAnsi="Times New Roman" w:cs="Times New Roman"/>
                    </w:rPr>
                    <w:t>性状：无色无臭气体。</w:t>
                  </w:r>
                </w:p>
              </w:tc>
            </w:tr>
            <w:tr w14:paraId="6D464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6F8D73AE">
                  <w:pPr>
                    <w:widowControl/>
                    <w:jc w:val="left"/>
                    <w:rPr>
                      <w:rFonts w:hint="default" w:ascii="Times New Roman" w:hAnsi="Times New Roman" w:cs="Times New Roman"/>
                    </w:rPr>
                  </w:pP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1A5B7A4C">
                  <w:pPr>
                    <w:rPr>
                      <w:rFonts w:hint="default" w:ascii="Times New Roman" w:hAnsi="Times New Roman" w:cs="Times New Roman"/>
                    </w:rPr>
                  </w:pPr>
                  <w:r>
                    <w:rPr>
                      <w:rFonts w:hint="default" w:ascii="Times New Roman" w:hAnsi="Times New Roman" w:cs="Times New Roman"/>
                    </w:rPr>
                    <w:t>溶解性：微溶于水、乙醇。</w:t>
                  </w:r>
                </w:p>
              </w:tc>
            </w:tr>
            <w:tr w14:paraId="2278B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65055786">
                  <w:pPr>
                    <w:widowControl/>
                    <w:jc w:val="left"/>
                    <w:rPr>
                      <w:rFonts w:hint="default" w:ascii="Times New Roman" w:hAnsi="Times New Roman" w:cs="Times New Roman"/>
                    </w:rPr>
                  </w:pPr>
                </w:p>
              </w:tc>
              <w:tc>
                <w:tcPr>
                  <w:tcW w:w="1350" w:type="pct"/>
                  <w:tcBorders>
                    <w:top w:val="single" w:color="auto" w:sz="4" w:space="0"/>
                    <w:left w:val="single" w:color="auto" w:sz="4" w:space="0"/>
                    <w:bottom w:val="single" w:color="auto" w:sz="4" w:space="0"/>
                    <w:right w:val="single" w:color="auto" w:sz="4" w:space="0"/>
                  </w:tcBorders>
                  <w:noWrap w:val="0"/>
                  <w:vAlign w:val="top"/>
                </w:tcPr>
                <w:p w14:paraId="31D4A77F">
                  <w:pPr>
                    <w:rPr>
                      <w:rFonts w:hint="default" w:ascii="Times New Roman" w:hAnsi="Times New Roman" w:cs="Times New Roman"/>
                    </w:rPr>
                  </w:pPr>
                  <w:r>
                    <w:rPr>
                      <w:rFonts w:hint="default" w:ascii="Times New Roman" w:hAnsi="Times New Roman" w:cs="Times New Roman"/>
                    </w:rPr>
                    <w:t>熔点（℃）：－209.8</w:t>
                  </w:r>
                </w:p>
              </w:tc>
              <w:tc>
                <w:tcPr>
                  <w:tcW w:w="1321" w:type="pct"/>
                  <w:gridSpan w:val="4"/>
                  <w:tcBorders>
                    <w:top w:val="single" w:color="auto" w:sz="4" w:space="0"/>
                    <w:left w:val="single" w:color="auto" w:sz="4" w:space="0"/>
                    <w:bottom w:val="single" w:color="auto" w:sz="4" w:space="0"/>
                    <w:right w:val="single" w:color="auto" w:sz="4" w:space="0"/>
                  </w:tcBorders>
                  <w:noWrap w:val="0"/>
                  <w:vAlign w:val="top"/>
                </w:tcPr>
                <w:p w14:paraId="480673EB">
                  <w:pPr>
                    <w:rPr>
                      <w:rFonts w:hint="default" w:ascii="Times New Roman" w:hAnsi="Times New Roman" w:cs="Times New Roman"/>
                    </w:rPr>
                  </w:pPr>
                  <w:r>
                    <w:rPr>
                      <w:rFonts w:hint="default" w:ascii="Times New Roman" w:hAnsi="Times New Roman" w:cs="Times New Roman"/>
                    </w:rPr>
                    <w:t>沸点（℃）：－195.6</w:t>
                  </w:r>
                </w:p>
              </w:tc>
              <w:tc>
                <w:tcPr>
                  <w:tcW w:w="2042" w:type="pct"/>
                  <w:gridSpan w:val="2"/>
                  <w:tcBorders>
                    <w:top w:val="single" w:color="auto" w:sz="4" w:space="0"/>
                    <w:left w:val="single" w:color="auto" w:sz="4" w:space="0"/>
                    <w:bottom w:val="single" w:color="auto" w:sz="4" w:space="0"/>
                    <w:right w:val="single" w:color="auto" w:sz="4" w:space="0"/>
                  </w:tcBorders>
                  <w:noWrap w:val="0"/>
                  <w:vAlign w:val="top"/>
                </w:tcPr>
                <w:p w14:paraId="0DB0F86B">
                  <w:pPr>
                    <w:rPr>
                      <w:rFonts w:hint="default" w:ascii="Times New Roman" w:hAnsi="Times New Roman" w:cs="Times New Roman"/>
                    </w:rPr>
                  </w:pPr>
                  <w:r>
                    <w:rPr>
                      <w:rFonts w:hint="default" w:ascii="Times New Roman" w:hAnsi="Times New Roman" w:cs="Times New Roman"/>
                    </w:rPr>
                    <w:t>相对密度（水＝1）：0.81（－196℃）</w:t>
                  </w:r>
                </w:p>
              </w:tc>
            </w:tr>
            <w:tr w14:paraId="7D68C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7EEE8A63">
                  <w:pPr>
                    <w:widowControl/>
                    <w:jc w:val="left"/>
                    <w:rPr>
                      <w:rFonts w:hint="default" w:ascii="Times New Roman" w:hAnsi="Times New Roman" w:cs="Times New Roman"/>
                    </w:rPr>
                  </w:pPr>
                </w:p>
              </w:tc>
              <w:tc>
                <w:tcPr>
                  <w:tcW w:w="1350" w:type="pct"/>
                  <w:tcBorders>
                    <w:top w:val="single" w:color="auto" w:sz="4" w:space="0"/>
                    <w:left w:val="single" w:color="auto" w:sz="4" w:space="0"/>
                    <w:bottom w:val="single" w:color="auto" w:sz="4" w:space="0"/>
                    <w:right w:val="single" w:color="auto" w:sz="4" w:space="0"/>
                  </w:tcBorders>
                  <w:noWrap w:val="0"/>
                  <w:vAlign w:val="top"/>
                </w:tcPr>
                <w:p w14:paraId="05F81D6D">
                  <w:pPr>
                    <w:rPr>
                      <w:rFonts w:hint="default" w:ascii="Times New Roman" w:hAnsi="Times New Roman" w:cs="Times New Roman"/>
                    </w:rPr>
                  </w:pPr>
                  <w:r>
                    <w:rPr>
                      <w:rFonts w:hint="default" w:ascii="Times New Roman" w:hAnsi="Times New Roman" w:cs="Times New Roman"/>
                    </w:rPr>
                    <w:t>临界温度（℃）：－147</w:t>
                  </w:r>
                </w:p>
              </w:tc>
              <w:tc>
                <w:tcPr>
                  <w:tcW w:w="1321" w:type="pct"/>
                  <w:gridSpan w:val="4"/>
                  <w:tcBorders>
                    <w:top w:val="single" w:color="auto" w:sz="4" w:space="0"/>
                    <w:left w:val="single" w:color="auto" w:sz="4" w:space="0"/>
                    <w:bottom w:val="single" w:color="auto" w:sz="4" w:space="0"/>
                    <w:right w:val="single" w:color="auto" w:sz="4" w:space="0"/>
                  </w:tcBorders>
                  <w:noWrap w:val="0"/>
                  <w:vAlign w:val="top"/>
                </w:tcPr>
                <w:p w14:paraId="69304FEA">
                  <w:pPr>
                    <w:rPr>
                      <w:rFonts w:hint="default" w:ascii="Times New Roman" w:hAnsi="Times New Roman" w:cs="Times New Roman"/>
                    </w:rPr>
                  </w:pPr>
                  <w:r>
                    <w:rPr>
                      <w:rFonts w:hint="default" w:ascii="Times New Roman" w:hAnsi="Times New Roman" w:cs="Times New Roman"/>
                    </w:rPr>
                    <w:t>临界压力（MPa）：3.40</w:t>
                  </w:r>
                </w:p>
              </w:tc>
              <w:tc>
                <w:tcPr>
                  <w:tcW w:w="2042" w:type="pct"/>
                  <w:gridSpan w:val="2"/>
                  <w:tcBorders>
                    <w:top w:val="single" w:color="auto" w:sz="4" w:space="0"/>
                    <w:left w:val="single" w:color="auto" w:sz="4" w:space="0"/>
                    <w:bottom w:val="single" w:color="auto" w:sz="4" w:space="0"/>
                    <w:right w:val="single" w:color="auto" w:sz="4" w:space="0"/>
                  </w:tcBorders>
                  <w:noWrap w:val="0"/>
                  <w:vAlign w:val="top"/>
                </w:tcPr>
                <w:p w14:paraId="6D735DE6">
                  <w:pPr>
                    <w:rPr>
                      <w:rFonts w:hint="default" w:ascii="Times New Roman" w:hAnsi="Times New Roman" w:cs="Times New Roman"/>
                    </w:rPr>
                  </w:pPr>
                  <w:r>
                    <w:rPr>
                      <w:rFonts w:hint="default" w:ascii="Times New Roman" w:hAnsi="Times New Roman" w:cs="Times New Roman"/>
                    </w:rPr>
                    <w:t>相对密度（空气＝1）：0.97</w:t>
                  </w:r>
                </w:p>
              </w:tc>
            </w:tr>
            <w:tr w14:paraId="5419C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735E70DE">
                  <w:pPr>
                    <w:widowControl/>
                    <w:jc w:val="left"/>
                    <w:rPr>
                      <w:rFonts w:hint="default" w:ascii="Times New Roman" w:hAnsi="Times New Roman" w:cs="Times New Roman"/>
                    </w:rPr>
                  </w:pPr>
                </w:p>
              </w:tc>
              <w:tc>
                <w:tcPr>
                  <w:tcW w:w="1350" w:type="pct"/>
                  <w:tcBorders>
                    <w:top w:val="single" w:color="auto" w:sz="4" w:space="0"/>
                    <w:left w:val="single" w:color="auto" w:sz="4" w:space="0"/>
                    <w:bottom w:val="single" w:color="auto" w:sz="4" w:space="0"/>
                    <w:right w:val="single" w:color="auto" w:sz="4" w:space="0"/>
                  </w:tcBorders>
                  <w:noWrap w:val="0"/>
                  <w:vAlign w:val="top"/>
                </w:tcPr>
                <w:p w14:paraId="6FA8635F">
                  <w:pPr>
                    <w:rPr>
                      <w:rFonts w:hint="default" w:ascii="Times New Roman" w:hAnsi="Times New Roman" w:cs="Times New Roman"/>
                    </w:rPr>
                  </w:pPr>
                  <w:r>
                    <w:rPr>
                      <w:rFonts w:hint="default" w:ascii="Times New Roman" w:hAnsi="Times New Roman" w:cs="Times New Roman"/>
                    </w:rPr>
                    <w:t>燃烧热（KJ/mol）：</w:t>
                  </w:r>
                </w:p>
              </w:tc>
              <w:tc>
                <w:tcPr>
                  <w:tcW w:w="1321" w:type="pct"/>
                  <w:gridSpan w:val="4"/>
                  <w:tcBorders>
                    <w:top w:val="single" w:color="auto" w:sz="4" w:space="0"/>
                    <w:left w:val="single" w:color="auto" w:sz="4" w:space="0"/>
                    <w:bottom w:val="single" w:color="auto" w:sz="4" w:space="0"/>
                    <w:right w:val="single" w:color="auto" w:sz="4" w:space="0"/>
                  </w:tcBorders>
                  <w:noWrap w:val="0"/>
                  <w:vAlign w:val="top"/>
                </w:tcPr>
                <w:p w14:paraId="50F7AD7B">
                  <w:pPr>
                    <w:rPr>
                      <w:rFonts w:hint="default" w:ascii="Times New Roman" w:hAnsi="Times New Roman" w:cs="Times New Roman"/>
                    </w:rPr>
                  </w:pPr>
                  <w:r>
                    <w:rPr>
                      <w:rFonts w:hint="default" w:ascii="Times New Roman" w:hAnsi="Times New Roman" w:cs="Times New Roman"/>
                    </w:rPr>
                    <w:t>最小点火能（mJ）：</w:t>
                  </w:r>
                </w:p>
              </w:tc>
              <w:tc>
                <w:tcPr>
                  <w:tcW w:w="2042" w:type="pct"/>
                  <w:gridSpan w:val="2"/>
                  <w:tcBorders>
                    <w:top w:val="single" w:color="auto" w:sz="4" w:space="0"/>
                    <w:left w:val="single" w:color="auto" w:sz="4" w:space="0"/>
                    <w:bottom w:val="single" w:color="auto" w:sz="4" w:space="0"/>
                    <w:right w:val="single" w:color="auto" w:sz="4" w:space="0"/>
                  </w:tcBorders>
                  <w:noWrap w:val="0"/>
                  <w:vAlign w:val="top"/>
                </w:tcPr>
                <w:p w14:paraId="68942580">
                  <w:pPr>
                    <w:rPr>
                      <w:rFonts w:hint="default" w:ascii="Times New Roman" w:hAnsi="Times New Roman" w:cs="Times New Roman"/>
                    </w:rPr>
                  </w:pPr>
                  <w:r>
                    <w:rPr>
                      <w:rFonts w:hint="default" w:ascii="Times New Roman" w:hAnsi="Times New Roman" w:cs="Times New Roman"/>
                    </w:rPr>
                    <w:t>饱和蒸汽压（KPa）：1026.42（－173℃）</w:t>
                  </w:r>
                </w:p>
              </w:tc>
            </w:tr>
            <w:tr w14:paraId="69542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85" w:type="pct"/>
                  <w:vMerge w:val="restart"/>
                  <w:tcBorders>
                    <w:top w:val="single" w:color="auto" w:sz="4" w:space="0"/>
                    <w:left w:val="single" w:color="auto" w:sz="4" w:space="0"/>
                    <w:bottom w:val="single" w:color="auto" w:sz="4" w:space="0"/>
                    <w:right w:val="single" w:color="auto" w:sz="4" w:space="0"/>
                  </w:tcBorders>
                  <w:noWrap w:val="0"/>
                  <w:vAlign w:val="center"/>
                </w:tcPr>
                <w:p w14:paraId="63C2B33D">
                  <w:pPr>
                    <w:spacing w:line="280" w:lineRule="exact"/>
                    <w:jc w:val="center"/>
                    <w:rPr>
                      <w:rFonts w:hint="default" w:ascii="Times New Roman" w:hAnsi="Times New Roman" w:cs="Times New Roman"/>
                    </w:rPr>
                  </w:pPr>
                  <w:r>
                    <w:rPr>
                      <w:rFonts w:hint="default" w:ascii="Times New Roman" w:hAnsi="Times New Roman" w:cs="Times New Roman"/>
                    </w:rPr>
                    <w:t>燃烧爆炸危险性</w:t>
                  </w:r>
                </w:p>
              </w:tc>
              <w:tc>
                <w:tcPr>
                  <w:tcW w:w="1867" w:type="pct"/>
                  <w:gridSpan w:val="3"/>
                  <w:tcBorders>
                    <w:top w:val="single" w:color="auto" w:sz="4" w:space="0"/>
                    <w:left w:val="single" w:color="auto" w:sz="4" w:space="0"/>
                    <w:bottom w:val="single" w:color="auto" w:sz="4" w:space="0"/>
                    <w:right w:val="single" w:color="auto" w:sz="4" w:space="0"/>
                  </w:tcBorders>
                  <w:noWrap w:val="0"/>
                  <w:vAlign w:val="top"/>
                </w:tcPr>
                <w:p w14:paraId="6E0BBA72">
                  <w:pPr>
                    <w:rPr>
                      <w:rFonts w:hint="default" w:ascii="Times New Roman" w:hAnsi="Times New Roman" w:cs="Times New Roman"/>
                    </w:rPr>
                  </w:pPr>
                  <w:r>
                    <w:rPr>
                      <w:rFonts w:hint="default" w:ascii="Times New Roman" w:hAnsi="Times New Roman" w:cs="Times New Roman"/>
                    </w:rPr>
                    <w:t>燃烧性：不燃</w:t>
                  </w:r>
                </w:p>
              </w:tc>
              <w:tc>
                <w:tcPr>
                  <w:tcW w:w="2846" w:type="pct"/>
                  <w:gridSpan w:val="4"/>
                  <w:tcBorders>
                    <w:top w:val="single" w:color="auto" w:sz="4" w:space="0"/>
                    <w:left w:val="single" w:color="auto" w:sz="4" w:space="0"/>
                    <w:bottom w:val="single" w:color="auto" w:sz="4" w:space="0"/>
                    <w:right w:val="single" w:color="auto" w:sz="4" w:space="0"/>
                  </w:tcBorders>
                  <w:noWrap w:val="0"/>
                  <w:vAlign w:val="top"/>
                </w:tcPr>
                <w:p w14:paraId="76467D16">
                  <w:pPr>
                    <w:rPr>
                      <w:rFonts w:hint="default" w:ascii="Times New Roman" w:hAnsi="Times New Roman" w:cs="Times New Roman"/>
                    </w:rPr>
                  </w:pPr>
                  <w:r>
                    <w:rPr>
                      <w:rFonts w:hint="default" w:ascii="Times New Roman" w:hAnsi="Times New Roman" w:cs="Times New Roman"/>
                    </w:rPr>
                    <w:t>燃烧分解产物：氮气。</w:t>
                  </w:r>
                </w:p>
              </w:tc>
            </w:tr>
            <w:tr w14:paraId="05073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283D87F7">
                  <w:pPr>
                    <w:widowControl/>
                    <w:jc w:val="left"/>
                    <w:rPr>
                      <w:rFonts w:hint="default" w:ascii="Times New Roman" w:hAnsi="Times New Roman" w:cs="Times New Roman"/>
                    </w:rPr>
                  </w:pPr>
                </w:p>
              </w:tc>
              <w:tc>
                <w:tcPr>
                  <w:tcW w:w="1867" w:type="pct"/>
                  <w:gridSpan w:val="3"/>
                  <w:tcBorders>
                    <w:top w:val="single" w:color="auto" w:sz="4" w:space="0"/>
                    <w:left w:val="single" w:color="auto" w:sz="4" w:space="0"/>
                    <w:bottom w:val="single" w:color="auto" w:sz="4" w:space="0"/>
                    <w:right w:val="single" w:color="auto" w:sz="4" w:space="0"/>
                  </w:tcBorders>
                  <w:noWrap w:val="0"/>
                  <w:vAlign w:val="top"/>
                </w:tcPr>
                <w:p w14:paraId="2F0FA019">
                  <w:pPr>
                    <w:rPr>
                      <w:rFonts w:hint="default" w:ascii="Times New Roman" w:hAnsi="Times New Roman" w:cs="Times New Roman"/>
                    </w:rPr>
                  </w:pPr>
                  <w:r>
                    <w:rPr>
                      <w:rFonts w:hint="default" w:ascii="Times New Roman" w:hAnsi="Times New Roman" w:cs="Times New Roman"/>
                    </w:rPr>
                    <w:t>闪点（℃）：无意义</w:t>
                  </w:r>
                </w:p>
              </w:tc>
              <w:tc>
                <w:tcPr>
                  <w:tcW w:w="2846" w:type="pct"/>
                  <w:gridSpan w:val="4"/>
                  <w:tcBorders>
                    <w:top w:val="single" w:color="auto" w:sz="4" w:space="0"/>
                    <w:left w:val="single" w:color="auto" w:sz="4" w:space="0"/>
                    <w:bottom w:val="single" w:color="auto" w:sz="4" w:space="0"/>
                    <w:right w:val="single" w:color="auto" w:sz="4" w:space="0"/>
                  </w:tcBorders>
                  <w:noWrap w:val="0"/>
                  <w:vAlign w:val="top"/>
                </w:tcPr>
                <w:p w14:paraId="065A0E47">
                  <w:pPr>
                    <w:rPr>
                      <w:rFonts w:hint="default" w:ascii="Times New Roman" w:hAnsi="Times New Roman" w:cs="Times New Roman"/>
                    </w:rPr>
                  </w:pPr>
                  <w:r>
                    <w:rPr>
                      <w:rFonts w:hint="default" w:ascii="Times New Roman" w:hAnsi="Times New Roman" w:cs="Times New Roman"/>
                    </w:rPr>
                    <w:t>聚合危害：不聚合</w:t>
                  </w:r>
                </w:p>
              </w:tc>
            </w:tr>
            <w:tr w14:paraId="3F65D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16E6EAC9">
                  <w:pPr>
                    <w:widowControl/>
                    <w:jc w:val="left"/>
                    <w:rPr>
                      <w:rFonts w:hint="default" w:ascii="Times New Roman" w:hAnsi="Times New Roman" w:cs="Times New Roman"/>
                    </w:rPr>
                  </w:pPr>
                </w:p>
              </w:tc>
              <w:tc>
                <w:tcPr>
                  <w:tcW w:w="1867" w:type="pct"/>
                  <w:gridSpan w:val="3"/>
                  <w:tcBorders>
                    <w:top w:val="single" w:color="auto" w:sz="4" w:space="0"/>
                    <w:left w:val="single" w:color="auto" w:sz="4" w:space="0"/>
                    <w:bottom w:val="single" w:color="auto" w:sz="4" w:space="0"/>
                    <w:right w:val="single" w:color="auto" w:sz="4" w:space="0"/>
                  </w:tcBorders>
                  <w:noWrap w:val="0"/>
                  <w:vAlign w:val="top"/>
                </w:tcPr>
                <w:p w14:paraId="51C89D05">
                  <w:pPr>
                    <w:rPr>
                      <w:rFonts w:hint="default" w:ascii="Times New Roman" w:hAnsi="Times New Roman" w:cs="Times New Roman"/>
                    </w:rPr>
                  </w:pPr>
                  <w:r>
                    <w:rPr>
                      <w:rFonts w:hint="default" w:ascii="Times New Roman" w:hAnsi="Times New Roman" w:cs="Times New Roman"/>
                    </w:rPr>
                    <w:t>爆炸下限（％）：</w:t>
                  </w:r>
                </w:p>
              </w:tc>
              <w:tc>
                <w:tcPr>
                  <w:tcW w:w="2846" w:type="pct"/>
                  <w:gridSpan w:val="4"/>
                  <w:tcBorders>
                    <w:top w:val="single" w:color="auto" w:sz="4" w:space="0"/>
                    <w:left w:val="single" w:color="auto" w:sz="4" w:space="0"/>
                    <w:bottom w:val="single" w:color="auto" w:sz="4" w:space="0"/>
                    <w:right w:val="single" w:color="auto" w:sz="4" w:space="0"/>
                  </w:tcBorders>
                  <w:noWrap w:val="0"/>
                  <w:vAlign w:val="top"/>
                </w:tcPr>
                <w:p w14:paraId="3490D23D">
                  <w:pPr>
                    <w:rPr>
                      <w:rFonts w:hint="default" w:ascii="Times New Roman" w:hAnsi="Times New Roman" w:cs="Times New Roman"/>
                    </w:rPr>
                  </w:pPr>
                  <w:r>
                    <w:rPr>
                      <w:rFonts w:hint="default" w:ascii="Times New Roman" w:hAnsi="Times New Roman" w:cs="Times New Roman"/>
                    </w:rPr>
                    <w:t>稳定性：稳定</w:t>
                  </w:r>
                </w:p>
              </w:tc>
            </w:tr>
            <w:tr w14:paraId="680FB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67E44CF0">
                  <w:pPr>
                    <w:widowControl/>
                    <w:jc w:val="left"/>
                    <w:rPr>
                      <w:rFonts w:hint="default" w:ascii="Times New Roman" w:hAnsi="Times New Roman" w:cs="Times New Roman"/>
                    </w:rPr>
                  </w:pPr>
                </w:p>
              </w:tc>
              <w:tc>
                <w:tcPr>
                  <w:tcW w:w="1867" w:type="pct"/>
                  <w:gridSpan w:val="3"/>
                  <w:tcBorders>
                    <w:top w:val="single" w:color="auto" w:sz="4" w:space="0"/>
                    <w:left w:val="single" w:color="auto" w:sz="4" w:space="0"/>
                    <w:bottom w:val="single" w:color="auto" w:sz="4" w:space="0"/>
                    <w:right w:val="single" w:color="auto" w:sz="4" w:space="0"/>
                  </w:tcBorders>
                  <w:noWrap w:val="0"/>
                  <w:vAlign w:val="top"/>
                </w:tcPr>
                <w:p w14:paraId="515E63E5">
                  <w:pPr>
                    <w:rPr>
                      <w:rFonts w:hint="default" w:ascii="Times New Roman" w:hAnsi="Times New Roman" w:cs="Times New Roman"/>
                    </w:rPr>
                  </w:pPr>
                  <w:r>
                    <w:rPr>
                      <w:rFonts w:hint="default" w:ascii="Times New Roman" w:hAnsi="Times New Roman" w:cs="Times New Roman"/>
                    </w:rPr>
                    <w:t>爆炸上限（％）：</w:t>
                  </w:r>
                </w:p>
              </w:tc>
              <w:tc>
                <w:tcPr>
                  <w:tcW w:w="2846" w:type="pct"/>
                  <w:gridSpan w:val="4"/>
                  <w:tcBorders>
                    <w:top w:val="single" w:color="auto" w:sz="4" w:space="0"/>
                    <w:left w:val="single" w:color="auto" w:sz="4" w:space="0"/>
                    <w:bottom w:val="single" w:color="auto" w:sz="4" w:space="0"/>
                    <w:right w:val="single" w:color="auto" w:sz="4" w:space="0"/>
                  </w:tcBorders>
                  <w:noWrap w:val="0"/>
                  <w:vAlign w:val="top"/>
                </w:tcPr>
                <w:p w14:paraId="3905BC9A">
                  <w:pPr>
                    <w:rPr>
                      <w:rFonts w:hint="default" w:ascii="Times New Roman" w:hAnsi="Times New Roman" w:cs="Times New Roman"/>
                    </w:rPr>
                  </w:pPr>
                  <w:r>
                    <w:rPr>
                      <w:rFonts w:hint="default" w:ascii="Times New Roman" w:hAnsi="Times New Roman" w:cs="Times New Roman"/>
                    </w:rPr>
                    <w:t>禁忌物：</w:t>
                  </w:r>
                </w:p>
              </w:tc>
            </w:tr>
            <w:tr w14:paraId="102A7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44EFC629">
                  <w:pPr>
                    <w:widowControl/>
                    <w:jc w:val="left"/>
                    <w:rPr>
                      <w:rFonts w:hint="default" w:ascii="Times New Roman" w:hAnsi="Times New Roman" w:cs="Times New Roman"/>
                    </w:rPr>
                  </w:pPr>
                </w:p>
              </w:tc>
              <w:tc>
                <w:tcPr>
                  <w:tcW w:w="1867" w:type="pct"/>
                  <w:gridSpan w:val="3"/>
                  <w:tcBorders>
                    <w:top w:val="single" w:color="auto" w:sz="4" w:space="0"/>
                    <w:left w:val="single" w:color="auto" w:sz="4" w:space="0"/>
                    <w:bottom w:val="single" w:color="auto" w:sz="4" w:space="0"/>
                    <w:right w:val="single" w:color="auto" w:sz="4" w:space="0"/>
                  </w:tcBorders>
                  <w:noWrap w:val="0"/>
                  <w:vAlign w:val="top"/>
                </w:tcPr>
                <w:p w14:paraId="7574717D">
                  <w:pPr>
                    <w:rPr>
                      <w:rFonts w:hint="default" w:ascii="Times New Roman" w:hAnsi="Times New Roman" w:cs="Times New Roman"/>
                    </w:rPr>
                  </w:pPr>
                  <w:r>
                    <w:rPr>
                      <w:rFonts w:hint="default" w:ascii="Times New Roman" w:hAnsi="Times New Roman" w:cs="Times New Roman"/>
                    </w:rPr>
                    <w:t>引燃温度（℃）：</w:t>
                  </w:r>
                </w:p>
              </w:tc>
              <w:tc>
                <w:tcPr>
                  <w:tcW w:w="2846" w:type="pct"/>
                  <w:gridSpan w:val="4"/>
                  <w:tcBorders>
                    <w:top w:val="single" w:color="auto" w:sz="4" w:space="0"/>
                    <w:left w:val="single" w:color="auto" w:sz="4" w:space="0"/>
                    <w:bottom w:val="single" w:color="auto" w:sz="4" w:space="0"/>
                    <w:right w:val="single" w:color="auto" w:sz="4" w:space="0"/>
                  </w:tcBorders>
                  <w:noWrap w:val="0"/>
                  <w:vAlign w:val="top"/>
                </w:tcPr>
                <w:p w14:paraId="08758667">
                  <w:pPr>
                    <w:rPr>
                      <w:rFonts w:hint="default" w:ascii="Times New Roman" w:hAnsi="Times New Roman" w:cs="Times New Roman"/>
                    </w:rPr>
                  </w:pPr>
                  <w:r>
                    <w:rPr>
                      <w:rFonts w:hint="default" w:ascii="Times New Roman" w:hAnsi="Times New Roman" w:cs="Times New Roman"/>
                    </w:rPr>
                    <w:t>最小点火能（mJ）：</w:t>
                  </w:r>
                </w:p>
              </w:tc>
            </w:tr>
            <w:tr w14:paraId="0C36A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4E8B1C0A">
                  <w:pPr>
                    <w:widowControl/>
                    <w:jc w:val="left"/>
                    <w:rPr>
                      <w:rFonts w:hint="default" w:ascii="Times New Roman" w:hAnsi="Times New Roman" w:cs="Times New Roman"/>
                    </w:rPr>
                  </w:pP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21AE3FB4">
                  <w:pPr>
                    <w:spacing w:line="280" w:lineRule="exact"/>
                    <w:rPr>
                      <w:rFonts w:hint="default" w:ascii="Times New Roman" w:hAnsi="Times New Roman" w:cs="Times New Roman"/>
                    </w:rPr>
                  </w:pPr>
                  <w:r>
                    <w:rPr>
                      <w:rFonts w:hint="default" w:ascii="Times New Roman" w:hAnsi="Times New Roman" w:cs="Times New Roman"/>
                    </w:rPr>
                    <w:t>危险特性：遇高热，容器内压增大，有开裂和爆炸的危险。</w:t>
                  </w:r>
                </w:p>
              </w:tc>
            </w:tr>
            <w:tr w14:paraId="194DC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285" w:type="pct"/>
                  <w:vMerge w:val="continue"/>
                  <w:tcBorders>
                    <w:top w:val="single" w:color="auto" w:sz="4" w:space="0"/>
                    <w:left w:val="single" w:color="auto" w:sz="4" w:space="0"/>
                    <w:bottom w:val="single" w:color="auto" w:sz="4" w:space="0"/>
                    <w:right w:val="single" w:color="auto" w:sz="4" w:space="0"/>
                  </w:tcBorders>
                  <w:noWrap w:val="0"/>
                  <w:vAlign w:val="center"/>
                </w:tcPr>
                <w:p w14:paraId="698452F6">
                  <w:pPr>
                    <w:widowControl/>
                    <w:jc w:val="left"/>
                    <w:rPr>
                      <w:rFonts w:hint="default" w:ascii="Times New Roman" w:hAnsi="Times New Roman" w:cs="Times New Roman"/>
                    </w:rPr>
                  </w:pP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1A6235BF">
                  <w:pPr>
                    <w:spacing w:line="280" w:lineRule="exact"/>
                    <w:rPr>
                      <w:rFonts w:hint="default" w:ascii="Times New Roman" w:hAnsi="Times New Roman" w:cs="Times New Roman"/>
                    </w:rPr>
                  </w:pPr>
                  <w:r>
                    <w:rPr>
                      <w:rFonts w:hint="default" w:ascii="Times New Roman" w:hAnsi="Times New Roman" w:cs="Times New Roman"/>
                    </w:rPr>
                    <w:t>消防措施：本品不燃。用雾状水保持火场中容器冷却。</w:t>
                  </w:r>
                </w:p>
              </w:tc>
            </w:tr>
            <w:tr w14:paraId="428BC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single" w:color="auto" w:sz="4" w:space="0"/>
                    <w:bottom w:val="single" w:color="auto" w:sz="4" w:space="0"/>
                    <w:right w:val="single" w:color="auto" w:sz="4" w:space="0"/>
                  </w:tcBorders>
                  <w:noWrap w:val="0"/>
                  <w:vAlign w:val="center"/>
                </w:tcPr>
                <w:p w14:paraId="61CFE6FD">
                  <w:pPr>
                    <w:jc w:val="center"/>
                    <w:rPr>
                      <w:rFonts w:hint="default" w:ascii="Times New Roman" w:hAnsi="Times New Roman" w:cs="Times New Roman"/>
                    </w:rPr>
                  </w:pPr>
                  <w:r>
                    <w:rPr>
                      <w:rFonts w:hint="default" w:ascii="Times New Roman" w:hAnsi="Times New Roman" w:cs="Times New Roman"/>
                    </w:rPr>
                    <w:t>毒性</w:t>
                  </w: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32477CA3">
                  <w:pPr>
                    <w:spacing w:line="280" w:lineRule="exact"/>
                    <w:rPr>
                      <w:rFonts w:hint="default" w:ascii="Times New Roman" w:hAnsi="Times New Roman" w:cs="Times New Roman"/>
                    </w:rPr>
                  </w:pPr>
                </w:p>
              </w:tc>
            </w:tr>
            <w:tr w14:paraId="05668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single" w:color="auto" w:sz="4" w:space="0"/>
                    <w:bottom w:val="single" w:color="auto" w:sz="4" w:space="0"/>
                    <w:right w:val="single" w:color="auto" w:sz="4" w:space="0"/>
                  </w:tcBorders>
                  <w:noWrap w:val="0"/>
                  <w:vAlign w:val="center"/>
                </w:tcPr>
                <w:p w14:paraId="5CD56F38">
                  <w:pPr>
                    <w:spacing w:line="260" w:lineRule="exact"/>
                    <w:jc w:val="center"/>
                    <w:rPr>
                      <w:rFonts w:hint="default" w:ascii="Times New Roman" w:hAnsi="Times New Roman" w:cs="Times New Roman"/>
                    </w:rPr>
                  </w:pPr>
                  <w:r>
                    <w:rPr>
                      <w:rFonts w:hint="default" w:ascii="Times New Roman" w:hAnsi="Times New Roman" w:cs="Times New Roman"/>
                    </w:rPr>
                    <w:t>对人体危害</w:t>
                  </w: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75CDC11E">
                  <w:pPr>
                    <w:spacing w:line="280" w:lineRule="exact"/>
                    <w:rPr>
                      <w:rFonts w:hint="default" w:ascii="Times New Roman" w:hAnsi="Times New Roman" w:eastAsia="宋体" w:cs="Times New Roman"/>
                      <w:lang w:eastAsia="zh-CN"/>
                    </w:rPr>
                  </w:pPr>
                  <w:r>
                    <w:rPr>
                      <w:rFonts w:hint="default" w:ascii="Times New Roman" w:hAnsi="Times New Roman" w:cs="Times New Roman"/>
                    </w:rPr>
                    <w:t>侵入途径：吸入。</w:t>
                  </w:r>
                </w:p>
                <w:p w14:paraId="5D2A4DD8">
                  <w:pPr>
                    <w:spacing w:line="280" w:lineRule="exact"/>
                    <w:rPr>
                      <w:rFonts w:hint="default" w:ascii="Times New Roman" w:hAnsi="Times New Roman" w:cs="Times New Roman"/>
                    </w:rPr>
                  </w:pPr>
                  <w:r>
                    <w:rPr>
                      <w:rFonts w:hint="default" w:ascii="Times New Roman" w:hAnsi="Times New Roman" w:cs="Times New Roman"/>
                    </w:rPr>
                    <w:t>健康危害：空气中氮气含量过高，使吸入气氧分压下降，引起缺氧窒息。吸入氮气浓度不太高时，患者最初感胸闷、气短、疲软无力；继而有烦躁不安、极度兴奋、乱跑、叫喊、精神恍惚、步态不稳，称之为氮酩酊，可进入昏睡或昏迷状态。吸入高浓度，患者可迅速出现昏迷、呼吸心跳停止而死亡。潜水员深潜时，可发生氮的麻醉作用；若从高压环境下过快转入常压环境，体内会形成氮气气泡，压迫神经、血管或造成微血管阻塞，发生减压病。</w:t>
                  </w:r>
                </w:p>
              </w:tc>
            </w:tr>
            <w:tr w14:paraId="4F0DE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single" w:color="auto" w:sz="4" w:space="0"/>
                    <w:bottom w:val="single" w:color="auto" w:sz="4" w:space="0"/>
                    <w:right w:val="single" w:color="auto" w:sz="4" w:space="0"/>
                  </w:tcBorders>
                  <w:noWrap w:val="0"/>
                  <w:vAlign w:val="center"/>
                </w:tcPr>
                <w:p w14:paraId="0FF33D55">
                  <w:pPr>
                    <w:spacing w:line="280" w:lineRule="exact"/>
                    <w:jc w:val="center"/>
                    <w:rPr>
                      <w:rFonts w:hint="default" w:ascii="Times New Roman" w:hAnsi="Times New Roman" w:cs="Times New Roman"/>
                    </w:rPr>
                  </w:pPr>
                  <w:r>
                    <w:rPr>
                      <w:rFonts w:hint="default" w:ascii="Times New Roman" w:hAnsi="Times New Roman" w:cs="Times New Roman"/>
                    </w:rPr>
                    <w:t>急救</w:t>
                  </w: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0D18041D">
                  <w:pPr>
                    <w:spacing w:line="280" w:lineRule="exact"/>
                    <w:rPr>
                      <w:rFonts w:hint="default" w:ascii="Times New Roman" w:hAnsi="Times New Roman" w:cs="Times New Roman"/>
                    </w:rPr>
                  </w:pPr>
                  <w:r>
                    <w:rPr>
                      <w:rFonts w:hint="default" w:ascii="Times New Roman" w:hAnsi="Times New Roman" w:cs="Times New Roman"/>
                    </w:rPr>
                    <w:t>吸入：迅速脱离现场至空气新鲜处。保持呼吸道通畅。如呼吸困然，给输氧。如呼吸停止，立即进行人工呼吸和胸外心脏按压术。就医。</w:t>
                  </w:r>
                </w:p>
              </w:tc>
            </w:tr>
            <w:tr w14:paraId="391FE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single" w:color="auto" w:sz="4" w:space="0"/>
                    <w:bottom w:val="single" w:color="auto" w:sz="4" w:space="0"/>
                    <w:right w:val="single" w:color="auto" w:sz="4" w:space="0"/>
                  </w:tcBorders>
                  <w:noWrap w:val="0"/>
                  <w:vAlign w:val="center"/>
                </w:tcPr>
                <w:p w14:paraId="70563E28">
                  <w:pPr>
                    <w:spacing w:line="500" w:lineRule="exact"/>
                    <w:jc w:val="center"/>
                    <w:rPr>
                      <w:rFonts w:hint="default" w:ascii="Times New Roman" w:hAnsi="Times New Roman" w:cs="Times New Roman"/>
                    </w:rPr>
                  </w:pPr>
                  <w:r>
                    <w:rPr>
                      <w:rFonts w:hint="default" w:ascii="Times New Roman" w:hAnsi="Times New Roman" w:cs="Times New Roman"/>
                    </w:rPr>
                    <w:t>防护</w:t>
                  </w: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66E9EBE6">
                  <w:pPr>
                    <w:spacing w:line="280" w:lineRule="exact"/>
                    <w:rPr>
                      <w:rFonts w:hint="default" w:ascii="Times New Roman" w:hAnsi="Times New Roman" w:cs="Times New Roman"/>
                    </w:rPr>
                  </w:pPr>
                  <w:r>
                    <w:rPr>
                      <w:rFonts w:hint="default" w:ascii="Times New Roman" w:hAnsi="Times New Roman" w:cs="Times New Roman"/>
                    </w:rPr>
                    <w:t>工程防护：生产过程密闭，提供良好的自然通风条件。</w:t>
                  </w:r>
                </w:p>
                <w:p w14:paraId="58B79202">
                  <w:pPr>
                    <w:spacing w:line="280" w:lineRule="exact"/>
                    <w:rPr>
                      <w:rFonts w:hint="default" w:ascii="Times New Roman" w:hAnsi="Times New Roman" w:cs="Times New Roman"/>
                    </w:rPr>
                  </w:pPr>
                  <w:r>
                    <w:rPr>
                      <w:rFonts w:hint="default" w:ascii="Times New Roman" w:hAnsi="Times New Roman" w:cs="Times New Roman"/>
                    </w:rPr>
                    <w:t>呼吸系统防护：一般不需要特殊防护。当作业场所空气中氧气浓度低于18％时，必须佩戴空气呼吸器、氧气呼吸器或长管面具。</w:t>
                  </w:r>
                </w:p>
                <w:p w14:paraId="36B93258">
                  <w:pPr>
                    <w:spacing w:line="280" w:lineRule="exact"/>
                    <w:rPr>
                      <w:rFonts w:hint="default" w:ascii="Times New Roman" w:hAnsi="Times New Roman" w:cs="Times New Roman"/>
                    </w:rPr>
                  </w:pPr>
                  <w:r>
                    <w:rPr>
                      <w:rFonts w:hint="default" w:ascii="Times New Roman" w:hAnsi="Times New Roman" w:cs="Times New Roman"/>
                    </w:rPr>
                    <w:t>眼睛防护：一般不需要特殊防护。</w:t>
                  </w:r>
                </w:p>
                <w:p w14:paraId="102433B4">
                  <w:pPr>
                    <w:spacing w:line="280" w:lineRule="exact"/>
                    <w:rPr>
                      <w:rFonts w:hint="default" w:ascii="Times New Roman" w:hAnsi="Times New Roman" w:cs="Times New Roman"/>
                    </w:rPr>
                  </w:pPr>
                  <w:r>
                    <w:rPr>
                      <w:rFonts w:hint="default" w:ascii="Times New Roman" w:hAnsi="Times New Roman" w:cs="Times New Roman"/>
                    </w:rPr>
                    <w:t>身体防护：穿一般作业工作服。</w:t>
                  </w:r>
                </w:p>
                <w:p w14:paraId="53E8DD5A">
                  <w:pPr>
                    <w:spacing w:line="280" w:lineRule="exact"/>
                    <w:rPr>
                      <w:rFonts w:hint="default" w:ascii="Times New Roman" w:hAnsi="Times New Roman" w:cs="Times New Roman"/>
                    </w:rPr>
                  </w:pPr>
                  <w:r>
                    <w:rPr>
                      <w:rFonts w:hint="default" w:ascii="Times New Roman" w:hAnsi="Times New Roman" w:cs="Times New Roman"/>
                    </w:rPr>
                    <w:t>手防护：戴一般作业防护手套。</w:t>
                  </w:r>
                </w:p>
                <w:p w14:paraId="37BDFAFA">
                  <w:pPr>
                    <w:spacing w:line="280" w:lineRule="exact"/>
                    <w:rPr>
                      <w:rFonts w:hint="default" w:ascii="Times New Roman" w:hAnsi="Times New Roman" w:cs="Times New Roman"/>
                    </w:rPr>
                  </w:pPr>
                  <w:r>
                    <w:rPr>
                      <w:rFonts w:hint="default" w:ascii="Times New Roman" w:hAnsi="Times New Roman" w:cs="Times New Roman"/>
                    </w:rPr>
                    <w:t>其他：避免高浓度吸入。进入罐、限制性空间或其他高浓度区作业，须有人监护。</w:t>
                  </w:r>
                </w:p>
              </w:tc>
            </w:tr>
            <w:tr w14:paraId="40B69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5" w:type="pct"/>
                  <w:tcBorders>
                    <w:top w:val="single" w:color="auto" w:sz="4" w:space="0"/>
                    <w:left w:val="single" w:color="auto" w:sz="4" w:space="0"/>
                    <w:bottom w:val="single" w:color="auto" w:sz="4" w:space="0"/>
                    <w:right w:val="single" w:color="auto" w:sz="4" w:space="0"/>
                  </w:tcBorders>
                  <w:noWrap w:val="0"/>
                  <w:vAlign w:val="center"/>
                </w:tcPr>
                <w:p w14:paraId="35B05A7A">
                  <w:pPr>
                    <w:spacing w:line="300" w:lineRule="exact"/>
                    <w:jc w:val="center"/>
                    <w:rPr>
                      <w:rFonts w:hint="default" w:ascii="Times New Roman" w:hAnsi="Times New Roman" w:cs="Times New Roman"/>
                    </w:rPr>
                  </w:pPr>
                  <w:r>
                    <w:rPr>
                      <w:rFonts w:hint="default" w:ascii="Times New Roman" w:hAnsi="Times New Roman" w:cs="Times New Roman"/>
                    </w:rPr>
                    <w:t>泄漏处理</w:t>
                  </w: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58CD6912">
                  <w:pPr>
                    <w:spacing w:line="280" w:lineRule="exact"/>
                    <w:rPr>
                      <w:rFonts w:hint="default" w:ascii="Times New Roman" w:hAnsi="Times New Roman" w:cs="Times New Roman"/>
                    </w:rPr>
                  </w:pPr>
                  <w:r>
                    <w:rPr>
                      <w:rFonts w:hint="default" w:ascii="Times New Roman" w:hAnsi="Times New Roman" w:cs="Times New Roman"/>
                    </w:rPr>
                    <w:t>迅速撤离泄漏污染区人员至上风处，并进行隔离，严格限制出入。建议应急处理人员戴自给正压式呼吸器，穿一般作业工作服。尽可能切断泄漏源。合理通风，加速扩散。漏气容器要妥善处理，修复、检验后再用。</w:t>
                  </w:r>
                </w:p>
              </w:tc>
            </w:tr>
            <w:tr w14:paraId="4D45A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285" w:type="pct"/>
                  <w:tcBorders>
                    <w:top w:val="single" w:color="auto" w:sz="4" w:space="0"/>
                    <w:left w:val="single" w:color="auto" w:sz="4" w:space="0"/>
                    <w:bottom w:val="single" w:color="auto" w:sz="4" w:space="0"/>
                    <w:right w:val="single" w:color="auto" w:sz="4" w:space="0"/>
                  </w:tcBorders>
                  <w:noWrap w:val="0"/>
                  <w:vAlign w:val="center"/>
                </w:tcPr>
                <w:p w14:paraId="3F7A900F">
                  <w:pPr>
                    <w:spacing w:line="500" w:lineRule="atLeast"/>
                    <w:jc w:val="center"/>
                    <w:rPr>
                      <w:rFonts w:hint="default" w:ascii="Times New Roman" w:hAnsi="Times New Roman" w:cs="Times New Roman"/>
                    </w:rPr>
                  </w:pPr>
                  <w:r>
                    <w:rPr>
                      <w:rFonts w:hint="default" w:ascii="Times New Roman" w:hAnsi="Times New Roman" w:cs="Times New Roman"/>
                    </w:rPr>
                    <w:t>贮运</w:t>
                  </w:r>
                </w:p>
              </w:tc>
              <w:tc>
                <w:tcPr>
                  <w:tcW w:w="4714" w:type="pct"/>
                  <w:gridSpan w:val="7"/>
                  <w:tcBorders>
                    <w:top w:val="single" w:color="auto" w:sz="4" w:space="0"/>
                    <w:left w:val="single" w:color="auto" w:sz="4" w:space="0"/>
                    <w:bottom w:val="single" w:color="auto" w:sz="4" w:space="0"/>
                    <w:right w:val="single" w:color="auto" w:sz="4" w:space="0"/>
                  </w:tcBorders>
                  <w:noWrap w:val="0"/>
                  <w:vAlign w:val="top"/>
                </w:tcPr>
                <w:p w14:paraId="702B2C59">
                  <w:pPr>
                    <w:spacing w:line="280" w:lineRule="exact"/>
                    <w:rPr>
                      <w:rFonts w:hint="default" w:ascii="Times New Roman" w:hAnsi="Times New Roman" w:cs="Times New Roman"/>
                    </w:rPr>
                  </w:pPr>
                  <w:r>
                    <w:rPr>
                      <w:rFonts w:hint="default" w:ascii="Times New Roman" w:hAnsi="Times New Roman" w:cs="Times New Roman"/>
                    </w:rPr>
                    <w:t>包装标志：5   UN编号：  1066    包装方法：钢质气瓶   包装分类：Ⅲ</w:t>
                  </w:r>
                </w:p>
                <w:p w14:paraId="587360CF">
                  <w:pPr>
                    <w:spacing w:line="280" w:lineRule="exact"/>
                    <w:rPr>
                      <w:rFonts w:hint="default" w:ascii="Times New Roman" w:hAnsi="Times New Roman" w:cs="Times New Roman"/>
                    </w:rPr>
                  </w:pPr>
                  <w:r>
                    <w:rPr>
                      <w:rFonts w:hint="default" w:ascii="Times New Roman" w:hAnsi="Times New Roman" w:cs="Times New Roman"/>
                    </w:rPr>
                    <w:t>储运条件：不燃性压缩气体。储存于阴凉、通风仓间内。仓间温度不宜超过30℃。远离火种、热源，防止阳光直射。验收时要注意品名，注意验瓶日期，先进仓的先发用。搬运时轻装轻卸，防止钢瓶及附件破损。</w:t>
                  </w:r>
                </w:p>
              </w:tc>
            </w:tr>
          </w:tbl>
          <w:p w14:paraId="69A5752D">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Times New Roman" w:hAnsi="Times New Roman" w:cs="Times New Roman"/>
                <w:b/>
                <w:bCs/>
                <w:color w:val="auto"/>
                <w:sz w:val="24"/>
                <w:szCs w:val="24"/>
                <w:lang w:val="en-US" w:eastAsia="zh-CN"/>
              </w:rPr>
            </w:pPr>
          </w:p>
          <w:p w14:paraId="5AF1C008">
            <w:pPr>
              <w:pStyle w:val="10"/>
              <w:jc w:val="center"/>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表2</w:t>
            </w:r>
            <w:r>
              <w:rPr>
                <w:rFonts w:hint="default" w:ascii="Times New Roman" w:hAnsi="Times New Roman" w:cs="Times New Roman"/>
                <w:b/>
                <w:bCs w:val="0"/>
                <w:color w:val="auto"/>
                <w:sz w:val="21"/>
                <w:szCs w:val="21"/>
                <w:lang w:val="en-US" w:eastAsia="zh-CN"/>
              </w:rPr>
              <w:t xml:space="preserve">.5-6  </w:t>
            </w:r>
            <w:r>
              <w:rPr>
                <w:rFonts w:hint="default" w:ascii="Times New Roman" w:hAnsi="Times New Roman" w:cs="Times New Roman"/>
                <w:b/>
                <w:bCs w:val="0"/>
                <w:color w:val="auto"/>
                <w:sz w:val="21"/>
                <w:szCs w:val="21"/>
              </w:rPr>
              <w:t xml:space="preserve">  </w:t>
            </w:r>
            <w:r>
              <w:rPr>
                <w:rFonts w:hint="default" w:ascii="Times New Roman" w:hAnsi="Times New Roman" w:cs="Times New Roman"/>
                <w:b/>
                <w:bCs w:val="0"/>
                <w:color w:val="auto"/>
                <w:sz w:val="21"/>
                <w:szCs w:val="21"/>
                <w:lang w:val="en-US" w:eastAsia="zh-CN"/>
              </w:rPr>
              <w:t>氩气</w:t>
            </w:r>
            <w:r>
              <w:rPr>
                <w:rFonts w:hint="default" w:ascii="Times New Roman" w:hAnsi="Times New Roman" w:cs="Times New Roman"/>
                <w:b/>
                <w:bCs w:val="0"/>
                <w:color w:val="auto"/>
                <w:sz w:val="21"/>
                <w:szCs w:val="21"/>
              </w:rPr>
              <w:t>主要理化性质及危险特性表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
              <w:gridCol w:w="2290"/>
              <w:gridCol w:w="513"/>
              <w:gridCol w:w="855"/>
              <w:gridCol w:w="751"/>
              <w:gridCol w:w="901"/>
              <w:gridCol w:w="2247"/>
            </w:tblGrid>
            <w:tr w14:paraId="41F74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270" w:type="pct"/>
                  <w:vMerge w:val="restart"/>
                  <w:tcBorders>
                    <w:top w:val="single" w:color="auto" w:sz="4" w:space="0"/>
                    <w:left w:val="single" w:color="auto" w:sz="4" w:space="0"/>
                    <w:bottom w:val="single" w:color="auto" w:sz="4" w:space="0"/>
                    <w:right w:val="single" w:color="auto" w:sz="4" w:space="0"/>
                  </w:tcBorders>
                  <w:noWrap w:val="0"/>
                  <w:vAlign w:val="center"/>
                </w:tcPr>
                <w:p w14:paraId="79738FC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标识</w:t>
                  </w:r>
                </w:p>
              </w:tc>
              <w:tc>
                <w:tcPr>
                  <w:tcW w:w="2289" w:type="pct"/>
                  <w:gridSpan w:val="3"/>
                  <w:tcBorders>
                    <w:top w:val="single" w:color="auto" w:sz="4" w:space="0"/>
                    <w:left w:val="single" w:color="auto" w:sz="4" w:space="0"/>
                    <w:bottom w:val="single" w:color="auto" w:sz="4" w:space="0"/>
                    <w:right w:val="single" w:color="auto" w:sz="4" w:space="0"/>
                  </w:tcBorders>
                  <w:noWrap w:val="0"/>
                  <w:vAlign w:val="top"/>
                </w:tcPr>
                <w:p w14:paraId="53E1C944">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中文名：氩</w:t>
                  </w:r>
                </w:p>
              </w:tc>
              <w:tc>
                <w:tcPr>
                  <w:tcW w:w="2440" w:type="pct"/>
                  <w:gridSpan w:val="3"/>
                  <w:tcBorders>
                    <w:top w:val="single" w:color="auto" w:sz="4" w:space="0"/>
                    <w:left w:val="single" w:color="auto" w:sz="4" w:space="0"/>
                    <w:bottom w:val="single" w:color="auto" w:sz="4" w:space="0"/>
                    <w:right w:val="single" w:color="auto" w:sz="4" w:space="0"/>
                  </w:tcBorders>
                  <w:noWrap w:val="0"/>
                  <w:vAlign w:val="top"/>
                </w:tcPr>
                <w:p w14:paraId="663C4347">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英文名：argon</w:t>
                  </w:r>
                </w:p>
              </w:tc>
            </w:tr>
            <w:tr w14:paraId="5C4CF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12105DD5">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754" w:type="pct"/>
                  <w:gridSpan w:val="2"/>
                  <w:tcBorders>
                    <w:top w:val="single" w:color="auto" w:sz="4" w:space="0"/>
                    <w:left w:val="single" w:color="auto" w:sz="4" w:space="0"/>
                    <w:bottom w:val="single" w:color="auto" w:sz="4" w:space="0"/>
                    <w:right w:val="single" w:color="auto" w:sz="4" w:space="0"/>
                  </w:tcBorders>
                  <w:noWrap w:val="0"/>
                  <w:vAlign w:val="top"/>
                </w:tcPr>
                <w:p w14:paraId="724907AC">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分子式：Ar</w:t>
                  </w:r>
                </w:p>
              </w:tc>
              <w:tc>
                <w:tcPr>
                  <w:tcW w:w="1569" w:type="pct"/>
                  <w:gridSpan w:val="3"/>
                  <w:tcBorders>
                    <w:top w:val="single" w:color="auto" w:sz="4" w:space="0"/>
                    <w:left w:val="single" w:color="auto" w:sz="4" w:space="0"/>
                    <w:bottom w:val="single" w:color="auto" w:sz="4" w:space="0"/>
                    <w:right w:val="single" w:color="auto" w:sz="4" w:space="0"/>
                  </w:tcBorders>
                  <w:noWrap w:val="0"/>
                  <w:vAlign w:val="top"/>
                </w:tcPr>
                <w:p w14:paraId="79029A57">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分子量：39.95</w:t>
                  </w:r>
                </w:p>
              </w:tc>
              <w:tc>
                <w:tcPr>
                  <w:tcW w:w="1406" w:type="pct"/>
                  <w:tcBorders>
                    <w:top w:val="single" w:color="auto" w:sz="4" w:space="0"/>
                    <w:left w:val="single" w:color="auto" w:sz="4" w:space="0"/>
                    <w:bottom w:val="single" w:color="auto" w:sz="4" w:space="0"/>
                    <w:right w:val="single" w:color="auto" w:sz="4" w:space="0"/>
                  </w:tcBorders>
                  <w:noWrap w:val="0"/>
                  <w:vAlign w:val="top"/>
                </w:tcPr>
                <w:p w14:paraId="4E97286B">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CAS号：7440－37－1</w:t>
                  </w:r>
                </w:p>
              </w:tc>
            </w:tr>
            <w:tr w14:paraId="1A4FA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49A22DDB">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29DAEBC4">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危规号：22011</w:t>
                  </w:r>
                </w:p>
              </w:tc>
            </w:tr>
            <w:tr w14:paraId="027B4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70" w:type="pct"/>
                  <w:vMerge w:val="restart"/>
                  <w:tcBorders>
                    <w:top w:val="single" w:color="auto" w:sz="4" w:space="0"/>
                    <w:left w:val="single" w:color="auto" w:sz="4" w:space="0"/>
                    <w:bottom w:val="single" w:color="auto" w:sz="4" w:space="0"/>
                    <w:right w:val="single" w:color="auto" w:sz="4" w:space="0"/>
                  </w:tcBorders>
                  <w:noWrap w:val="0"/>
                  <w:vAlign w:val="center"/>
                </w:tcPr>
                <w:p w14:paraId="1650580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理化性质</w:t>
                  </w: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2B9084DE">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性状：无色无臭的惰性气体</w:t>
                  </w:r>
                </w:p>
              </w:tc>
            </w:tr>
            <w:tr w14:paraId="6F377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39B61683">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436E99C4">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溶解性：微溶于水</w:t>
                  </w:r>
                </w:p>
              </w:tc>
            </w:tr>
            <w:tr w14:paraId="5E1DA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70D3B3E0">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433" w:type="pct"/>
                  <w:tcBorders>
                    <w:top w:val="single" w:color="auto" w:sz="4" w:space="0"/>
                    <w:left w:val="single" w:color="auto" w:sz="4" w:space="0"/>
                    <w:bottom w:val="single" w:color="auto" w:sz="4" w:space="0"/>
                    <w:right w:val="single" w:color="auto" w:sz="4" w:space="0"/>
                  </w:tcBorders>
                  <w:noWrap w:val="0"/>
                  <w:vAlign w:val="top"/>
                </w:tcPr>
                <w:p w14:paraId="3AD19497">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熔点（℃）：－189.2</w:t>
                  </w:r>
                </w:p>
              </w:tc>
              <w:tc>
                <w:tcPr>
                  <w:tcW w:w="1326" w:type="pct"/>
                  <w:gridSpan w:val="3"/>
                  <w:tcBorders>
                    <w:top w:val="single" w:color="auto" w:sz="4" w:space="0"/>
                    <w:left w:val="single" w:color="auto" w:sz="4" w:space="0"/>
                    <w:bottom w:val="single" w:color="auto" w:sz="4" w:space="0"/>
                    <w:right w:val="single" w:color="auto" w:sz="4" w:space="0"/>
                  </w:tcBorders>
                  <w:noWrap w:val="0"/>
                  <w:vAlign w:val="top"/>
                </w:tcPr>
                <w:p w14:paraId="1C5B4358">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沸点（℃）：－185.7</w:t>
                  </w:r>
                </w:p>
              </w:tc>
              <w:tc>
                <w:tcPr>
                  <w:tcW w:w="1970" w:type="pct"/>
                  <w:gridSpan w:val="2"/>
                  <w:tcBorders>
                    <w:top w:val="single" w:color="auto" w:sz="4" w:space="0"/>
                    <w:left w:val="single" w:color="auto" w:sz="4" w:space="0"/>
                    <w:bottom w:val="single" w:color="auto" w:sz="4" w:space="0"/>
                    <w:right w:val="single" w:color="auto" w:sz="4" w:space="0"/>
                  </w:tcBorders>
                  <w:noWrap w:val="0"/>
                  <w:vAlign w:val="top"/>
                </w:tcPr>
                <w:p w14:paraId="08DAC864">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相对密度（水＝1）：1.40（－186℃）</w:t>
                  </w:r>
                </w:p>
              </w:tc>
            </w:tr>
            <w:tr w14:paraId="50D04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6D3546AF">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433" w:type="pct"/>
                  <w:tcBorders>
                    <w:top w:val="single" w:color="auto" w:sz="4" w:space="0"/>
                    <w:left w:val="single" w:color="auto" w:sz="4" w:space="0"/>
                    <w:bottom w:val="single" w:color="auto" w:sz="4" w:space="0"/>
                    <w:right w:val="single" w:color="auto" w:sz="4" w:space="0"/>
                  </w:tcBorders>
                  <w:noWrap w:val="0"/>
                  <w:vAlign w:val="top"/>
                </w:tcPr>
                <w:p w14:paraId="28001ED4">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临界温度（℃）：－122.3</w:t>
                  </w:r>
                </w:p>
              </w:tc>
              <w:tc>
                <w:tcPr>
                  <w:tcW w:w="1326" w:type="pct"/>
                  <w:gridSpan w:val="3"/>
                  <w:tcBorders>
                    <w:top w:val="single" w:color="auto" w:sz="4" w:space="0"/>
                    <w:left w:val="single" w:color="auto" w:sz="4" w:space="0"/>
                    <w:bottom w:val="single" w:color="auto" w:sz="4" w:space="0"/>
                    <w:right w:val="single" w:color="auto" w:sz="4" w:space="0"/>
                  </w:tcBorders>
                  <w:noWrap w:val="0"/>
                  <w:vAlign w:val="top"/>
                </w:tcPr>
                <w:p w14:paraId="42B5800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临界压力（MPa）：4.86</w:t>
                  </w:r>
                </w:p>
              </w:tc>
              <w:tc>
                <w:tcPr>
                  <w:tcW w:w="1970" w:type="pct"/>
                  <w:gridSpan w:val="2"/>
                  <w:tcBorders>
                    <w:top w:val="single" w:color="auto" w:sz="4" w:space="0"/>
                    <w:left w:val="single" w:color="auto" w:sz="4" w:space="0"/>
                    <w:bottom w:val="single" w:color="auto" w:sz="4" w:space="0"/>
                    <w:right w:val="single" w:color="auto" w:sz="4" w:space="0"/>
                  </w:tcBorders>
                  <w:noWrap w:val="0"/>
                  <w:vAlign w:val="top"/>
                </w:tcPr>
                <w:p w14:paraId="3BD2A2C0">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相对密度（空气＝1）：1.38</w:t>
                  </w:r>
                </w:p>
              </w:tc>
            </w:tr>
            <w:tr w14:paraId="2150B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56735AC9">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433" w:type="pct"/>
                  <w:tcBorders>
                    <w:top w:val="single" w:color="auto" w:sz="4" w:space="0"/>
                    <w:left w:val="single" w:color="auto" w:sz="4" w:space="0"/>
                    <w:bottom w:val="single" w:color="auto" w:sz="4" w:space="0"/>
                    <w:right w:val="single" w:color="auto" w:sz="4" w:space="0"/>
                  </w:tcBorders>
                  <w:noWrap w:val="0"/>
                  <w:vAlign w:val="top"/>
                </w:tcPr>
                <w:p w14:paraId="4E33EB69">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燃烧热（KJ/mol）：无意义</w:t>
                  </w:r>
                </w:p>
              </w:tc>
              <w:tc>
                <w:tcPr>
                  <w:tcW w:w="1326" w:type="pct"/>
                  <w:gridSpan w:val="3"/>
                  <w:tcBorders>
                    <w:top w:val="single" w:color="auto" w:sz="4" w:space="0"/>
                    <w:left w:val="single" w:color="auto" w:sz="4" w:space="0"/>
                    <w:bottom w:val="single" w:color="auto" w:sz="4" w:space="0"/>
                    <w:right w:val="single" w:color="auto" w:sz="4" w:space="0"/>
                  </w:tcBorders>
                  <w:noWrap w:val="0"/>
                  <w:vAlign w:val="top"/>
                </w:tcPr>
                <w:p w14:paraId="667FAD7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lang w:eastAsia="zh-CN"/>
                    </w:rPr>
                  </w:pPr>
                  <w:r>
                    <w:rPr>
                      <w:rFonts w:hint="default" w:ascii="Times New Roman" w:hAnsi="Times New Roman" w:cs="Times New Roman"/>
                    </w:rPr>
                    <w:t>最小点火能（mJ）：</w:t>
                  </w:r>
                </w:p>
              </w:tc>
              <w:tc>
                <w:tcPr>
                  <w:tcW w:w="1970" w:type="pct"/>
                  <w:gridSpan w:val="2"/>
                  <w:tcBorders>
                    <w:top w:val="single" w:color="auto" w:sz="4" w:space="0"/>
                    <w:left w:val="single" w:color="auto" w:sz="4" w:space="0"/>
                    <w:bottom w:val="single" w:color="auto" w:sz="4" w:space="0"/>
                    <w:right w:val="single" w:color="auto" w:sz="4" w:space="0"/>
                  </w:tcBorders>
                  <w:noWrap w:val="0"/>
                  <w:vAlign w:val="top"/>
                </w:tcPr>
                <w:p w14:paraId="0A1D0DDF">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饱和蒸汽压（KPa）：202.64（－179℃）</w:t>
                  </w:r>
                </w:p>
              </w:tc>
            </w:tr>
            <w:tr w14:paraId="467B8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70" w:type="pct"/>
                  <w:vMerge w:val="restart"/>
                  <w:tcBorders>
                    <w:top w:val="single" w:color="auto" w:sz="4" w:space="0"/>
                    <w:left w:val="single" w:color="auto" w:sz="4" w:space="0"/>
                    <w:bottom w:val="single" w:color="auto" w:sz="4" w:space="0"/>
                    <w:right w:val="single" w:color="auto" w:sz="4" w:space="0"/>
                  </w:tcBorders>
                  <w:noWrap w:val="0"/>
                  <w:vAlign w:val="center"/>
                </w:tcPr>
                <w:p w14:paraId="06F5308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燃烧爆炸危险性</w:t>
                  </w:r>
                </w:p>
              </w:tc>
              <w:tc>
                <w:tcPr>
                  <w:tcW w:w="1754" w:type="pct"/>
                  <w:gridSpan w:val="2"/>
                  <w:tcBorders>
                    <w:top w:val="single" w:color="auto" w:sz="4" w:space="0"/>
                    <w:left w:val="single" w:color="auto" w:sz="4" w:space="0"/>
                    <w:bottom w:val="single" w:color="auto" w:sz="4" w:space="0"/>
                    <w:right w:val="single" w:color="auto" w:sz="4" w:space="0"/>
                  </w:tcBorders>
                  <w:noWrap w:val="0"/>
                  <w:vAlign w:val="top"/>
                </w:tcPr>
                <w:p w14:paraId="37EFA323">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燃烧性：不燃</w:t>
                  </w:r>
                </w:p>
              </w:tc>
              <w:tc>
                <w:tcPr>
                  <w:tcW w:w="2975" w:type="pct"/>
                  <w:gridSpan w:val="4"/>
                  <w:tcBorders>
                    <w:top w:val="single" w:color="auto" w:sz="4" w:space="0"/>
                    <w:left w:val="single" w:color="auto" w:sz="4" w:space="0"/>
                    <w:bottom w:val="single" w:color="auto" w:sz="4" w:space="0"/>
                    <w:right w:val="single" w:color="auto" w:sz="4" w:space="0"/>
                  </w:tcBorders>
                  <w:noWrap w:val="0"/>
                  <w:vAlign w:val="top"/>
                </w:tcPr>
                <w:p w14:paraId="1B76DD1E">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燃烧分解产物：</w:t>
                  </w:r>
                </w:p>
              </w:tc>
            </w:tr>
            <w:tr w14:paraId="133FB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20E29078">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754" w:type="pct"/>
                  <w:gridSpan w:val="2"/>
                  <w:tcBorders>
                    <w:top w:val="single" w:color="auto" w:sz="4" w:space="0"/>
                    <w:left w:val="single" w:color="auto" w:sz="4" w:space="0"/>
                    <w:bottom w:val="single" w:color="auto" w:sz="4" w:space="0"/>
                    <w:right w:val="single" w:color="auto" w:sz="4" w:space="0"/>
                  </w:tcBorders>
                  <w:noWrap w:val="0"/>
                  <w:vAlign w:val="top"/>
                </w:tcPr>
                <w:p w14:paraId="25A73FBA">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闪点（℃）：无意义</w:t>
                  </w:r>
                </w:p>
              </w:tc>
              <w:tc>
                <w:tcPr>
                  <w:tcW w:w="2975" w:type="pct"/>
                  <w:gridSpan w:val="4"/>
                  <w:tcBorders>
                    <w:top w:val="single" w:color="auto" w:sz="4" w:space="0"/>
                    <w:left w:val="single" w:color="auto" w:sz="4" w:space="0"/>
                    <w:bottom w:val="single" w:color="auto" w:sz="4" w:space="0"/>
                    <w:right w:val="single" w:color="auto" w:sz="4" w:space="0"/>
                  </w:tcBorders>
                  <w:noWrap w:val="0"/>
                  <w:vAlign w:val="top"/>
                </w:tcPr>
                <w:p w14:paraId="22487D80">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聚合危害：不聚合</w:t>
                  </w:r>
                </w:p>
              </w:tc>
            </w:tr>
            <w:tr w14:paraId="6E95E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6CBC8594">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754" w:type="pct"/>
                  <w:gridSpan w:val="2"/>
                  <w:tcBorders>
                    <w:top w:val="single" w:color="auto" w:sz="4" w:space="0"/>
                    <w:left w:val="single" w:color="auto" w:sz="4" w:space="0"/>
                    <w:bottom w:val="single" w:color="auto" w:sz="4" w:space="0"/>
                    <w:right w:val="single" w:color="auto" w:sz="4" w:space="0"/>
                  </w:tcBorders>
                  <w:noWrap w:val="0"/>
                  <w:vAlign w:val="top"/>
                </w:tcPr>
                <w:p w14:paraId="1ABB8338">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爆炸下限（％）：无意义</w:t>
                  </w:r>
                </w:p>
              </w:tc>
              <w:tc>
                <w:tcPr>
                  <w:tcW w:w="2975" w:type="pct"/>
                  <w:gridSpan w:val="4"/>
                  <w:tcBorders>
                    <w:top w:val="single" w:color="auto" w:sz="4" w:space="0"/>
                    <w:left w:val="single" w:color="auto" w:sz="4" w:space="0"/>
                    <w:bottom w:val="single" w:color="auto" w:sz="4" w:space="0"/>
                    <w:right w:val="single" w:color="auto" w:sz="4" w:space="0"/>
                  </w:tcBorders>
                  <w:noWrap w:val="0"/>
                  <w:vAlign w:val="top"/>
                </w:tcPr>
                <w:p w14:paraId="56E28C79">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稳定性：稳定</w:t>
                  </w:r>
                </w:p>
              </w:tc>
            </w:tr>
            <w:tr w14:paraId="2E92F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44537B05">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754" w:type="pct"/>
                  <w:gridSpan w:val="2"/>
                  <w:tcBorders>
                    <w:top w:val="single" w:color="auto" w:sz="4" w:space="0"/>
                    <w:left w:val="single" w:color="auto" w:sz="4" w:space="0"/>
                    <w:bottom w:val="single" w:color="auto" w:sz="4" w:space="0"/>
                    <w:right w:val="single" w:color="auto" w:sz="4" w:space="0"/>
                  </w:tcBorders>
                  <w:noWrap w:val="0"/>
                  <w:vAlign w:val="top"/>
                </w:tcPr>
                <w:p w14:paraId="0615E973">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爆炸上限（％）：无意义</w:t>
                  </w:r>
                </w:p>
              </w:tc>
              <w:tc>
                <w:tcPr>
                  <w:tcW w:w="2975" w:type="pct"/>
                  <w:gridSpan w:val="4"/>
                  <w:tcBorders>
                    <w:top w:val="single" w:color="auto" w:sz="4" w:space="0"/>
                    <w:left w:val="single" w:color="auto" w:sz="4" w:space="0"/>
                    <w:bottom w:val="single" w:color="auto" w:sz="4" w:space="0"/>
                    <w:right w:val="single" w:color="auto" w:sz="4" w:space="0"/>
                  </w:tcBorders>
                  <w:noWrap w:val="0"/>
                  <w:vAlign w:val="top"/>
                </w:tcPr>
                <w:p w14:paraId="73371882">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最大爆炸压力（MPa）：无意义</w:t>
                  </w:r>
                </w:p>
              </w:tc>
            </w:tr>
            <w:tr w14:paraId="486E9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0D42DF5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754" w:type="pct"/>
                  <w:gridSpan w:val="2"/>
                  <w:tcBorders>
                    <w:top w:val="single" w:color="auto" w:sz="4" w:space="0"/>
                    <w:left w:val="single" w:color="auto" w:sz="4" w:space="0"/>
                    <w:bottom w:val="single" w:color="auto" w:sz="4" w:space="0"/>
                    <w:right w:val="single" w:color="auto" w:sz="4" w:space="0"/>
                  </w:tcBorders>
                  <w:noWrap w:val="0"/>
                  <w:vAlign w:val="top"/>
                </w:tcPr>
                <w:p w14:paraId="06B99B2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引燃温度（℃）：无意义</w:t>
                  </w:r>
                </w:p>
              </w:tc>
              <w:tc>
                <w:tcPr>
                  <w:tcW w:w="2975" w:type="pct"/>
                  <w:gridSpan w:val="4"/>
                  <w:tcBorders>
                    <w:top w:val="single" w:color="auto" w:sz="4" w:space="0"/>
                    <w:left w:val="single" w:color="auto" w:sz="4" w:space="0"/>
                    <w:bottom w:val="single" w:color="auto" w:sz="4" w:space="0"/>
                    <w:right w:val="single" w:color="auto" w:sz="4" w:space="0"/>
                  </w:tcBorders>
                  <w:noWrap w:val="0"/>
                  <w:vAlign w:val="top"/>
                </w:tcPr>
                <w:p w14:paraId="415C012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禁忌物：</w:t>
                  </w:r>
                </w:p>
              </w:tc>
            </w:tr>
            <w:tr w14:paraId="3B7BD3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14F8EA75">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0937B0AD">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危险特性：若遇高热，容器内压增大，有开裂和爆炸的危险。</w:t>
                  </w:r>
                </w:p>
              </w:tc>
            </w:tr>
            <w:tr w14:paraId="4E4BA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270" w:type="pct"/>
                  <w:vMerge w:val="continue"/>
                  <w:tcBorders>
                    <w:top w:val="single" w:color="auto" w:sz="4" w:space="0"/>
                    <w:left w:val="single" w:color="auto" w:sz="4" w:space="0"/>
                    <w:bottom w:val="single" w:color="auto" w:sz="4" w:space="0"/>
                    <w:right w:val="single" w:color="auto" w:sz="4" w:space="0"/>
                  </w:tcBorders>
                  <w:noWrap w:val="0"/>
                  <w:vAlign w:val="center"/>
                </w:tcPr>
                <w:p w14:paraId="6E51A34E">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7C67578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消防措施：本品不燃。切断气源。喷水冷却容器，可能的话将容器从火场移至空旷处。</w:t>
                  </w:r>
                </w:p>
              </w:tc>
            </w:tr>
            <w:tr w14:paraId="34A71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tcBorders>
                    <w:top w:val="single" w:color="auto" w:sz="4" w:space="0"/>
                    <w:left w:val="single" w:color="auto" w:sz="4" w:space="0"/>
                    <w:bottom w:val="single" w:color="auto" w:sz="4" w:space="0"/>
                    <w:right w:val="single" w:color="auto" w:sz="4" w:space="0"/>
                  </w:tcBorders>
                  <w:noWrap w:val="0"/>
                  <w:vAlign w:val="center"/>
                </w:tcPr>
                <w:p w14:paraId="7D5178D3">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毒性</w:t>
                  </w: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3C025A51">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接触限值：中国MAC（mg/m</w:t>
                  </w:r>
                  <w:r>
                    <w:rPr>
                      <w:rFonts w:hint="default" w:ascii="Times New Roman" w:hAnsi="Times New Roman" w:cs="Times New Roman"/>
                      <w:vertAlign w:val="superscript"/>
                    </w:rPr>
                    <w:t>3</w:t>
                  </w:r>
                  <w:r>
                    <w:rPr>
                      <w:rFonts w:hint="default" w:ascii="Times New Roman" w:hAnsi="Times New Roman" w:cs="Times New Roman"/>
                    </w:rPr>
                    <w:t>）未制定标准   前苏联MAC（mg/m</w:t>
                  </w:r>
                  <w:r>
                    <w:rPr>
                      <w:rFonts w:hint="default" w:ascii="Times New Roman" w:hAnsi="Times New Roman" w:cs="Times New Roman"/>
                      <w:vertAlign w:val="superscript"/>
                    </w:rPr>
                    <w:t>3</w:t>
                  </w:r>
                  <w:r>
                    <w:rPr>
                      <w:rFonts w:hint="default" w:ascii="Times New Roman" w:hAnsi="Times New Roman" w:cs="Times New Roman"/>
                    </w:rPr>
                    <w:t xml:space="preserve">）未制定标准      </w:t>
                  </w:r>
                </w:p>
                <w:p w14:paraId="795A9904">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美国TVL－TWA  ACGIH 窒息性气体   美国TLV－STEL  未制定标准</w:t>
                  </w:r>
                </w:p>
              </w:tc>
            </w:tr>
            <w:tr w14:paraId="3157D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tcBorders>
                    <w:top w:val="single" w:color="auto" w:sz="4" w:space="0"/>
                    <w:left w:val="single" w:color="auto" w:sz="4" w:space="0"/>
                    <w:bottom w:val="single" w:color="auto" w:sz="4" w:space="0"/>
                    <w:right w:val="single" w:color="auto" w:sz="4" w:space="0"/>
                  </w:tcBorders>
                  <w:noWrap w:val="0"/>
                  <w:vAlign w:val="center"/>
                </w:tcPr>
                <w:p w14:paraId="63145566">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对人体危害</w:t>
                  </w: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64DD0E8E">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侵入途径：吸入。</w:t>
                  </w:r>
                </w:p>
                <w:p w14:paraId="7CE8EAD9">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健康危害：普通大气压下无毒。高浓度时，使氧分压降低而发生窒息。氩浓度达50％以上，引起严重症状；75％以上时，可在数分钟内死亡。当空气中浓度增高时，先出现呼吸加速，注意力不集中，共济失调。继而，疲倦乏力、烦躁不安、恶心、呕吐、昏迷、抽搐，以至死亡。液态氩可致皮肤冻伤；眼部接触可引起炎症。</w:t>
                  </w:r>
                </w:p>
              </w:tc>
            </w:tr>
            <w:tr w14:paraId="27BC6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tcBorders>
                    <w:top w:val="single" w:color="auto" w:sz="4" w:space="0"/>
                    <w:left w:val="single" w:color="auto" w:sz="4" w:space="0"/>
                    <w:bottom w:val="single" w:color="auto" w:sz="4" w:space="0"/>
                    <w:right w:val="single" w:color="auto" w:sz="4" w:space="0"/>
                  </w:tcBorders>
                  <w:noWrap w:val="0"/>
                  <w:vAlign w:val="center"/>
                </w:tcPr>
                <w:p w14:paraId="2587871E">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急救</w:t>
                  </w: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468DC91B">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皮肤冻伤：若有冻伤，就医治疗。</w:t>
                  </w:r>
                </w:p>
                <w:p w14:paraId="1BE90FDC">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眼睛接触：提起眼睑，用流动清水或生理盐水冲洗，就医。</w:t>
                  </w:r>
                </w:p>
                <w:p w14:paraId="2513DCFA">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吸入：迅速脱离现场至空气新鲜处，保持呼吸道通畅。如呼吸困难，给输氧。如呼吸停止，立即进行人工呼吸。就医。</w:t>
                  </w:r>
                </w:p>
              </w:tc>
            </w:tr>
            <w:tr w14:paraId="24032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tcBorders>
                    <w:top w:val="single" w:color="auto" w:sz="4" w:space="0"/>
                    <w:left w:val="single" w:color="auto" w:sz="4" w:space="0"/>
                    <w:bottom w:val="single" w:color="auto" w:sz="4" w:space="0"/>
                    <w:right w:val="single" w:color="auto" w:sz="4" w:space="0"/>
                  </w:tcBorders>
                  <w:noWrap w:val="0"/>
                  <w:vAlign w:val="center"/>
                </w:tcPr>
                <w:p w14:paraId="0402C9A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防护</w:t>
                  </w: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055381A7">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工程防护：密闭操作，提供良好的自然通风条件。</w:t>
                  </w:r>
                </w:p>
                <w:p w14:paraId="3B1A9FAB">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个人防护：一般不需要特殊防护，但当作业场所空气中氧气浓度低于18％时，必须佩戴空气呼吸器、氧气呼吸器或长管面具。穿一般作业工作服。戴一般作业防护手套。</w:t>
                  </w:r>
                </w:p>
                <w:p w14:paraId="5C80FF95">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其他：避免高浓度吸入，进入罐、限制性空间或其它高浓度区作业，须有人监护。</w:t>
                  </w:r>
                </w:p>
              </w:tc>
            </w:tr>
            <w:tr w14:paraId="02967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0" w:type="pct"/>
                  <w:tcBorders>
                    <w:top w:val="single" w:color="auto" w:sz="4" w:space="0"/>
                    <w:left w:val="single" w:color="auto" w:sz="4" w:space="0"/>
                    <w:bottom w:val="single" w:color="auto" w:sz="4" w:space="0"/>
                    <w:right w:val="single" w:color="auto" w:sz="4" w:space="0"/>
                  </w:tcBorders>
                  <w:noWrap w:val="0"/>
                  <w:vAlign w:val="center"/>
                </w:tcPr>
                <w:p w14:paraId="2C4BDF7A">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泄漏处理</w:t>
                  </w: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64CAB58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迅速撤离泄漏污染区人员至上风处，并进行隔离，严格限制出入。建议应急处理人员戴自给正压式呼吸器，穿一般作业工作服。尽可能切断泄漏源。合理通风，加速扩散。如有可能，即时使用。漏气容器要妥善处理，修复、检验后再用。</w:t>
                  </w:r>
                </w:p>
              </w:tc>
            </w:tr>
            <w:tr w14:paraId="5B3BA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270" w:type="pct"/>
                  <w:tcBorders>
                    <w:top w:val="single" w:color="auto" w:sz="4" w:space="0"/>
                    <w:left w:val="single" w:color="auto" w:sz="4" w:space="0"/>
                    <w:bottom w:val="single" w:color="auto" w:sz="4" w:space="0"/>
                    <w:right w:val="single" w:color="auto" w:sz="4" w:space="0"/>
                  </w:tcBorders>
                  <w:noWrap w:val="0"/>
                  <w:vAlign w:val="center"/>
                </w:tcPr>
                <w:p w14:paraId="47F1048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rPr>
                  </w:pPr>
                  <w:r>
                    <w:rPr>
                      <w:rFonts w:hint="default" w:ascii="Times New Roman" w:hAnsi="Times New Roman" w:cs="Times New Roman"/>
                    </w:rPr>
                    <w:t>贮运</w:t>
                  </w:r>
                </w:p>
              </w:tc>
              <w:tc>
                <w:tcPr>
                  <w:tcW w:w="4729" w:type="pct"/>
                  <w:gridSpan w:val="6"/>
                  <w:tcBorders>
                    <w:top w:val="single" w:color="auto" w:sz="4" w:space="0"/>
                    <w:left w:val="single" w:color="auto" w:sz="4" w:space="0"/>
                    <w:bottom w:val="single" w:color="auto" w:sz="4" w:space="0"/>
                    <w:right w:val="single" w:color="auto" w:sz="4" w:space="0"/>
                  </w:tcBorders>
                  <w:noWrap w:val="0"/>
                  <w:vAlign w:val="top"/>
                </w:tcPr>
                <w:p w14:paraId="16B4627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包装标志：5       UN编号： 1006       包装分类：Ⅲ        包装方法：钢质气瓶</w:t>
                  </w:r>
                </w:p>
                <w:p w14:paraId="54324B66">
                  <w:pPr>
                    <w:keepNext w:val="0"/>
                    <w:keepLines w:val="0"/>
                    <w:pageBreakBefore w:val="0"/>
                    <w:kinsoku/>
                    <w:wordWrap/>
                    <w:overflowPunct/>
                    <w:topLinePunct w:val="0"/>
                    <w:autoSpaceDE/>
                    <w:autoSpaceDN/>
                    <w:bidi w:val="0"/>
                    <w:adjustRightInd/>
                    <w:snapToGrid/>
                    <w:spacing w:line="240" w:lineRule="auto"/>
                    <w:textAlignment w:val="auto"/>
                    <w:rPr>
                      <w:rFonts w:hint="default" w:ascii="Times New Roman" w:hAnsi="Times New Roman" w:cs="Times New Roman"/>
                    </w:rPr>
                  </w:pPr>
                  <w:r>
                    <w:rPr>
                      <w:rFonts w:hint="default" w:ascii="Times New Roman" w:hAnsi="Times New Roman" w:cs="Times New Roman"/>
                    </w:rPr>
                    <w:t>储运条件：不燃性压缩气体。储存于阴凉、通风仓间内。仓内温度不宜超过30℃。远离火种、热源。防止阳光直射。应与易燃或可燃物分开存放。验收时要注意品名，注意验瓶日期，先进仓的先发用。搬运时轻装轻卸，防止钢瓶及附件破损。</w:t>
                  </w:r>
                </w:p>
              </w:tc>
            </w:tr>
          </w:tbl>
          <w:p w14:paraId="6DC8D660">
            <w:pPr>
              <w:ind w:firstLine="964" w:firstLineChars="400"/>
              <w:rPr>
                <w:rFonts w:hint="default" w:ascii="Times New Roman" w:hAnsi="Times New Roman" w:cs="Times New Roman"/>
                <w:b/>
                <w:bCs w:val="0"/>
                <w:color w:val="auto"/>
                <w:sz w:val="24"/>
                <w:szCs w:val="24"/>
              </w:rPr>
            </w:pPr>
          </w:p>
          <w:p w14:paraId="7CF9E576">
            <w:pPr>
              <w:ind w:firstLine="843" w:firstLineChars="400"/>
              <w:jc w:val="center"/>
              <w:rPr>
                <w:rFonts w:hint="default" w:ascii="Times New Roman" w:hAnsi="Times New Roman" w:cs="Times New Roman"/>
                <w:sz w:val="18"/>
                <w:szCs w:val="21"/>
                <w:lang w:val="en-US" w:eastAsia="zh-CN"/>
              </w:rPr>
            </w:pPr>
            <w:r>
              <w:rPr>
                <w:rFonts w:hint="default" w:ascii="Times New Roman" w:hAnsi="Times New Roman" w:cs="Times New Roman"/>
                <w:b/>
                <w:bCs w:val="0"/>
                <w:color w:val="auto"/>
                <w:sz w:val="21"/>
                <w:szCs w:val="21"/>
              </w:rPr>
              <w:t>表2</w:t>
            </w:r>
            <w:r>
              <w:rPr>
                <w:rFonts w:hint="default" w:ascii="Times New Roman" w:hAnsi="Times New Roman" w:cs="Times New Roman"/>
                <w:b/>
                <w:bCs w:val="0"/>
                <w:color w:val="auto"/>
                <w:sz w:val="21"/>
                <w:szCs w:val="21"/>
                <w:lang w:val="en-US" w:eastAsia="zh-CN"/>
              </w:rPr>
              <w:t xml:space="preserve">.5-7  </w:t>
            </w:r>
            <w:r>
              <w:rPr>
                <w:rFonts w:hint="default" w:ascii="Times New Roman" w:hAnsi="Times New Roman" w:cs="Times New Roman"/>
                <w:b/>
                <w:bCs w:val="0"/>
                <w:color w:val="auto"/>
                <w:sz w:val="21"/>
                <w:szCs w:val="21"/>
              </w:rPr>
              <w:t xml:space="preserve">  </w:t>
            </w:r>
            <w:r>
              <w:rPr>
                <w:rFonts w:hint="default" w:ascii="Times New Roman" w:hAnsi="Times New Roman" w:cs="Times New Roman"/>
                <w:b/>
                <w:bCs w:val="0"/>
                <w:color w:val="auto"/>
                <w:sz w:val="21"/>
                <w:szCs w:val="21"/>
                <w:lang w:val="en-US" w:eastAsia="zh-CN"/>
              </w:rPr>
              <w:t>二氧化碳气体</w:t>
            </w:r>
            <w:r>
              <w:rPr>
                <w:rFonts w:hint="default" w:ascii="Times New Roman" w:hAnsi="Times New Roman" w:cs="Times New Roman"/>
                <w:b/>
                <w:bCs w:val="0"/>
                <w:color w:val="auto"/>
                <w:sz w:val="21"/>
                <w:szCs w:val="21"/>
              </w:rPr>
              <w:t>主要理化性质及危险特性表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2"/>
              <w:gridCol w:w="2332"/>
              <w:gridCol w:w="475"/>
              <w:gridCol w:w="483"/>
              <w:gridCol w:w="1162"/>
              <w:gridCol w:w="823"/>
              <w:gridCol w:w="2280"/>
            </w:tblGrid>
            <w:tr w14:paraId="1771E8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271" w:type="pct"/>
                  <w:vMerge w:val="restart"/>
                  <w:tcBorders>
                    <w:top w:val="single" w:color="auto" w:sz="4" w:space="0"/>
                    <w:left w:val="single" w:color="auto" w:sz="4" w:space="0"/>
                    <w:bottom w:val="single" w:color="auto" w:sz="4" w:space="0"/>
                    <w:right w:val="single" w:color="auto" w:sz="4" w:space="0"/>
                  </w:tcBorders>
                  <w:noWrap w:val="0"/>
                  <w:vAlign w:val="center"/>
                </w:tcPr>
                <w:p w14:paraId="6535BCF7">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标识</w:t>
                  </w:r>
                </w:p>
              </w:tc>
              <w:tc>
                <w:tcPr>
                  <w:tcW w:w="2059" w:type="pct"/>
                  <w:gridSpan w:val="3"/>
                  <w:tcBorders>
                    <w:top w:val="single" w:color="auto" w:sz="4" w:space="0"/>
                    <w:left w:val="single" w:color="auto" w:sz="4" w:space="0"/>
                    <w:bottom w:val="single" w:color="auto" w:sz="4" w:space="0"/>
                    <w:right w:val="single" w:color="auto" w:sz="4" w:space="0"/>
                  </w:tcBorders>
                  <w:noWrap w:val="0"/>
                  <w:vAlign w:val="center"/>
                </w:tcPr>
                <w:p w14:paraId="022C94BD">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中文名：二氧化碳、碳酸酐</w:t>
                  </w:r>
                </w:p>
              </w:tc>
              <w:tc>
                <w:tcPr>
                  <w:tcW w:w="2668" w:type="pct"/>
                  <w:gridSpan w:val="3"/>
                  <w:tcBorders>
                    <w:top w:val="single" w:color="auto" w:sz="4" w:space="0"/>
                    <w:left w:val="single" w:color="auto" w:sz="4" w:space="0"/>
                    <w:bottom w:val="single" w:color="auto" w:sz="4" w:space="0"/>
                    <w:right w:val="single" w:color="auto" w:sz="4" w:space="0"/>
                  </w:tcBorders>
                  <w:noWrap w:val="0"/>
                  <w:vAlign w:val="center"/>
                </w:tcPr>
                <w:p w14:paraId="0B7E2B80">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英文名：carbon  dioxide</w:t>
                  </w:r>
                </w:p>
              </w:tc>
            </w:tr>
            <w:tr w14:paraId="4FEE9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4EB8134A">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757" w:type="pct"/>
                  <w:gridSpan w:val="2"/>
                  <w:tcBorders>
                    <w:top w:val="single" w:color="auto" w:sz="4" w:space="0"/>
                    <w:left w:val="single" w:color="auto" w:sz="4" w:space="0"/>
                    <w:bottom w:val="single" w:color="auto" w:sz="4" w:space="0"/>
                    <w:right w:val="single" w:color="auto" w:sz="4" w:space="0"/>
                  </w:tcBorders>
                  <w:noWrap w:val="0"/>
                  <w:vAlign w:val="center"/>
                </w:tcPr>
                <w:p w14:paraId="24996711">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分子式：CO</w:t>
                  </w:r>
                  <w:r>
                    <w:rPr>
                      <w:rFonts w:hint="default" w:ascii="Times New Roman" w:hAnsi="Times New Roman" w:cs="Times New Roman"/>
                      <w:vertAlign w:val="subscript"/>
                    </w:rPr>
                    <w:t>2</w:t>
                  </w:r>
                </w:p>
              </w:tc>
              <w:tc>
                <w:tcPr>
                  <w:tcW w:w="1544" w:type="pct"/>
                  <w:gridSpan w:val="3"/>
                  <w:tcBorders>
                    <w:top w:val="single" w:color="auto" w:sz="4" w:space="0"/>
                    <w:left w:val="single" w:color="auto" w:sz="4" w:space="0"/>
                    <w:bottom w:val="single" w:color="auto" w:sz="4" w:space="0"/>
                    <w:right w:val="single" w:color="auto" w:sz="4" w:space="0"/>
                  </w:tcBorders>
                  <w:noWrap w:val="0"/>
                  <w:vAlign w:val="center"/>
                </w:tcPr>
                <w:p w14:paraId="62CEFA6F">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分子量：44.01</w:t>
                  </w:r>
                </w:p>
              </w:tc>
              <w:tc>
                <w:tcPr>
                  <w:tcW w:w="1425" w:type="pct"/>
                  <w:tcBorders>
                    <w:top w:val="single" w:color="auto" w:sz="4" w:space="0"/>
                    <w:left w:val="single" w:color="auto" w:sz="4" w:space="0"/>
                    <w:bottom w:val="single" w:color="auto" w:sz="4" w:space="0"/>
                    <w:right w:val="single" w:color="auto" w:sz="4" w:space="0"/>
                  </w:tcBorders>
                  <w:noWrap w:val="0"/>
                  <w:vAlign w:val="center"/>
                </w:tcPr>
                <w:p w14:paraId="71684F0C">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CAS号：124-38-9</w:t>
                  </w:r>
                </w:p>
              </w:tc>
            </w:tr>
            <w:tr w14:paraId="437EB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3E86AAE4">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590B008C">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危规号：22019</w:t>
                  </w:r>
                </w:p>
              </w:tc>
            </w:tr>
            <w:tr w14:paraId="7FA57B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71" w:type="pct"/>
                  <w:vMerge w:val="restart"/>
                  <w:tcBorders>
                    <w:top w:val="single" w:color="auto" w:sz="4" w:space="0"/>
                    <w:left w:val="single" w:color="auto" w:sz="4" w:space="0"/>
                    <w:bottom w:val="single" w:color="auto" w:sz="4" w:space="0"/>
                    <w:right w:val="single" w:color="auto" w:sz="4" w:space="0"/>
                  </w:tcBorders>
                  <w:noWrap w:val="0"/>
                  <w:vAlign w:val="center"/>
                </w:tcPr>
                <w:p w14:paraId="4CFDA9EE">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理化性质</w:t>
                  </w: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41AB1AB7">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性状：无色无臭气体</w:t>
                  </w:r>
                </w:p>
              </w:tc>
            </w:tr>
            <w:tr w14:paraId="1D9AD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16EEB223">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53C92DC6">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溶解性：溶于水、烃类等多数有机溶剂</w:t>
                  </w:r>
                </w:p>
              </w:tc>
            </w:tr>
            <w:tr w14:paraId="6A791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040BEA1B">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460" w:type="pct"/>
                  <w:tcBorders>
                    <w:top w:val="single" w:color="auto" w:sz="4" w:space="0"/>
                    <w:left w:val="single" w:color="auto" w:sz="4" w:space="0"/>
                    <w:bottom w:val="single" w:color="auto" w:sz="4" w:space="0"/>
                    <w:right w:val="single" w:color="auto" w:sz="4" w:space="0"/>
                  </w:tcBorders>
                  <w:noWrap w:val="0"/>
                  <w:vAlign w:val="center"/>
                </w:tcPr>
                <w:p w14:paraId="2ACE23BB">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熔点（℃）：－56.6（527kPa）</w:t>
                  </w:r>
                </w:p>
              </w:tc>
              <w:tc>
                <w:tcPr>
                  <w:tcW w:w="1326" w:type="pct"/>
                  <w:gridSpan w:val="3"/>
                  <w:tcBorders>
                    <w:top w:val="single" w:color="auto" w:sz="4" w:space="0"/>
                    <w:left w:val="single" w:color="auto" w:sz="4" w:space="0"/>
                    <w:bottom w:val="single" w:color="auto" w:sz="4" w:space="0"/>
                    <w:right w:val="single" w:color="auto" w:sz="4" w:space="0"/>
                  </w:tcBorders>
                  <w:noWrap w:val="0"/>
                  <w:vAlign w:val="center"/>
                </w:tcPr>
                <w:p w14:paraId="3C1A8333">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沸点（℃）：-78.5（升华）</w:t>
                  </w:r>
                </w:p>
              </w:tc>
              <w:tc>
                <w:tcPr>
                  <w:tcW w:w="1940" w:type="pct"/>
                  <w:gridSpan w:val="2"/>
                  <w:tcBorders>
                    <w:top w:val="single" w:color="auto" w:sz="4" w:space="0"/>
                    <w:left w:val="single" w:color="auto" w:sz="4" w:space="0"/>
                    <w:bottom w:val="single" w:color="auto" w:sz="4" w:space="0"/>
                    <w:right w:val="single" w:color="auto" w:sz="4" w:space="0"/>
                  </w:tcBorders>
                  <w:noWrap w:val="0"/>
                  <w:vAlign w:val="center"/>
                </w:tcPr>
                <w:p w14:paraId="045D8567">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相对密度（水＝1）：1.56（－79℃）</w:t>
                  </w:r>
                </w:p>
              </w:tc>
            </w:tr>
            <w:tr w14:paraId="1C844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29024DA9">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460" w:type="pct"/>
                  <w:tcBorders>
                    <w:top w:val="single" w:color="auto" w:sz="4" w:space="0"/>
                    <w:left w:val="single" w:color="auto" w:sz="4" w:space="0"/>
                    <w:bottom w:val="single" w:color="auto" w:sz="4" w:space="0"/>
                    <w:right w:val="single" w:color="auto" w:sz="4" w:space="0"/>
                  </w:tcBorders>
                  <w:noWrap w:val="0"/>
                  <w:vAlign w:val="center"/>
                </w:tcPr>
                <w:p w14:paraId="693BB1B0">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临界温度（℃）：31</w:t>
                  </w:r>
                </w:p>
              </w:tc>
              <w:tc>
                <w:tcPr>
                  <w:tcW w:w="1326" w:type="pct"/>
                  <w:gridSpan w:val="3"/>
                  <w:tcBorders>
                    <w:top w:val="single" w:color="auto" w:sz="4" w:space="0"/>
                    <w:left w:val="single" w:color="auto" w:sz="4" w:space="0"/>
                    <w:bottom w:val="single" w:color="auto" w:sz="4" w:space="0"/>
                    <w:right w:val="single" w:color="auto" w:sz="4" w:space="0"/>
                  </w:tcBorders>
                  <w:noWrap w:val="0"/>
                  <w:vAlign w:val="center"/>
                </w:tcPr>
                <w:p w14:paraId="5353068F">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临界压力（MPa）：7.39</w:t>
                  </w:r>
                </w:p>
              </w:tc>
              <w:tc>
                <w:tcPr>
                  <w:tcW w:w="1940" w:type="pct"/>
                  <w:gridSpan w:val="2"/>
                  <w:tcBorders>
                    <w:top w:val="single" w:color="auto" w:sz="4" w:space="0"/>
                    <w:left w:val="single" w:color="auto" w:sz="4" w:space="0"/>
                    <w:bottom w:val="single" w:color="auto" w:sz="4" w:space="0"/>
                    <w:right w:val="single" w:color="auto" w:sz="4" w:space="0"/>
                  </w:tcBorders>
                  <w:noWrap w:val="0"/>
                  <w:vAlign w:val="center"/>
                </w:tcPr>
                <w:p w14:paraId="6AFE316E">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相对密度（空气＝1）：1.53</w:t>
                  </w:r>
                </w:p>
              </w:tc>
            </w:tr>
            <w:tr w14:paraId="1495E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1AC60336">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460" w:type="pct"/>
                  <w:tcBorders>
                    <w:top w:val="single" w:color="auto" w:sz="4" w:space="0"/>
                    <w:left w:val="single" w:color="auto" w:sz="4" w:space="0"/>
                    <w:bottom w:val="single" w:color="auto" w:sz="4" w:space="0"/>
                    <w:right w:val="single" w:color="auto" w:sz="4" w:space="0"/>
                  </w:tcBorders>
                  <w:noWrap w:val="0"/>
                  <w:vAlign w:val="center"/>
                </w:tcPr>
                <w:p w14:paraId="2C1EB8CB">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燃烧热（KJ/mol）：无意义</w:t>
                  </w:r>
                </w:p>
              </w:tc>
              <w:tc>
                <w:tcPr>
                  <w:tcW w:w="1326" w:type="pct"/>
                  <w:gridSpan w:val="3"/>
                  <w:tcBorders>
                    <w:top w:val="single" w:color="auto" w:sz="4" w:space="0"/>
                    <w:left w:val="single" w:color="auto" w:sz="4" w:space="0"/>
                    <w:bottom w:val="single" w:color="auto" w:sz="4" w:space="0"/>
                    <w:right w:val="single" w:color="auto" w:sz="4" w:space="0"/>
                  </w:tcBorders>
                  <w:noWrap w:val="0"/>
                  <w:vAlign w:val="center"/>
                </w:tcPr>
                <w:p w14:paraId="304DBD8C">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最小点火能（mJ）：</w:t>
                  </w:r>
                </w:p>
              </w:tc>
              <w:tc>
                <w:tcPr>
                  <w:tcW w:w="1940" w:type="pct"/>
                  <w:gridSpan w:val="2"/>
                  <w:tcBorders>
                    <w:top w:val="single" w:color="auto" w:sz="4" w:space="0"/>
                    <w:left w:val="single" w:color="auto" w:sz="4" w:space="0"/>
                    <w:bottom w:val="single" w:color="auto" w:sz="4" w:space="0"/>
                    <w:right w:val="single" w:color="auto" w:sz="4" w:space="0"/>
                  </w:tcBorders>
                  <w:noWrap w:val="0"/>
                  <w:vAlign w:val="center"/>
                </w:tcPr>
                <w:p w14:paraId="6394CF5F">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饱和蒸汽压（KPa）：1013.25（－39℃）</w:t>
                  </w:r>
                </w:p>
              </w:tc>
            </w:tr>
            <w:tr w14:paraId="7C1F4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71" w:type="pct"/>
                  <w:vMerge w:val="restart"/>
                  <w:tcBorders>
                    <w:top w:val="single" w:color="auto" w:sz="4" w:space="0"/>
                    <w:left w:val="single" w:color="auto" w:sz="4" w:space="0"/>
                    <w:bottom w:val="single" w:color="auto" w:sz="4" w:space="0"/>
                    <w:right w:val="single" w:color="auto" w:sz="4" w:space="0"/>
                  </w:tcBorders>
                  <w:noWrap w:val="0"/>
                  <w:vAlign w:val="center"/>
                </w:tcPr>
                <w:p w14:paraId="76A5D60D">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燃烧爆炸危险性</w:t>
                  </w:r>
                </w:p>
              </w:tc>
              <w:tc>
                <w:tcPr>
                  <w:tcW w:w="1757" w:type="pct"/>
                  <w:gridSpan w:val="2"/>
                  <w:tcBorders>
                    <w:top w:val="single" w:color="auto" w:sz="4" w:space="0"/>
                    <w:left w:val="single" w:color="auto" w:sz="4" w:space="0"/>
                    <w:bottom w:val="single" w:color="auto" w:sz="4" w:space="0"/>
                    <w:right w:val="single" w:color="auto" w:sz="4" w:space="0"/>
                  </w:tcBorders>
                  <w:noWrap w:val="0"/>
                  <w:vAlign w:val="center"/>
                </w:tcPr>
                <w:p w14:paraId="1F04CB5C">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燃烧性：不燃</w:t>
                  </w:r>
                </w:p>
              </w:tc>
              <w:tc>
                <w:tcPr>
                  <w:tcW w:w="2970" w:type="pct"/>
                  <w:gridSpan w:val="4"/>
                  <w:tcBorders>
                    <w:top w:val="single" w:color="auto" w:sz="4" w:space="0"/>
                    <w:left w:val="single" w:color="auto" w:sz="4" w:space="0"/>
                    <w:bottom w:val="single" w:color="auto" w:sz="4" w:space="0"/>
                    <w:right w:val="single" w:color="auto" w:sz="4" w:space="0"/>
                  </w:tcBorders>
                  <w:noWrap w:val="0"/>
                  <w:vAlign w:val="center"/>
                </w:tcPr>
                <w:p w14:paraId="4A538359">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燃烧分解产物：</w:t>
                  </w:r>
                </w:p>
              </w:tc>
            </w:tr>
            <w:tr w14:paraId="73C3E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3195620D">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757" w:type="pct"/>
                  <w:gridSpan w:val="2"/>
                  <w:tcBorders>
                    <w:top w:val="single" w:color="auto" w:sz="4" w:space="0"/>
                    <w:left w:val="single" w:color="auto" w:sz="4" w:space="0"/>
                    <w:bottom w:val="single" w:color="auto" w:sz="4" w:space="0"/>
                    <w:right w:val="single" w:color="auto" w:sz="4" w:space="0"/>
                  </w:tcBorders>
                  <w:noWrap w:val="0"/>
                  <w:vAlign w:val="center"/>
                </w:tcPr>
                <w:p w14:paraId="4D578F35">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闪点（℃）：无意义</w:t>
                  </w:r>
                </w:p>
              </w:tc>
              <w:tc>
                <w:tcPr>
                  <w:tcW w:w="2970" w:type="pct"/>
                  <w:gridSpan w:val="4"/>
                  <w:tcBorders>
                    <w:top w:val="single" w:color="auto" w:sz="4" w:space="0"/>
                    <w:left w:val="single" w:color="auto" w:sz="4" w:space="0"/>
                    <w:bottom w:val="single" w:color="auto" w:sz="4" w:space="0"/>
                    <w:right w:val="single" w:color="auto" w:sz="4" w:space="0"/>
                  </w:tcBorders>
                  <w:noWrap w:val="0"/>
                  <w:vAlign w:val="center"/>
                </w:tcPr>
                <w:p w14:paraId="16B32D58">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聚合危害：不聚合</w:t>
                  </w:r>
                </w:p>
              </w:tc>
            </w:tr>
            <w:tr w14:paraId="3C438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7041F976">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1757" w:type="pct"/>
                  <w:gridSpan w:val="2"/>
                  <w:tcBorders>
                    <w:top w:val="single" w:color="auto" w:sz="4" w:space="0"/>
                    <w:left w:val="single" w:color="auto" w:sz="4" w:space="0"/>
                    <w:bottom w:val="single" w:color="auto" w:sz="4" w:space="0"/>
                    <w:right w:val="single" w:color="auto" w:sz="4" w:space="0"/>
                  </w:tcBorders>
                  <w:noWrap w:val="0"/>
                  <w:vAlign w:val="center"/>
                </w:tcPr>
                <w:p w14:paraId="16B8F301">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爆炸极限（V％）：无意义</w:t>
                  </w:r>
                </w:p>
              </w:tc>
              <w:tc>
                <w:tcPr>
                  <w:tcW w:w="2970" w:type="pct"/>
                  <w:gridSpan w:val="4"/>
                  <w:tcBorders>
                    <w:top w:val="single" w:color="auto" w:sz="4" w:space="0"/>
                    <w:left w:val="single" w:color="auto" w:sz="4" w:space="0"/>
                    <w:bottom w:val="single" w:color="auto" w:sz="4" w:space="0"/>
                    <w:right w:val="single" w:color="auto" w:sz="4" w:space="0"/>
                  </w:tcBorders>
                  <w:noWrap w:val="0"/>
                  <w:vAlign w:val="center"/>
                </w:tcPr>
                <w:p w14:paraId="44834F97">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稳定性：稳定</w:t>
                  </w:r>
                </w:p>
              </w:tc>
            </w:tr>
            <w:tr w14:paraId="6E985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798840BB">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1D34A118">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危险特性：若遇高热，容器内压增大，有开裂和爆炸的危险</w:t>
                  </w:r>
                </w:p>
              </w:tc>
            </w:tr>
            <w:tr w14:paraId="41263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1" w:hRule="atLeast"/>
              </w:trPr>
              <w:tc>
                <w:tcPr>
                  <w:tcW w:w="271" w:type="pct"/>
                  <w:vMerge w:val="continue"/>
                  <w:tcBorders>
                    <w:top w:val="single" w:color="auto" w:sz="4" w:space="0"/>
                    <w:left w:val="single" w:color="auto" w:sz="4" w:space="0"/>
                    <w:bottom w:val="single" w:color="auto" w:sz="4" w:space="0"/>
                    <w:right w:val="single" w:color="auto" w:sz="4" w:space="0"/>
                  </w:tcBorders>
                  <w:noWrap w:val="0"/>
                  <w:vAlign w:val="center"/>
                </w:tcPr>
                <w:p w14:paraId="185719D8">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7E6440D0">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消防措施：本品不燃。切断气源。喷水冷却容器，可能的话将容器从火场移至空旷处</w:t>
                  </w:r>
                </w:p>
              </w:tc>
            </w:tr>
            <w:tr w14:paraId="2C287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271" w:type="pct"/>
                  <w:tcBorders>
                    <w:top w:val="single" w:color="auto" w:sz="4" w:space="0"/>
                    <w:left w:val="single" w:color="auto" w:sz="4" w:space="0"/>
                    <w:bottom w:val="single" w:color="auto" w:sz="4" w:space="0"/>
                    <w:right w:val="single" w:color="auto" w:sz="4" w:space="0"/>
                  </w:tcBorders>
                  <w:noWrap w:val="0"/>
                  <w:vAlign w:val="center"/>
                </w:tcPr>
                <w:p w14:paraId="5D3107C5">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毒性</w:t>
                  </w: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41746280">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接触限值：</w:t>
                  </w:r>
                </w:p>
                <w:p w14:paraId="25F0847D">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毒理资料：</w:t>
                  </w:r>
                </w:p>
              </w:tc>
            </w:tr>
            <w:tr w14:paraId="70C1C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tcBorders>
                    <w:top w:val="single" w:color="auto" w:sz="4" w:space="0"/>
                    <w:left w:val="single" w:color="auto" w:sz="4" w:space="0"/>
                    <w:bottom w:val="single" w:color="auto" w:sz="4" w:space="0"/>
                    <w:right w:val="single" w:color="auto" w:sz="4" w:space="0"/>
                  </w:tcBorders>
                  <w:noWrap w:val="0"/>
                  <w:vAlign w:val="center"/>
                </w:tcPr>
                <w:p w14:paraId="0123A4C2">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对人体危害</w:t>
                  </w: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438EFC8C">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侵入途径：吸入   健康危害：在低浓度时，对呼吸中枢呈兴奋作用，高浓度时则产生抑制甚至麻痹作用。中毒机制中还兼有缺氧的因素。 急性中毒：人进入高浓度二氧化碳环境，在几秒钟内迅速昏迷倒下，反射消失、瞳孔扩大或缩小、大小便失禁、呕吐等，更严重者出现呼吸停止及休克，甚至死亡。固态（干冰）和液态二氧化碳在常压下迅速汽化，能造成－80～－43℃低温，引起皮肤和眼睛严重的冻伤。 慢性影响：经常接触较高浓度的二氧化碳者，可有头晕、头痛、失眠、易兴奋、无力等神经功能紊乱等主诉。但在生产中是否存在慢性中毒国内外均未见病例报道。</w:t>
                  </w:r>
                </w:p>
              </w:tc>
            </w:tr>
            <w:tr w14:paraId="40898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tcBorders>
                    <w:top w:val="single" w:color="auto" w:sz="4" w:space="0"/>
                    <w:left w:val="single" w:color="auto" w:sz="4" w:space="0"/>
                    <w:bottom w:val="single" w:color="auto" w:sz="4" w:space="0"/>
                    <w:right w:val="single" w:color="auto" w:sz="4" w:space="0"/>
                  </w:tcBorders>
                  <w:noWrap w:val="0"/>
                  <w:vAlign w:val="center"/>
                </w:tcPr>
                <w:p w14:paraId="52272FE4">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急救</w:t>
                  </w: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3223F648">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眼：若有冻伤，就医治疗。</w:t>
                  </w:r>
                </w:p>
                <w:p w14:paraId="2ECD9764">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皮肤：若有冻伤，就医治疗。</w:t>
                  </w:r>
                </w:p>
                <w:p w14:paraId="0C8DC97F">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吸入：迅速脱离现场至空气新鲜处。保持呼吸道通畅。如呼吸困难，给输氧。如呼吸停止，立即进行人工呼吸。就医。</w:t>
                  </w:r>
                </w:p>
              </w:tc>
            </w:tr>
            <w:tr w14:paraId="69ACC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tcBorders>
                    <w:top w:val="single" w:color="auto" w:sz="4" w:space="0"/>
                    <w:left w:val="single" w:color="auto" w:sz="4" w:space="0"/>
                    <w:bottom w:val="single" w:color="auto" w:sz="4" w:space="0"/>
                    <w:right w:val="single" w:color="auto" w:sz="4" w:space="0"/>
                  </w:tcBorders>
                  <w:noWrap w:val="0"/>
                  <w:vAlign w:val="center"/>
                </w:tcPr>
                <w:p w14:paraId="28313BD1">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防护</w:t>
                  </w: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40CD1290">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工程防护：密闭操作，提供良好的自然通风条件。</w:t>
                  </w:r>
                </w:p>
                <w:p w14:paraId="467E60BC">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呼吸系统防护：一般不需要特殊防护，高浓度接触时可佩戴空气呼吸器。</w:t>
                  </w:r>
                </w:p>
                <w:p w14:paraId="1527D4EB">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眼睛防护：一般不需要特殊防护。</w:t>
                  </w:r>
                </w:p>
                <w:p w14:paraId="121BE197">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身体防护：穿一般作业工作服。</w:t>
                  </w:r>
                </w:p>
                <w:p w14:paraId="2B035525">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手防护：戴一般作业防护手套。</w:t>
                  </w:r>
                </w:p>
                <w:p w14:paraId="46EEE42A">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其他：避免高浓度吸入。进入罐、限制性空间或其它高浓度区作业，须有人监护。</w:t>
                  </w:r>
                </w:p>
              </w:tc>
            </w:tr>
            <w:tr w14:paraId="4AD2F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tcBorders>
                    <w:top w:val="single" w:color="auto" w:sz="4" w:space="0"/>
                    <w:left w:val="single" w:color="auto" w:sz="4" w:space="0"/>
                    <w:bottom w:val="single" w:color="auto" w:sz="4" w:space="0"/>
                    <w:right w:val="single" w:color="auto" w:sz="4" w:space="0"/>
                  </w:tcBorders>
                  <w:noWrap w:val="0"/>
                  <w:vAlign w:val="center"/>
                </w:tcPr>
                <w:p w14:paraId="1719C6EC">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泄漏处理</w:t>
                  </w: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30F85E98">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迅速撤离泄漏污染区人员至上风处，并进行隔离，严格限制出入。建议应急处理人员戴自给正压式呼吸器，穿一般作业工作服。尽可能切断泄漏源。合理通风，加速扩散。漏气容器要妥善处理，修复、检验后再用。</w:t>
                  </w:r>
                </w:p>
              </w:tc>
            </w:tr>
            <w:tr w14:paraId="48481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0" w:hRule="atLeast"/>
              </w:trPr>
              <w:tc>
                <w:tcPr>
                  <w:tcW w:w="271" w:type="pct"/>
                  <w:tcBorders>
                    <w:top w:val="single" w:color="auto" w:sz="4" w:space="0"/>
                    <w:left w:val="single" w:color="auto" w:sz="4" w:space="0"/>
                    <w:bottom w:val="single" w:color="auto" w:sz="4" w:space="0"/>
                    <w:right w:val="single" w:color="auto" w:sz="4" w:space="0"/>
                  </w:tcBorders>
                  <w:noWrap w:val="0"/>
                  <w:vAlign w:val="center"/>
                </w:tcPr>
                <w:p w14:paraId="0CDB4164">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贮运</w:t>
                  </w:r>
                </w:p>
              </w:tc>
              <w:tc>
                <w:tcPr>
                  <w:tcW w:w="4728" w:type="pct"/>
                  <w:gridSpan w:val="6"/>
                  <w:tcBorders>
                    <w:top w:val="single" w:color="auto" w:sz="4" w:space="0"/>
                    <w:left w:val="single" w:color="auto" w:sz="4" w:space="0"/>
                    <w:bottom w:val="single" w:color="auto" w:sz="4" w:space="0"/>
                    <w:right w:val="single" w:color="auto" w:sz="4" w:space="0"/>
                  </w:tcBorders>
                  <w:noWrap w:val="0"/>
                  <w:vAlign w:val="center"/>
                </w:tcPr>
                <w:p w14:paraId="6AD7D0FF">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包装标志：5      UN编号：1013     包装分类：Ⅲ     包装方法：钢质气瓶</w:t>
                  </w:r>
                </w:p>
                <w:p w14:paraId="0E502B62">
                  <w:pPr>
                    <w:keepNext w:val="0"/>
                    <w:keepLines w:val="0"/>
                    <w:pageBreakBefore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rPr>
                  </w:pPr>
                  <w:r>
                    <w:rPr>
                      <w:rFonts w:hint="default" w:ascii="Times New Roman" w:hAnsi="Times New Roman" w:cs="Times New Roman"/>
                    </w:rPr>
                    <w:t>储运条件：不燃性压缩气体。储存于阴凉、通风仓间内。仓内温度不宜超过30℃。远离火种、热源。防止阳光直射。应与易燃或可燃物分开存放。验收时要注意品名，注意验瓶日期，先进仓的先发用。搬运时轻装轻卸，防止钢瓶及附件破损。</w:t>
                  </w:r>
                </w:p>
              </w:tc>
            </w:tr>
          </w:tbl>
          <w:p w14:paraId="630D83BF">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kern w:val="0"/>
                <w:sz w:val="24"/>
                <w:szCs w:val="24"/>
                <w:lang w:val="en-US" w:eastAsia="zh-CN" w:bidi="ar"/>
              </w:rPr>
            </w:pPr>
          </w:p>
          <w:p w14:paraId="773F607B">
            <w:pPr>
              <w:keepNext w:val="0"/>
              <w:keepLines w:val="0"/>
              <w:pageBreakBefore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表2</w:t>
            </w:r>
            <w:r>
              <w:rPr>
                <w:rFonts w:hint="default" w:ascii="Times New Roman" w:hAnsi="Times New Roman" w:cs="Times New Roman"/>
                <w:b/>
                <w:bCs w:val="0"/>
                <w:color w:val="auto"/>
                <w:sz w:val="21"/>
                <w:szCs w:val="21"/>
                <w:lang w:val="en-US" w:eastAsia="zh-CN"/>
              </w:rPr>
              <w:t xml:space="preserve">.5-8  </w:t>
            </w:r>
            <w:r>
              <w:rPr>
                <w:rFonts w:hint="default" w:ascii="Times New Roman" w:hAnsi="Times New Roman" w:cs="Times New Roman"/>
                <w:b/>
                <w:bCs w:val="0"/>
                <w:color w:val="auto"/>
                <w:sz w:val="21"/>
                <w:szCs w:val="21"/>
              </w:rPr>
              <w:t xml:space="preserve">  </w:t>
            </w:r>
            <w:r>
              <w:rPr>
                <w:rFonts w:hint="default" w:ascii="Times New Roman" w:hAnsi="Times New Roman" w:cs="Times New Roman"/>
                <w:b/>
                <w:bCs w:val="0"/>
                <w:color w:val="auto"/>
                <w:sz w:val="21"/>
                <w:szCs w:val="21"/>
                <w:lang w:val="en-US" w:eastAsia="zh-CN"/>
              </w:rPr>
              <w:t>乙醇（酒精）</w:t>
            </w:r>
            <w:r>
              <w:rPr>
                <w:rFonts w:hint="default" w:ascii="Times New Roman" w:hAnsi="Times New Roman" w:cs="Times New Roman"/>
                <w:b/>
                <w:bCs w:val="0"/>
                <w:color w:val="auto"/>
                <w:sz w:val="21"/>
                <w:szCs w:val="21"/>
              </w:rPr>
              <w:t>主要理化性质及危险特性表</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314"/>
              <w:gridCol w:w="475"/>
              <w:gridCol w:w="477"/>
              <w:gridCol w:w="1124"/>
              <w:gridCol w:w="894"/>
              <w:gridCol w:w="2277"/>
            </w:tblGrid>
            <w:tr w14:paraId="4F9B2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0" w:hRule="atLeast"/>
              </w:trPr>
              <w:tc>
                <w:tcPr>
                  <w:tcW w:w="263" w:type="pct"/>
                  <w:vMerge w:val="restart"/>
                  <w:tcBorders>
                    <w:top w:val="single" w:color="auto" w:sz="4" w:space="0"/>
                    <w:left w:val="single" w:color="auto" w:sz="4" w:space="0"/>
                    <w:bottom w:val="single" w:color="auto" w:sz="4" w:space="0"/>
                    <w:right w:val="single" w:color="auto" w:sz="4" w:space="0"/>
                  </w:tcBorders>
                  <w:noWrap w:val="0"/>
                  <w:vAlign w:val="center"/>
                </w:tcPr>
                <w:p w14:paraId="5AD349B0">
                  <w:pPr>
                    <w:spacing w:line="260" w:lineRule="exact"/>
                    <w:jc w:val="center"/>
                    <w:rPr>
                      <w:rFonts w:hint="default" w:ascii="Times New Roman" w:hAnsi="Times New Roman" w:cs="Times New Roman"/>
                    </w:rPr>
                  </w:pPr>
                  <w:r>
                    <w:rPr>
                      <w:rFonts w:hint="default" w:ascii="Times New Roman" w:hAnsi="Times New Roman" w:cs="Times New Roman"/>
                    </w:rPr>
                    <w:t>标识</w:t>
                  </w:r>
                </w:p>
              </w:tc>
              <w:tc>
                <w:tcPr>
                  <w:tcW w:w="2046" w:type="pct"/>
                  <w:gridSpan w:val="3"/>
                  <w:tcBorders>
                    <w:top w:val="single" w:color="auto" w:sz="4" w:space="0"/>
                    <w:left w:val="single" w:color="auto" w:sz="4" w:space="0"/>
                    <w:bottom w:val="single" w:color="auto" w:sz="4" w:space="0"/>
                    <w:right w:val="single" w:color="auto" w:sz="4" w:space="0"/>
                  </w:tcBorders>
                  <w:noWrap w:val="0"/>
                  <w:vAlign w:val="top"/>
                </w:tcPr>
                <w:p w14:paraId="1914AD6A">
                  <w:pPr>
                    <w:spacing w:line="260" w:lineRule="exact"/>
                    <w:rPr>
                      <w:rFonts w:hint="default" w:ascii="Times New Roman" w:hAnsi="Times New Roman" w:cs="Times New Roman"/>
                    </w:rPr>
                  </w:pPr>
                  <w:r>
                    <w:rPr>
                      <w:rFonts w:hint="default" w:ascii="Times New Roman" w:hAnsi="Times New Roman" w:cs="Times New Roman"/>
                    </w:rPr>
                    <w:t>中文名：乙醇</w:t>
                  </w:r>
                </w:p>
              </w:tc>
              <w:tc>
                <w:tcPr>
                  <w:tcW w:w="2690" w:type="pct"/>
                  <w:gridSpan w:val="3"/>
                  <w:tcBorders>
                    <w:top w:val="single" w:color="auto" w:sz="4" w:space="0"/>
                    <w:left w:val="single" w:color="auto" w:sz="4" w:space="0"/>
                    <w:bottom w:val="single" w:color="auto" w:sz="4" w:space="0"/>
                    <w:right w:val="single" w:color="auto" w:sz="4" w:space="0"/>
                  </w:tcBorders>
                  <w:noWrap w:val="0"/>
                  <w:vAlign w:val="top"/>
                </w:tcPr>
                <w:p w14:paraId="5989259E">
                  <w:pPr>
                    <w:spacing w:line="260" w:lineRule="exact"/>
                    <w:rPr>
                      <w:rFonts w:hint="default" w:ascii="Times New Roman" w:hAnsi="Times New Roman" w:cs="Times New Roman"/>
                    </w:rPr>
                  </w:pPr>
                  <w:r>
                    <w:rPr>
                      <w:rFonts w:hint="default" w:ascii="Times New Roman" w:hAnsi="Times New Roman" w:cs="Times New Roman"/>
                    </w:rPr>
                    <w:t>英文名：ethyl alcohol</w:t>
                  </w:r>
                </w:p>
              </w:tc>
            </w:tr>
            <w:tr w14:paraId="2BFBD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0CFD3F88">
                  <w:pPr>
                    <w:widowControl/>
                    <w:jc w:val="left"/>
                    <w:rPr>
                      <w:rFonts w:hint="default" w:ascii="Times New Roman" w:hAnsi="Times New Roman" w:cs="Times New Roman"/>
                    </w:rPr>
                  </w:pPr>
                </w:p>
              </w:tc>
              <w:tc>
                <w:tcPr>
                  <w:tcW w:w="1747" w:type="pct"/>
                  <w:gridSpan w:val="2"/>
                  <w:tcBorders>
                    <w:top w:val="single" w:color="auto" w:sz="4" w:space="0"/>
                    <w:left w:val="single" w:color="auto" w:sz="4" w:space="0"/>
                    <w:bottom w:val="single" w:color="auto" w:sz="4" w:space="0"/>
                    <w:right w:val="single" w:color="auto" w:sz="4" w:space="0"/>
                  </w:tcBorders>
                  <w:noWrap w:val="0"/>
                  <w:vAlign w:val="top"/>
                </w:tcPr>
                <w:p w14:paraId="7D4A562C">
                  <w:pPr>
                    <w:spacing w:line="260" w:lineRule="exact"/>
                    <w:rPr>
                      <w:rFonts w:hint="default" w:ascii="Times New Roman" w:hAnsi="Times New Roman" w:cs="Times New Roman"/>
                    </w:rPr>
                  </w:pPr>
                  <w:r>
                    <w:rPr>
                      <w:rFonts w:hint="default" w:ascii="Times New Roman" w:hAnsi="Times New Roman" w:cs="Times New Roman"/>
                    </w:rPr>
                    <w:t>分子式：C</w:t>
                  </w:r>
                  <w:r>
                    <w:rPr>
                      <w:rFonts w:hint="default" w:ascii="Times New Roman" w:hAnsi="Times New Roman" w:cs="Times New Roman"/>
                      <w:vertAlign w:val="subscript"/>
                    </w:rPr>
                    <w:t>2</w:t>
                  </w:r>
                  <w:r>
                    <w:rPr>
                      <w:rFonts w:hint="default" w:ascii="Times New Roman" w:hAnsi="Times New Roman" w:cs="Times New Roman"/>
                    </w:rPr>
                    <w:t>H</w:t>
                  </w:r>
                  <w:r>
                    <w:rPr>
                      <w:rFonts w:hint="default" w:ascii="Times New Roman" w:hAnsi="Times New Roman" w:cs="Times New Roman"/>
                      <w:vertAlign w:val="subscript"/>
                    </w:rPr>
                    <w:t>6</w:t>
                  </w:r>
                  <w:r>
                    <w:rPr>
                      <w:rFonts w:hint="default" w:ascii="Times New Roman" w:hAnsi="Times New Roman" w:cs="Times New Roman"/>
                    </w:rPr>
                    <w:t>O</w:t>
                  </w:r>
                </w:p>
              </w:tc>
              <w:tc>
                <w:tcPr>
                  <w:tcW w:w="1563" w:type="pct"/>
                  <w:gridSpan w:val="3"/>
                  <w:tcBorders>
                    <w:top w:val="single" w:color="auto" w:sz="4" w:space="0"/>
                    <w:left w:val="single" w:color="auto" w:sz="4" w:space="0"/>
                    <w:bottom w:val="single" w:color="auto" w:sz="4" w:space="0"/>
                    <w:right w:val="single" w:color="auto" w:sz="4" w:space="0"/>
                  </w:tcBorders>
                  <w:noWrap w:val="0"/>
                  <w:vAlign w:val="top"/>
                </w:tcPr>
                <w:p w14:paraId="74FEA679">
                  <w:pPr>
                    <w:spacing w:line="260" w:lineRule="exact"/>
                    <w:rPr>
                      <w:rFonts w:hint="default" w:ascii="Times New Roman" w:hAnsi="Times New Roman" w:cs="Times New Roman"/>
                    </w:rPr>
                  </w:pPr>
                  <w:r>
                    <w:rPr>
                      <w:rFonts w:hint="default" w:ascii="Times New Roman" w:hAnsi="Times New Roman" w:cs="Times New Roman"/>
                    </w:rPr>
                    <w:t>分子量：46.07</w:t>
                  </w:r>
                </w:p>
              </w:tc>
              <w:tc>
                <w:tcPr>
                  <w:tcW w:w="1425" w:type="pct"/>
                  <w:tcBorders>
                    <w:top w:val="single" w:color="auto" w:sz="4" w:space="0"/>
                    <w:left w:val="single" w:color="auto" w:sz="4" w:space="0"/>
                    <w:bottom w:val="single" w:color="auto" w:sz="4" w:space="0"/>
                    <w:right w:val="single" w:color="auto" w:sz="4" w:space="0"/>
                  </w:tcBorders>
                  <w:noWrap w:val="0"/>
                  <w:vAlign w:val="top"/>
                </w:tcPr>
                <w:p w14:paraId="7E3B37B5">
                  <w:pPr>
                    <w:spacing w:line="260" w:lineRule="exact"/>
                    <w:rPr>
                      <w:rFonts w:hint="default" w:ascii="Times New Roman" w:hAnsi="Times New Roman" w:cs="Times New Roman"/>
                    </w:rPr>
                  </w:pPr>
                  <w:r>
                    <w:rPr>
                      <w:rFonts w:hint="default" w:ascii="Times New Roman" w:hAnsi="Times New Roman" w:cs="Times New Roman"/>
                    </w:rPr>
                    <w:t>CAS号：64－17－5</w:t>
                  </w:r>
                </w:p>
              </w:tc>
            </w:tr>
            <w:tr w14:paraId="6A8A5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4EE74176">
                  <w:pPr>
                    <w:widowControl/>
                    <w:jc w:val="left"/>
                    <w:rPr>
                      <w:rFonts w:hint="default" w:ascii="Times New Roman" w:hAnsi="Times New Roman" w:cs="Times New Roman"/>
                    </w:rPr>
                  </w:pP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043DDF08">
                  <w:pPr>
                    <w:spacing w:line="260" w:lineRule="exact"/>
                    <w:rPr>
                      <w:rFonts w:hint="default" w:ascii="Times New Roman" w:hAnsi="Times New Roman" w:cs="Times New Roman"/>
                    </w:rPr>
                  </w:pPr>
                  <w:r>
                    <w:rPr>
                      <w:rFonts w:hint="default" w:ascii="Times New Roman" w:hAnsi="Times New Roman" w:cs="Times New Roman"/>
                    </w:rPr>
                    <w:t>危规号：32061</w:t>
                  </w:r>
                </w:p>
              </w:tc>
            </w:tr>
            <w:tr w14:paraId="14A91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63" w:type="pct"/>
                  <w:vMerge w:val="restart"/>
                  <w:tcBorders>
                    <w:top w:val="single" w:color="auto" w:sz="4" w:space="0"/>
                    <w:left w:val="single" w:color="auto" w:sz="4" w:space="0"/>
                    <w:bottom w:val="single" w:color="auto" w:sz="4" w:space="0"/>
                    <w:right w:val="single" w:color="auto" w:sz="4" w:space="0"/>
                  </w:tcBorders>
                  <w:noWrap w:val="0"/>
                  <w:vAlign w:val="center"/>
                </w:tcPr>
                <w:p w14:paraId="3A97882E">
                  <w:pPr>
                    <w:spacing w:line="260" w:lineRule="exact"/>
                    <w:jc w:val="center"/>
                    <w:rPr>
                      <w:rFonts w:hint="default" w:ascii="Times New Roman" w:hAnsi="Times New Roman" w:cs="Times New Roman"/>
                    </w:rPr>
                  </w:pPr>
                  <w:r>
                    <w:rPr>
                      <w:rFonts w:hint="default" w:ascii="Times New Roman" w:hAnsi="Times New Roman" w:cs="Times New Roman"/>
                    </w:rPr>
                    <w:t>理化性质</w:t>
                  </w: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74F96884">
                  <w:pPr>
                    <w:spacing w:line="260" w:lineRule="exact"/>
                    <w:rPr>
                      <w:rFonts w:hint="default" w:ascii="Times New Roman" w:hAnsi="Times New Roman" w:cs="Times New Roman"/>
                    </w:rPr>
                  </w:pPr>
                  <w:r>
                    <w:rPr>
                      <w:rFonts w:hint="default" w:ascii="Times New Roman" w:hAnsi="Times New Roman" w:cs="Times New Roman"/>
                    </w:rPr>
                    <w:t>性状：无色液体，有酒香。</w:t>
                  </w:r>
                </w:p>
              </w:tc>
            </w:tr>
            <w:tr w14:paraId="105A9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4FD7BEE2">
                  <w:pPr>
                    <w:widowControl/>
                    <w:jc w:val="left"/>
                    <w:rPr>
                      <w:rFonts w:hint="default" w:ascii="Times New Roman" w:hAnsi="Times New Roman" w:cs="Times New Roman"/>
                    </w:rPr>
                  </w:pP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4E310B1A">
                  <w:pPr>
                    <w:spacing w:line="260" w:lineRule="exact"/>
                    <w:rPr>
                      <w:rFonts w:hint="default" w:ascii="Times New Roman" w:hAnsi="Times New Roman" w:cs="Times New Roman"/>
                    </w:rPr>
                  </w:pPr>
                  <w:r>
                    <w:rPr>
                      <w:rFonts w:hint="default" w:ascii="Times New Roman" w:hAnsi="Times New Roman" w:cs="Times New Roman"/>
                    </w:rPr>
                    <w:t>溶解性：与水混溶，可混溶于醚、氯仿、甘油等多数有机溶剂。</w:t>
                  </w:r>
                </w:p>
              </w:tc>
            </w:tr>
            <w:tr w14:paraId="76496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0BBD9FF6">
                  <w:pPr>
                    <w:widowControl/>
                    <w:jc w:val="left"/>
                    <w:rPr>
                      <w:rFonts w:hint="default" w:ascii="Times New Roman" w:hAnsi="Times New Roman" w:cs="Times New Roman"/>
                    </w:rPr>
                  </w:pPr>
                </w:p>
              </w:tc>
              <w:tc>
                <w:tcPr>
                  <w:tcW w:w="1449" w:type="pct"/>
                  <w:tcBorders>
                    <w:top w:val="single" w:color="auto" w:sz="4" w:space="0"/>
                    <w:left w:val="single" w:color="auto" w:sz="4" w:space="0"/>
                    <w:bottom w:val="single" w:color="auto" w:sz="4" w:space="0"/>
                    <w:right w:val="single" w:color="auto" w:sz="4" w:space="0"/>
                  </w:tcBorders>
                  <w:noWrap w:val="0"/>
                  <w:vAlign w:val="top"/>
                </w:tcPr>
                <w:p w14:paraId="5B5B1222">
                  <w:pPr>
                    <w:spacing w:line="260" w:lineRule="exact"/>
                    <w:rPr>
                      <w:rFonts w:hint="default" w:ascii="Times New Roman" w:hAnsi="Times New Roman" w:cs="Times New Roman"/>
                    </w:rPr>
                  </w:pPr>
                  <w:r>
                    <w:rPr>
                      <w:rFonts w:hint="default" w:ascii="Times New Roman" w:hAnsi="Times New Roman" w:cs="Times New Roman"/>
                    </w:rPr>
                    <w:t>熔点（℃）：－114.1</w:t>
                  </w:r>
                </w:p>
              </w:tc>
              <w:tc>
                <w:tcPr>
                  <w:tcW w:w="1301" w:type="pct"/>
                  <w:gridSpan w:val="3"/>
                  <w:tcBorders>
                    <w:top w:val="single" w:color="auto" w:sz="4" w:space="0"/>
                    <w:left w:val="single" w:color="auto" w:sz="4" w:space="0"/>
                    <w:bottom w:val="single" w:color="auto" w:sz="4" w:space="0"/>
                    <w:right w:val="single" w:color="auto" w:sz="4" w:space="0"/>
                  </w:tcBorders>
                  <w:noWrap w:val="0"/>
                  <w:vAlign w:val="top"/>
                </w:tcPr>
                <w:p w14:paraId="274BB29F">
                  <w:pPr>
                    <w:spacing w:line="260" w:lineRule="exact"/>
                    <w:rPr>
                      <w:rFonts w:hint="default" w:ascii="Times New Roman" w:hAnsi="Times New Roman" w:cs="Times New Roman"/>
                    </w:rPr>
                  </w:pPr>
                  <w:r>
                    <w:rPr>
                      <w:rFonts w:hint="default" w:ascii="Times New Roman" w:hAnsi="Times New Roman" w:cs="Times New Roman"/>
                    </w:rPr>
                    <w:t>沸点（℃）：78.3</w:t>
                  </w:r>
                </w:p>
              </w:tc>
              <w:tc>
                <w:tcPr>
                  <w:tcW w:w="1984" w:type="pct"/>
                  <w:gridSpan w:val="2"/>
                  <w:tcBorders>
                    <w:top w:val="single" w:color="auto" w:sz="4" w:space="0"/>
                    <w:left w:val="single" w:color="auto" w:sz="4" w:space="0"/>
                    <w:bottom w:val="single" w:color="auto" w:sz="4" w:space="0"/>
                    <w:right w:val="single" w:color="auto" w:sz="4" w:space="0"/>
                  </w:tcBorders>
                  <w:noWrap w:val="0"/>
                  <w:vAlign w:val="top"/>
                </w:tcPr>
                <w:p w14:paraId="24FADE38">
                  <w:pPr>
                    <w:spacing w:line="260" w:lineRule="exact"/>
                    <w:rPr>
                      <w:rFonts w:hint="default" w:ascii="Times New Roman" w:hAnsi="Times New Roman" w:cs="Times New Roman"/>
                    </w:rPr>
                  </w:pPr>
                  <w:r>
                    <w:rPr>
                      <w:rFonts w:hint="default" w:ascii="Times New Roman" w:hAnsi="Times New Roman" w:cs="Times New Roman"/>
                    </w:rPr>
                    <w:t>相对密度（水＝1）：0.79</w:t>
                  </w:r>
                </w:p>
              </w:tc>
            </w:tr>
            <w:tr w14:paraId="4CED3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54E77AC2">
                  <w:pPr>
                    <w:widowControl/>
                    <w:jc w:val="left"/>
                    <w:rPr>
                      <w:rFonts w:hint="default" w:ascii="Times New Roman" w:hAnsi="Times New Roman" w:cs="Times New Roman"/>
                    </w:rPr>
                  </w:pPr>
                </w:p>
              </w:tc>
              <w:tc>
                <w:tcPr>
                  <w:tcW w:w="1449" w:type="pct"/>
                  <w:tcBorders>
                    <w:top w:val="single" w:color="auto" w:sz="4" w:space="0"/>
                    <w:left w:val="single" w:color="auto" w:sz="4" w:space="0"/>
                    <w:bottom w:val="single" w:color="auto" w:sz="4" w:space="0"/>
                    <w:right w:val="single" w:color="auto" w:sz="4" w:space="0"/>
                  </w:tcBorders>
                  <w:noWrap w:val="0"/>
                  <w:vAlign w:val="top"/>
                </w:tcPr>
                <w:p w14:paraId="5EF7297B">
                  <w:pPr>
                    <w:spacing w:line="260" w:lineRule="exact"/>
                    <w:rPr>
                      <w:rFonts w:hint="default" w:ascii="Times New Roman" w:hAnsi="Times New Roman" w:cs="Times New Roman"/>
                    </w:rPr>
                  </w:pPr>
                  <w:r>
                    <w:rPr>
                      <w:rFonts w:hint="default" w:ascii="Times New Roman" w:hAnsi="Times New Roman" w:cs="Times New Roman"/>
                    </w:rPr>
                    <w:t>临界温度（℃）：243.1</w:t>
                  </w:r>
                </w:p>
              </w:tc>
              <w:tc>
                <w:tcPr>
                  <w:tcW w:w="1301" w:type="pct"/>
                  <w:gridSpan w:val="3"/>
                  <w:tcBorders>
                    <w:top w:val="single" w:color="auto" w:sz="4" w:space="0"/>
                    <w:left w:val="single" w:color="auto" w:sz="4" w:space="0"/>
                    <w:bottom w:val="single" w:color="auto" w:sz="4" w:space="0"/>
                    <w:right w:val="single" w:color="auto" w:sz="4" w:space="0"/>
                  </w:tcBorders>
                  <w:noWrap w:val="0"/>
                  <w:vAlign w:val="top"/>
                </w:tcPr>
                <w:p w14:paraId="6F5F8296">
                  <w:pPr>
                    <w:spacing w:line="260" w:lineRule="exact"/>
                    <w:rPr>
                      <w:rFonts w:hint="default" w:ascii="Times New Roman" w:hAnsi="Times New Roman" w:cs="Times New Roman"/>
                    </w:rPr>
                  </w:pPr>
                  <w:r>
                    <w:rPr>
                      <w:rFonts w:hint="default" w:ascii="Times New Roman" w:hAnsi="Times New Roman" w:cs="Times New Roman"/>
                    </w:rPr>
                    <w:t>临界压力（MPa）：6.38</w:t>
                  </w:r>
                </w:p>
              </w:tc>
              <w:tc>
                <w:tcPr>
                  <w:tcW w:w="1984" w:type="pct"/>
                  <w:gridSpan w:val="2"/>
                  <w:tcBorders>
                    <w:top w:val="single" w:color="auto" w:sz="4" w:space="0"/>
                    <w:left w:val="single" w:color="auto" w:sz="4" w:space="0"/>
                    <w:bottom w:val="single" w:color="auto" w:sz="4" w:space="0"/>
                    <w:right w:val="single" w:color="auto" w:sz="4" w:space="0"/>
                  </w:tcBorders>
                  <w:noWrap w:val="0"/>
                  <w:vAlign w:val="top"/>
                </w:tcPr>
                <w:p w14:paraId="73D0A650">
                  <w:pPr>
                    <w:spacing w:line="260" w:lineRule="exact"/>
                    <w:rPr>
                      <w:rFonts w:hint="default" w:ascii="Times New Roman" w:hAnsi="Times New Roman" w:cs="Times New Roman"/>
                    </w:rPr>
                  </w:pPr>
                  <w:r>
                    <w:rPr>
                      <w:rFonts w:hint="default" w:ascii="Times New Roman" w:hAnsi="Times New Roman" w:cs="Times New Roman"/>
                    </w:rPr>
                    <w:t>相对密度（空气＝1）：1.59</w:t>
                  </w:r>
                </w:p>
              </w:tc>
            </w:tr>
            <w:tr w14:paraId="07AF3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0E4E4E4B">
                  <w:pPr>
                    <w:widowControl/>
                    <w:jc w:val="left"/>
                    <w:rPr>
                      <w:rFonts w:hint="default" w:ascii="Times New Roman" w:hAnsi="Times New Roman" w:cs="Times New Roman"/>
                    </w:rPr>
                  </w:pPr>
                </w:p>
              </w:tc>
              <w:tc>
                <w:tcPr>
                  <w:tcW w:w="1449" w:type="pct"/>
                  <w:tcBorders>
                    <w:top w:val="single" w:color="auto" w:sz="4" w:space="0"/>
                    <w:left w:val="single" w:color="auto" w:sz="4" w:space="0"/>
                    <w:bottom w:val="single" w:color="auto" w:sz="4" w:space="0"/>
                    <w:right w:val="single" w:color="auto" w:sz="4" w:space="0"/>
                  </w:tcBorders>
                  <w:noWrap w:val="0"/>
                  <w:vAlign w:val="top"/>
                </w:tcPr>
                <w:p w14:paraId="0FFA389B">
                  <w:pPr>
                    <w:spacing w:line="260" w:lineRule="exact"/>
                    <w:rPr>
                      <w:rFonts w:hint="default" w:ascii="Times New Roman" w:hAnsi="Times New Roman" w:cs="Times New Roman"/>
                    </w:rPr>
                  </w:pPr>
                  <w:r>
                    <w:rPr>
                      <w:rFonts w:hint="default" w:ascii="Times New Roman" w:hAnsi="Times New Roman" w:cs="Times New Roman"/>
                    </w:rPr>
                    <w:t>燃烧热（KJ/mol）：1365.5</w:t>
                  </w:r>
                </w:p>
              </w:tc>
              <w:tc>
                <w:tcPr>
                  <w:tcW w:w="1301" w:type="pct"/>
                  <w:gridSpan w:val="3"/>
                  <w:tcBorders>
                    <w:top w:val="single" w:color="auto" w:sz="4" w:space="0"/>
                    <w:left w:val="single" w:color="auto" w:sz="4" w:space="0"/>
                    <w:bottom w:val="single" w:color="auto" w:sz="4" w:space="0"/>
                    <w:right w:val="single" w:color="auto" w:sz="4" w:space="0"/>
                  </w:tcBorders>
                  <w:noWrap w:val="0"/>
                  <w:vAlign w:val="top"/>
                </w:tcPr>
                <w:p w14:paraId="1C83990D">
                  <w:pPr>
                    <w:spacing w:line="260" w:lineRule="exact"/>
                    <w:rPr>
                      <w:rFonts w:hint="default" w:ascii="Times New Roman" w:hAnsi="Times New Roman" w:cs="Times New Roman"/>
                    </w:rPr>
                  </w:pPr>
                  <w:r>
                    <w:rPr>
                      <w:rFonts w:hint="default" w:ascii="Times New Roman" w:hAnsi="Times New Roman" w:cs="Times New Roman"/>
                    </w:rPr>
                    <w:t>最小点火能（mJ）：</w:t>
                  </w:r>
                </w:p>
              </w:tc>
              <w:tc>
                <w:tcPr>
                  <w:tcW w:w="1984" w:type="pct"/>
                  <w:gridSpan w:val="2"/>
                  <w:tcBorders>
                    <w:top w:val="single" w:color="auto" w:sz="4" w:space="0"/>
                    <w:left w:val="single" w:color="auto" w:sz="4" w:space="0"/>
                    <w:bottom w:val="single" w:color="auto" w:sz="4" w:space="0"/>
                    <w:right w:val="single" w:color="auto" w:sz="4" w:space="0"/>
                  </w:tcBorders>
                  <w:noWrap w:val="0"/>
                  <w:vAlign w:val="top"/>
                </w:tcPr>
                <w:p w14:paraId="5B7C6443">
                  <w:pPr>
                    <w:spacing w:line="260" w:lineRule="exact"/>
                    <w:rPr>
                      <w:rFonts w:hint="default" w:ascii="Times New Roman" w:hAnsi="Times New Roman" w:cs="Times New Roman"/>
                    </w:rPr>
                  </w:pPr>
                  <w:r>
                    <w:rPr>
                      <w:rFonts w:hint="default" w:ascii="Times New Roman" w:hAnsi="Times New Roman" w:cs="Times New Roman"/>
                    </w:rPr>
                    <w:t>饱和蒸汽压（UPa）：5.33（19℃）</w:t>
                  </w:r>
                </w:p>
              </w:tc>
            </w:tr>
            <w:tr w14:paraId="5D447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2" w:hRule="atLeast"/>
              </w:trPr>
              <w:tc>
                <w:tcPr>
                  <w:tcW w:w="263" w:type="pct"/>
                  <w:vMerge w:val="restart"/>
                  <w:tcBorders>
                    <w:top w:val="single" w:color="auto" w:sz="4" w:space="0"/>
                    <w:left w:val="single" w:color="auto" w:sz="4" w:space="0"/>
                    <w:bottom w:val="single" w:color="auto" w:sz="4" w:space="0"/>
                    <w:right w:val="single" w:color="auto" w:sz="4" w:space="0"/>
                  </w:tcBorders>
                  <w:noWrap w:val="0"/>
                  <w:vAlign w:val="center"/>
                </w:tcPr>
                <w:p w14:paraId="4A0F0E1C">
                  <w:pPr>
                    <w:spacing w:line="260" w:lineRule="exact"/>
                    <w:jc w:val="center"/>
                    <w:rPr>
                      <w:rFonts w:hint="default" w:ascii="Times New Roman" w:hAnsi="Times New Roman" w:cs="Times New Roman"/>
                    </w:rPr>
                  </w:pPr>
                  <w:r>
                    <w:rPr>
                      <w:rFonts w:hint="default" w:ascii="Times New Roman" w:hAnsi="Times New Roman" w:cs="Times New Roman"/>
                    </w:rPr>
                    <w:t>燃烧爆炸危险性</w:t>
                  </w:r>
                </w:p>
              </w:tc>
              <w:tc>
                <w:tcPr>
                  <w:tcW w:w="1747" w:type="pct"/>
                  <w:gridSpan w:val="2"/>
                  <w:tcBorders>
                    <w:top w:val="single" w:color="auto" w:sz="4" w:space="0"/>
                    <w:left w:val="single" w:color="auto" w:sz="4" w:space="0"/>
                    <w:bottom w:val="single" w:color="auto" w:sz="4" w:space="0"/>
                    <w:right w:val="single" w:color="auto" w:sz="4" w:space="0"/>
                  </w:tcBorders>
                  <w:noWrap w:val="0"/>
                  <w:vAlign w:val="top"/>
                </w:tcPr>
                <w:p w14:paraId="6D16BEDE">
                  <w:pPr>
                    <w:spacing w:line="260" w:lineRule="exact"/>
                    <w:rPr>
                      <w:rFonts w:hint="default" w:ascii="Times New Roman" w:hAnsi="Times New Roman" w:cs="Times New Roman"/>
                    </w:rPr>
                  </w:pPr>
                  <w:r>
                    <w:rPr>
                      <w:rFonts w:hint="default" w:ascii="Times New Roman" w:hAnsi="Times New Roman" w:cs="Times New Roman"/>
                    </w:rPr>
                    <w:t>燃烧性：易燃</w:t>
                  </w:r>
                </w:p>
              </w:tc>
              <w:tc>
                <w:tcPr>
                  <w:tcW w:w="2988" w:type="pct"/>
                  <w:gridSpan w:val="4"/>
                  <w:tcBorders>
                    <w:top w:val="single" w:color="auto" w:sz="4" w:space="0"/>
                    <w:left w:val="single" w:color="auto" w:sz="4" w:space="0"/>
                    <w:bottom w:val="single" w:color="auto" w:sz="4" w:space="0"/>
                    <w:right w:val="single" w:color="auto" w:sz="4" w:space="0"/>
                  </w:tcBorders>
                  <w:noWrap w:val="0"/>
                  <w:vAlign w:val="top"/>
                </w:tcPr>
                <w:p w14:paraId="52FA410C">
                  <w:pPr>
                    <w:spacing w:line="260" w:lineRule="exact"/>
                    <w:rPr>
                      <w:rFonts w:hint="default" w:ascii="Times New Roman" w:hAnsi="Times New Roman" w:cs="Times New Roman"/>
                    </w:rPr>
                  </w:pPr>
                  <w:r>
                    <w:rPr>
                      <w:rFonts w:hint="default" w:ascii="Times New Roman" w:hAnsi="Times New Roman" w:cs="Times New Roman"/>
                    </w:rPr>
                    <w:t xml:space="preserve">燃烧分解产物：一氧化碳、二氧化碳。 </w:t>
                  </w:r>
                </w:p>
              </w:tc>
            </w:tr>
            <w:tr w14:paraId="6EB42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527D9104">
                  <w:pPr>
                    <w:widowControl/>
                    <w:jc w:val="left"/>
                    <w:rPr>
                      <w:rFonts w:hint="default" w:ascii="Times New Roman" w:hAnsi="Times New Roman" w:cs="Times New Roman"/>
                    </w:rPr>
                  </w:pPr>
                </w:p>
              </w:tc>
              <w:tc>
                <w:tcPr>
                  <w:tcW w:w="1747" w:type="pct"/>
                  <w:gridSpan w:val="2"/>
                  <w:tcBorders>
                    <w:top w:val="single" w:color="auto" w:sz="4" w:space="0"/>
                    <w:left w:val="single" w:color="auto" w:sz="4" w:space="0"/>
                    <w:bottom w:val="single" w:color="auto" w:sz="4" w:space="0"/>
                    <w:right w:val="single" w:color="auto" w:sz="4" w:space="0"/>
                  </w:tcBorders>
                  <w:noWrap w:val="0"/>
                  <w:vAlign w:val="top"/>
                </w:tcPr>
                <w:p w14:paraId="74D4FF27">
                  <w:pPr>
                    <w:spacing w:line="260" w:lineRule="exact"/>
                    <w:rPr>
                      <w:rFonts w:hint="default" w:ascii="Times New Roman" w:hAnsi="Times New Roman" w:cs="Times New Roman"/>
                    </w:rPr>
                  </w:pPr>
                  <w:r>
                    <w:rPr>
                      <w:rFonts w:hint="default" w:ascii="Times New Roman" w:hAnsi="Times New Roman" w:cs="Times New Roman"/>
                    </w:rPr>
                    <w:t>闪点（℃）：12</w:t>
                  </w:r>
                </w:p>
              </w:tc>
              <w:tc>
                <w:tcPr>
                  <w:tcW w:w="2988" w:type="pct"/>
                  <w:gridSpan w:val="4"/>
                  <w:tcBorders>
                    <w:top w:val="single" w:color="auto" w:sz="4" w:space="0"/>
                    <w:left w:val="single" w:color="auto" w:sz="4" w:space="0"/>
                    <w:bottom w:val="single" w:color="auto" w:sz="4" w:space="0"/>
                    <w:right w:val="single" w:color="auto" w:sz="4" w:space="0"/>
                  </w:tcBorders>
                  <w:noWrap w:val="0"/>
                  <w:vAlign w:val="top"/>
                </w:tcPr>
                <w:p w14:paraId="03FA50BC">
                  <w:pPr>
                    <w:spacing w:line="260" w:lineRule="exact"/>
                    <w:rPr>
                      <w:rFonts w:hint="default" w:ascii="Times New Roman" w:hAnsi="Times New Roman" w:cs="Times New Roman"/>
                    </w:rPr>
                  </w:pPr>
                  <w:r>
                    <w:rPr>
                      <w:rFonts w:hint="default" w:ascii="Times New Roman" w:hAnsi="Times New Roman" w:cs="Times New Roman"/>
                    </w:rPr>
                    <w:t>聚合危害：不聚合</w:t>
                  </w:r>
                </w:p>
              </w:tc>
            </w:tr>
            <w:tr w14:paraId="1B7F3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22C451A1">
                  <w:pPr>
                    <w:widowControl/>
                    <w:jc w:val="left"/>
                    <w:rPr>
                      <w:rFonts w:hint="default" w:ascii="Times New Roman" w:hAnsi="Times New Roman" w:cs="Times New Roman"/>
                    </w:rPr>
                  </w:pPr>
                </w:p>
              </w:tc>
              <w:tc>
                <w:tcPr>
                  <w:tcW w:w="1747" w:type="pct"/>
                  <w:gridSpan w:val="2"/>
                  <w:tcBorders>
                    <w:top w:val="single" w:color="auto" w:sz="4" w:space="0"/>
                    <w:left w:val="single" w:color="auto" w:sz="4" w:space="0"/>
                    <w:bottom w:val="single" w:color="auto" w:sz="4" w:space="0"/>
                    <w:right w:val="single" w:color="auto" w:sz="4" w:space="0"/>
                  </w:tcBorders>
                  <w:noWrap w:val="0"/>
                  <w:vAlign w:val="top"/>
                </w:tcPr>
                <w:p w14:paraId="04A0D6AD">
                  <w:pPr>
                    <w:spacing w:line="260" w:lineRule="exact"/>
                    <w:rPr>
                      <w:rFonts w:hint="default" w:ascii="Times New Roman" w:hAnsi="Times New Roman" w:cs="Times New Roman"/>
                    </w:rPr>
                  </w:pPr>
                  <w:r>
                    <w:rPr>
                      <w:rFonts w:hint="default" w:ascii="Times New Roman" w:hAnsi="Times New Roman" w:cs="Times New Roman"/>
                    </w:rPr>
                    <w:t>爆炸下限（％）：3.3</w:t>
                  </w:r>
                </w:p>
              </w:tc>
              <w:tc>
                <w:tcPr>
                  <w:tcW w:w="2988" w:type="pct"/>
                  <w:gridSpan w:val="4"/>
                  <w:tcBorders>
                    <w:top w:val="single" w:color="auto" w:sz="4" w:space="0"/>
                    <w:left w:val="single" w:color="auto" w:sz="4" w:space="0"/>
                    <w:bottom w:val="single" w:color="auto" w:sz="4" w:space="0"/>
                    <w:right w:val="single" w:color="auto" w:sz="4" w:space="0"/>
                  </w:tcBorders>
                  <w:noWrap w:val="0"/>
                  <w:vAlign w:val="top"/>
                </w:tcPr>
                <w:p w14:paraId="0E69C5F7">
                  <w:pPr>
                    <w:spacing w:line="260" w:lineRule="exact"/>
                    <w:rPr>
                      <w:rFonts w:hint="default" w:ascii="Times New Roman" w:hAnsi="Times New Roman" w:cs="Times New Roman"/>
                    </w:rPr>
                  </w:pPr>
                  <w:r>
                    <w:rPr>
                      <w:rFonts w:hint="default" w:ascii="Times New Roman" w:hAnsi="Times New Roman" w:cs="Times New Roman"/>
                    </w:rPr>
                    <w:t>稳定性：稳定</w:t>
                  </w:r>
                </w:p>
              </w:tc>
            </w:tr>
            <w:tr w14:paraId="3427C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115107A8">
                  <w:pPr>
                    <w:widowControl/>
                    <w:jc w:val="left"/>
                    <w:rPr>
                      <w:rFonts w:hint="default" w:ascii="Times New Roman" w:hAnsi="Times New Roman" w:cs="Times New Roman"/>
                    </w:rPr>
                  </w:pPr>
                </w:p>
              </w:tc>
              <w:tc>
                <w:tcPr>
                  <w:tcW w:w="1747" w:type="pct"/>
                  <w:gridSpan w:val="2"/>
                  <w:tcBorders>
                    <w:top w:val="single" w:color="auto" w:sz="4" w:space="0"/>
                    <w:left w:val="single" w:color="auto" w:sz="4" w:space="0"/>
                    <w:bottom w:val="single" w:color="auto" w:sz="4" w:space="0"/>
                    <w:right w:val="single" w:color="auto" w:sz="4" w:space="0"/>
                  </w:tcBorders>
                  <w:noWrap w:val="0"/>
                  <w:vAlign w:val="top"/>
                </w:tcPr>
                <w:p w14:paraId="48658B7A">
                  <w:pPr>
                    <w:spacing w:line="260" w:lineRule="exact"/>
                    <w:rPr>
                      <w:rFonts w:hint="default" w:ascii="Times New Roman" w:hAnsi="Times New Roman" w:cs="Times New Roman"/>
                    </w:rPr>
                  </w:pPr>
                  <w:r>
                    <w:rPr>
                      <w:rFonts w:hint="default" w:ascii="Times New Roman" w:hAnsi="Times New Roman" w:cs="Times New Roman"/>
                    </w:rPr>
                    <w:t>爆炸上限（％）：19.0</w:t>
                  </w:r>
                </w:p>
              </w:tc>
              <w:tc>
                <w:tcPr>
                  <w:tcW w:w="2988" w:type="pct"/>
                  <w:gridSpan w:val="4"/>
                  <w:tcBorders>
                    <w:top w:val="single" w:color="auto" w:sz="4" w:space="0"/>
                    <w:left w:val="single" w:color="auto" w:sz="4" w:space="0"/>
                    <w:bottom w:val="single" w:color="auto" w:sz="4" w:space="0"/>
                    <w:right w:val="single" w:color="auto" w:sz="4" w:space="0"/>
                  </w:tcBorders>
                  <w:noWrap w:val="0"/>
                  <w:vAlign w:val="top"/>
                </w:tcPr>
                <w:p w14:paraId="39D24056">
                  <w:pPr>
                    <w:spacing w:line="260" w:lineRule="exact"/>
                    <w:rPr>
                      <w:rFonts w:hint="default" w:ascii="Times New Roman" w:hAnsi="Times New Roman" w:cs="Times New Roman"/>
                    </w:rPr>
                  </w:pPr>
                  <w:r>
                    <w:rPr>
                      <w:rFonts w:hint="default" w:ascii="Times New Roman" w:hAnsi="Times New Roman" w:cs="Times New Roman"/>
                    </w:rPr>
                    <w:t>最大爆炸压力（MPa）：</w:t>
                  </w:r>
                </w:p>
              </w:tc>
            </w:tr>
            <w:tr w14:paraId="1F892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28167F9F">
                  <w:pPr>
                    <w:widowControl/>
                    <w:jc w:val="left"/>
                    <w:rPr>
                      <w:rFonts w:hint="default" w:ascii="Times New Roman" w:hAnsi="Times New Roman" w:cs="Times New Roman"/>
                    </w:rPr>
                  </w:pPr>
                </w:p>
              </w:tc>
              <w:tc>
                <w:tcPr>
                  <w:tcW w:w="1747" w:type="pct"/>
                  <w:gridSpan w:val="2"/>
                  <w:tcBorders>
                    <w:top w:val="single" w:color="auto" w:sz="4" w:space="0"/>
                    <w:left w:val="single" w:color="auto" w:sz="4" w:space="0"/>
                    <w:bottom w:val="single" w:color="auto" w:sz="4" w:space="0"/>
                    <w:right w:val="single" w:color="auto" w:sz="4" w:space="0"/>
                  </w:tcBorders>
                  <w:noWrap w:val="0"/>
                  <w:vAlign w:val="top"/>
                </w:tcPr>
                <w:p w14:paraId="22D2D799">
                  <w:pPr>
                    <w:spacing w:line="260" w:lineRule="exact"/>
                    <w:rPr>
                      <w:rFonts w:hint="default" w:ascii="Times New Roman" w:hAnsi="Times New Roman" w:cs="Times New Roman"/>
                    </w:rPr>
                  </w:pPr>
                  <w:r>
                    <w:rPr>
                      <w:rFonts w:hint="default" w:ascii="Times New Roman" w:hAnsi="Times New Roman" w:cs="Times New Roman"/>
                    </w:rPr>
                    <w:t>引燃温度（℃）：363</w:t>
                  </w:r>
                </w:p>
              </w:tc>
              <w:tc>
                <w:tcPr>
                  <w:tcW w:w="2988" w:type="pct"/>
                  <w:gridSpan w:val="4"/>
                  <w:tcBorders>
                    <w:top w:val="single" w:color="auto" w:sz="4" w:space="0"/>
                    <w:left w:val="single" w:color="auto" w:sz="4" w:space="0"/>
                    <w:bottom w:val="single" w:color="auto" w:sz="4" w:space="0"/>
                    <w:right w:val="single" w:color="auto" w:sz="4" w:space="0"/>
                  </w:tcBorders>
                  <w:noWrap w:val="0"/>
                  <w:vAlign w:val="top"/>
                </w:tcPr>
                <w:p w14:paraId="2C5192C7">
                  <w:pPr>
                    <w:spacing w:line="260" w:lineRule="exact"/>
                    <w:rPr>
                      <w:rFonts w:hint="default" w:ascii="Times New Roman" w:hAnsi="Times New Roman" w:cs="Times New Roman"/>
                    </w:rPr>
                  </w:pPr>
                  <w:r>
                    <w:rPr>
                      <w:rFonts w:hint="default" w:ascii="Times New Roman" w:hAnsi="Times New Roman" w:cs="Times New Roman"/>
                    </w:rPr>
                    <w:t>禁忌物：强氧化剂、酸类、酸酐、碱金属、胺类。</w:t>
                  </w:r>
                </w:p>
              </w:tc>
            </w:tr>
            <w:tr w14:paraId="719EC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1A880129">
                  <w:pPr>
                    <w:widowControl/>
                    <w:jc w:val="left"/>
                    <w:rPr>
                      <w:rFonts w:hint="default" w:ascii="Times New Roman" w:hAnsi="Times New Roman" w:cs="Times New Roman"/>
                    </w:rPr>
                  </w:pP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559E32B1">
                  <w:pPr>
                    <w:spacing w:line="260" w:lineRule="exact"/>
                    <w:rPr>
                      <w:rFonts w:hint="default" w:ascii="Times New Roman" w:hAnsi="Times New Roman" w:cs="Times New Roman"/>
                    </w:rPr>
                  </w:pPr>
                  <w:r>
                    <w:rPr>
                      <w:rFonts w:hint="default" w:ascii="Times New Roman" w:hAnsi="Times New Roman" w:cs="Times New Roman"/>
                    </w:rPr>
                    <w:t>危险特性：易燃，其蒸气与空气可形成爆炸性混合物。遇明火、高热能引起燃烧爆炸。与氧化剂接触发生化学反应或引起燃烧。在火场中，受热的容器有爆炸危险。其蒸气比空气重，能在较低处扩散到相当远的地方，遇明火会引着回燃。</w:t>
                  </w:r>
                </w:p>
              </w:tc>
            </w:tr>
            <w:tr w14:paraId="7FD48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263" w:type="pct"/>
                  <w:vMerge w:val="continue"/>
                  <w:tcBorders>
                    <w:top w:val="single" w:color="auto" w:sz="4" w:space="0"/>
                    <w:left w:val="single" w:color="auto" w:sz="4" w:space="0"/>
                    <w:bottom w:val="single" w:color="auto" w:sz="4" w:space="0"/>
                    <w:right w:val="single" w:color="auto" w:sz="4" w:space="0"/>
                  </w:tcBorders>
                  <w:noWrap w:val="0"/>
                  <w:vAlign w:val="center"/>
                </w:tcPr>
                <w:p w14:paraId="42DC535A">
                  <w:pPr>
                    <w:widowControl/>
                    <w:jc w:val="left"/>
                    <w:rPr>
                      <w:rFonts w:hint="default" w:ascii="Times New Roman" w:hAnsi="Times New Roman" w:cs="Times New Roman"/>
                    </w:rPr>
                  </w:pP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4802E4C0">
                  <w:pPr>
                    <w:spacing w:line="260" w:lineRule="exact"/>
                    <w:rPr>
                      <w:rFonts w:hint="default" w:ascii="Times New Roman" w:hAnsi="Times New Roman" w:cs="Times New Roman"/>
                    </w:rPr>
                  </w:pPr>
                  <w:r>
                    <w:rPr>
                      <w:rFonts w:hint="default" w:ascii="Times New Roman" w:hAnsi="Times New Roman" w:cs="Times New Roman"/>
                    </w:rPr>
                    <w:t>灭火方法：尽可能将容器从火场移至空旷处。喷水保持火场容器冷却，直至灭火结束。灭火剂：抗溶性泡沫、干粉、二氧化碳、砂土。</w:t>
                  </w:r>
                </w:p>
              </w:tc>
            </w:tr>
            <w:tr w14:paraId="0A0F4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tcBorders>
                    <w:top w:val="single" w:color="auto" w:sz="4" w:space="0"/>
                    <w:left w:val="single" w:color="auto" w:sz="4" w:space="0"/>
                    <w:bottom w:val="single" w:color="auto" w:sz="4" w:space="0"/>
                    <w:right w:val="single" w:color="auto" w:sz="4" w:space="0"/>
                  </w:tcBorders>
                  <w:noWrap w:val="0"/>
                  <w:vAlign w:val="center"/>
                </w:tcPr>
                <w:p w14:paraId="6BDD7922">
                  <w:pPr>
                    <w:spacing w:line="260" w:lineRule="exact"/>
                    <w:jc w:val="center"/>
                    <w:rPr>
                      <w:rFonts w:hint="default" w:ascii="Times New Roman" w:hAnsi="Times New Roman" w:cs="Times New Roman"/>
                    </w:rPr>
                  </w:pPr>
                  <w:r>
                    <w:rPr>
                      <w:rFonts w:hint="default" w:ascii="Times New Roman" w:hAnsi="Times New Roman" w:cs="Times New Roman"/>
                    </w:rPr>
                    <w:t>毒性</w:t>
                  </w: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38D1A202">
                  <w:pPr>
                    <w:spacing w:line="260" w:lineRule="exact"/>
                    <w:rPr>
                      <w:rFonts w:hint="default" w:ascii="Times New Roman" w:hAnsi="Times New Roman" w:cs="Times New Roman"/>
                    </w:rPr>
                  </w:pPr>
                  <w:r>
                    <w:rPr>
                      <w:rFonts w:hint="default" w:ascii="Times New Roman" w:hAnsi="Times New Roman" w:cs="Times New Roman"/>
                    </w:rPr>
                    <w:t>LD</w:t>
                  </w:r>
                  <w:r>
                    <w:rPr>
                      <w:rFonts w:hint="default" w:ascii="Times New Roman" w:hAnsi="Times New Roman" w:cs="Times New Roman"/>
                      <w:vertAlign w:val="subscript"/>
                    </w:rPr>
                    <w:t>50</w:t>
                  </w:r>
                  <w:r>
                    <w:rPr>
                      <w:rFonts w:hint="default" w:ascii="Times New Roman" w:hAnsi="Times New Roman" w:cs="Times New Roman"/>
                    </w:rPr>
                    <w:t xml:space="preserve">  7060mg/kg（兔经口）；7430mg/kg（兔经皮）；</w:t>
                  </w:r>
                </w:p>
                <w:p w14:paraId="54508B05">
                  <w:pPr>
                    <w:spacing w:line="260" w:lineRule="exact"/>
                    <w:rPr>
                      <w:rFonts w:hint="default" w:ascii="Times New Roman" w:hAnsi="Times New Roman" w:cs="Times New Roman"/>
                    </w:rPr>
                  </w:pPr>
                  <w:r>
                    <w:rPr>
                      <w:rFonts w:hint="default" w:ascii="Times New Roman" w:hAnsi="Times New Roman" w:cs="Times New Roman"/>
                    </w:rPr>
                    <w:t>LC</w:t>
                  </w:r>
                  <w:r>
                    <w:rPr>
                      <w:rFonts w:hint="default" w:ascii="Times New Roman" w:hAnsi="Times New Roman" w:cs="Times New Roman"/>
                      <w:vertAlign w:val="subscript"/>
                    </w:rPr>
                    <w:t xml:space="preserve">50    </w:t>
                  </w:r>
                  <w:r>
                    <w:rPr>
                      <w:rFonts w:hint="default" w:ascii="Times New Roman" w:hAnsi="Times New Roman" w:cs="Times New Roman"/>
                    </w:rPr>
                    <w:t>37620mg/m</w:t>
                  </w:r>
                  <w:r>
                    <w:rPr>
                      <w:rFonts w:hint="default" w:ascii="Times New Roman" w:hAnsi="Times New Roman" w:cs="Times New Roman"/>
                      <w:vertAlign w:val="superscript"/>
                    </w:rPr>
                    <w:t>3</w:t>
                  </w:r>
                  <w:r>
                    <w:rPr>
                      <w:rFonts w:hint="default" w:ascii="Times New Roman" w:hAnsi="Times New Roman" w:cs="Times New Roman"/>
                    </w:rPr>
                    <w:t>，10小时（大鼠吸入）。</w:t>
                  </w:r>
                </w:p>
              </w:tc>
            </w:tr>
            <w:tr w14:paraId="5D159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63" w:type="pct"/>
                  <w:tcBorders>
                    <w:top w:val="single" w:color="auto" w:sz="4" w:space="0"/>
                    <w:left w:val="single" w:color="auto" w:sz="4" w:space="0"/>
                    <w:bottom w:val="single" w:color="auto" w:sz="4" w:space="0"/>
                    <w:right w:val="single" w:color="auto" w:sz="4" w:space="0"/>
                  </w:tcBorders>
                  <w:noWrap w:val="0"/>
                  <w:vAlign w:val="center"/>
                </w:tcPr>
                <w:p w14:paraId="3AF008E1">
                  <w:pPr>
                    <w:spacing w:line="260" w:lineRule="exact"/>
                    <w:jc w:val="center"/>
                    <w:rPr>
                      <w:rFonts w:hint="default" w:ascii="Times New Roman" w:hAnsi="Times New Roman" w:cs="Times New Roman"/>
                    </w:rPr>
                  </w:pPr>
                  <w:r>
                    <w:rPr>
                      <w:rFonts w:hint="default" w:ascii="Times New Roman" w:hAnsi="Times New Roman" w:cs="Times New Roman"/>
                    </w:rPr>
                    <w:t>对人体危害</w:t>
                  </w: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277F87FC">
                  <w:pPr>
                    <w:spacing w:line="260" w:lineRule="exact"/>
                    <w:rPr>
                      <w:rFonts w:hint="default" w:ascii="Times New Roman" w:hAnsi="Times New Roman" w:cs="Times New Roman"/>
                    </w:rPr>
                  </w:pPr>
                  <w:r>
                    <w:rPr>
                      <w:rFonts w:hint="default" w:ascii="Times New Roman" w:hAnsi="Times New Roman" w:cs="Times New Roman"/>
                    </w:rPr>
                    <w:t>侵入途径：吸入、食入、经皮肤吸收。</w:t>
                  </w:r>
                </w:p>
                <w:p w14:paraId="04D6506E">
                  <w:pPr>
                    <w:spacing w:line="260" w:lineRule="exact"/>
                    <w:rPr>
                      <w:rFonts w:hint="default" w:ascii="Times New Roman" w:hAnsi="Times New Roman" w:cs="Times New Roman"/>
                    </w:rPr>
                  </w:pPr>
                  <w:r>
                    <w:rPr>
                      <w:rFonts w:hint="default" w:ascii="Times New Roman" w:hAnsi="Times New Roman" w:cs="Times New Roman"/>
                    </w:rPr>
                    <w:t>健康危害：本品为中枢神经抑制剂。首先引起兴奋，随后抑制。急性中毒：急性中毒多发生于口服。一般可分为兴奋、催眠、麻醉、窒息四阶段。患者进入第三或第四阶段，出现意识丧失、瞳孔扩大、呼吸不规律、休克、心力循环衰竭及呼吸停止。慢性影响：在生产中长期接触高浓度本品可引起鼻、眼、粘模刺激症状，以及头痛、头晕、疲乏、易激动、震颤、恶心等。长期酗酒可引起多发性神经病、慢性胃炎、脂肪肝、肝硬化、心肌损害及器质性神经病等。皮肤长期接触可引起干燥、脱屑、皲裂和皮炎。</w:t>
                  </w:r>
                </w:p>
              </w:tc>
            </w:tr>
            <w:tr w14:paraId="70FB3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263" w:type="pct"/>
                  <w:tcBorders>
                    <w:top w:val="single" w:color="auto" w:sz="4" w:space="0"/>
                    <w:left w:val="single" w:color="auto" w:sz="4" w:space="0"/>
                    <w:bottom w:val="single" w:color="auto" w:sz="4" w:space="0"/>
                    <w:right w:val="single" w:color="auto" w:sz="4" w:space="0"/>
                  </w:tcBorders>
                  <w:noWrap w:val="0"/>
                  <w:vAlign w:val="center"/>
                </w:tcPr>
                <w:p w14:paraId="23C37D3D">
                  <w:pPr>
                    <w:spacing w:line="260" w:lineRule="exact"/>
                    <w:jc w:val="center"/>
                    <w:rPr>
                      <w:rFonts w:hint="default" w:ascii="Times New Roman" w:hAnsi="Times New Roman" w:cs="Times New Roman"/>
                    </w:rPr>
                  </w:pPr>
                  <w:r>
                    <w:rPr>
                      <w:rFonts w:hint="default" w:ascii="Times New Roman" w:hAnsi="Times New Roman" w:cs="Times New Roman"/>
                    </w:rPr>
                    <w:t>急救</w:t>
                  </w: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67910F16">
                  <w:pPr>
                    <w:spacing w:line="260" w:lineRule="exact"/>
                    <w:rPr>
                      <w:rFonts w:hint="default" w:ascii="Times New Roman" w:hAnsi="Times New Roman" w:cs="Times New Roman"/>
                    </w:rPr>
                  </w:pPr>
                  <w:r>
                    <w:rPr>
                      <w:rFonts w:hint="default" w:ascii="Times New Roman" w:hAnsi="Times New Roman" w:cs="Times New Roman"/>
                    </w:rPr>
                    <w:t>皮肤接触：脱去被污染的衣着，用流动清水冲洗。</w:t>
                  </w:r>
                </w:p>
                <w:p w14:paraId="5C6D4016">
                  <w:pPr>
                    <w:spacing w:line="260" w:lineRule="exact"/>
                    <w:rPr>
                      <w:rFonts w:hint="default" w:ascii="Times New Roman" w:hAnsi="Times New Roman" w:cs="Times New Roman"/>
                    </w:rPr>
                  </w:pPr>
                  <w:r>
                    <w:rPr>
                      <w:rFonts w:hint="default" w:ascii="Times New Roman" w:hAnsi="Times New Roman" w:cs="Times New Roman"/>
                    </w:rPr>
                    <w:t>眼镜接触：提起眼睑，用流动清水或生理盐水冲洗。就医。</w:t>
                  </w:r>
                </w:p>
                <w:p w14:paraId="1E3ABA18">
                  <w:pPr>
                    <w:spacing w:line="260" w:lineRule="exact"/>
                    <w:rPr>
                      <w:rFonts w:hint="default" w:ascii="Times New Roman" w:hAnsi="Times New Roman" w:cs="Times New Roman"/>
                    </w:rPr>
                  </w:pPr>
                  <w:r>
                    <w:rPr>
                      <w:rFonts w:hint="default" w:ascii="Times New Roman" w:hAnsi="Times New Roman" w:cs="Times New Roman"/>
                    </w:rPr>
                    <w:t>吸入：迅速脱离现场至空气新鲜处。就医。</w:t>
                  </w:r>
                </w:p>
                <w:p w14:paraId="3186AE68">
                  <w:pPr>
                    <w:spacing w:line="260" w:lineRule="exact"/>
                    <w:rPr>
                      <w:rFonts w:hint="default" w:ascii="Times New Roman" w:hAnsi="Times New Roman" w:cs="Times New Roman"/>
                    </w:rPr>
                  </w:pPr>
                  <w:r>
                    <w:rPr>
                      <w:rFonts w:hint="default" w:ascii="Times New Roman" w:hAnsi="Times New Roman" w:cs="Times New Roman"/>
                    </w:rPr>
                    <w:t>食入：饮足量温水，催吐。就医。</w:t>
                  </w:r>
                </w:p>
              </w:tc>
            </w:tr>
            <w:tr w14:paraId="15402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tcBorders>
                    <w:top w:val="single" w:color="auto" w:sz="4" w:space="0"/>
                    <w:left w:val="single" w:color="auto" w:sz="4" w:space="0"/>
                    <w:bottom w:val="single" w:color="auto" w:sz="4" w:space="0"/>
                    <w:right w:val="single" w:color="auto" w:sz="4" w:space="0"/>
                  </w:tcBorders>
                  <w:noWrap w:val="0"/>
                  <w:vAlign w:val="center"/>
                </w:tcPr>
                <w:p w14:paraId="18E9E669">
                  <w:pPr>
                    <w:spacing w:line="260" w:lineRule="exact"/>
                    <w:jc w:val="center"/>
                    <w:rPr>
                      <w:rFonts w:hint="default" w:ascii="Times New Roman" w:hAnsi="Times New Roman" w:cs="Times New Roman"/>
                    </w:rPr>
                  </w:pPr>
                  <w:r>
                    <w:rPr>
                      <w:rFonts w:hint="default" w:ascii="Times New Roman" w:hAnsi="Times New Roman" w:cs="Times New Roman"/>
                    </w:rPr>
                    <w:t>防护</w:t>
                  </w: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73250F54">
                  <w:pPr>
                    <w:spacing w:line="260" w:lineRule="exact"/>
                    <w:rPr>
                      <w:rFonts w:hint="default" w:ascii="Times New Roman" w:hAnsi="Times New Roman" w:cs="Times New Roman"/>
                      <w:spacing w:val="-4"/>
                    </w:rPr>
                  </w:pPr>
                  <w:r>
                    <w:rPr>
                      <w:rFonts w:hint="default" w:ascii="Times New Roman" w:hAnsi="Times New Roman" w:cs="Times New Roman"/>
                      <w:spacing w:val="-4"/>
                    </w:rPr>
                    <w:t>工程控制：生产过程密闭，全面通风。提供安全淋浴和洗眼设备。</w:t>
                  </w:r>
                </w:p>
                <w:p w14:paraId="4CFB7D8F">
                  <w:pPr>
                    <w:spacing w:line="260" w:lineRule="exact"/>
                    <w:rPr>
                      <w:rFonts w:hint="default" w:ascii="Times New Roman" w:hAnsi="Times New Roman" w:cs="Times New Roman"/>
                      <w:spacing w:val="-4"/>
                    </w:rPr>
                  </w:pPr>
                  <w:r>
                    <w:rPr>
                      <w:rFonts w:hint="default" w:ascii="Times New Roman" w:hAnsi="Times New Roman" w:cs="Times New Roman"/>
                      <w:spacing w:val="-4"/>
                    </w:rPr>
                    <w:t>呼吸系统防护：一般不需要特殊防护，高浓度接触时佩戴过滤式防毒面具（半面罩）。</w:t>
                  </w:r>
                </w:p>
                <w:p w14:paraId="6FA1395A">
                  <w:pPr>
                    <w:spacing w:line="260" w:lineRule="exact"/>
                    <w:rPr>
                      <w:rFonts w:hint="default" w:ascii="Times New Roman" w:hAnsi="Times New Roman" w:cs="Times New Roman"/>
                      <w:spacing w:val="-4"/>
                    </w:rPr>
                  </w:pPr>
                  <w:r>
                    <w:rPr>
                      <w:rFonts w:hint="default" w:ascii="Times New Roman" w:hAnsi="Times New Roman" w:cs="Times New Roman"/>
                      <w:spacing w:val="-4"/>
                    </w:rPr>
                    <w:t>身体防护：穿防静电工作服。</w:t>
                  </w:r>
                </w:p>
                <w:p w14:paraId="6E9618A7">
                  <w:pPr>
                    <w:spacing w:line="260" w:lineRule="exact"/>
                    <w:rPr>
                      <w:rFonts w:hint="default" w:ascii="Times New Roman" w:hAnsi="Times New Roman" w:cs="Times New Roman"/>
                      <w:spacing w:val="-4"/>
                    </w:rPr>
                  </w:pPr>
                  <w:r>
                    <w:rPr>
                      <w:rFonts w:hint="default" w:ascii="Times New Roman" w:hAnsi="Times New Roman" w:cs="Times New Roman"/>
                      <w:spacing w:val="-4"/>
                    </w:rPr>
                    <w:t>手防护：戴一般作业手套。</w:t>
                  </w:r>
                </w:p>
                <w:p w14:paraId="4E428801">
                  <w:pPr>
                    <w:spacing w:line="260" w:lineRule="exact"/>
                    <w:rPr>
                      <w:rFonts w:hint="default" w:ascii="Times New Roman" w:hAnsi="Times New Roman" w:cs="Times New Roman"/>
                    </w:rPr>
                  </w:pPr>
                  <w:r>
                    <w:rPr>
                      <w:rFonts w:hint="default" w:ascii="Times New Roman" w:hAnsi="Times New Roman" w:cs="Times New Roman"/>
                      <w:spacing w:val="-4"/>
                    </w:rPr>
                    <w:t>其他防护：工作场所禁止吸烟。</w:t>
                  </w:r>
                </w:p>
              </w:tc>
            </w:tr>
            <w:tr w14:paraId="36614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3" w:type="pct"/>
                  <w:tcBorders>
                    <w:top w:val="single" w:color="auto" w:sz="4" w:space="0"/>
                    <w:left w:val="single" w:color="auto" w:sz="4" w:space="0"/>
                    <w:bottom w:val="single" w:color="auto" w:sz="4" w:space="0"/>
                    <w:right w:val="single" w:color="auto" w:sz="4" w:space="0"/>
                  </w:tcBorders>
                  <w:noWrap w:val="0"/>
                  <w:vAlign w:val="center"/>
                </w:tcPr>
                <w:p w14:paraId="60FE1489">
                  <w:pPr>
                    <w:spacing w:line="260" w:lineRule="exact"/>
                    <w:jc w:val="center"/>
                    <w:rPr>
                      <w:rFonts w:hint="default" w:ascii="Times New Roman" w:hAnsi="Times New Roman" w:cs="Times New Roman"/>
                    </w:rPr>
                  </w:pPr>
                  <w:r>
                    <w:rPr>
                      <w:rFonts w:hint="default" w:ascii="Times New Roman" w:hAnsi="Times New Roman" w:cs="Times New Roman"/>
                    </w:rPr>
                    <w:t>泄漏处理</w:t>
                  </w: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08AC827F">
                  <w:pPr>
                    <w:spacing w:line="260" w:lineRule="exact"/>
                    <w:rPr>
                      <w:rFonts w:hint="default" w:ascii="Times New Roman" w:hAnsi="Times New Roman" w:cs="Times New Roman"/>
                    </w:rPr>
                  </w:pPr>
                  <w:r>
                    <w:rPr>
                      <w:rFonts w:hint="default" w:ascii="Times New Roman" w:hAnsi="Times New Roman" w:cs="Times New Roman"/>
                    </w:rPr>
                    <w:t>迅速撤离泄漏污染区人员至安全区，并进行隔离，严格限制出入。切断火源。建议应急处理人员戴自给式呼吸器，穿消防防护服。尽可能切断泄漏源，防止进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14:paraId="49702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263" w:type="pct"/>
                  <w:tcBorders>
                    <w:top w:val="single" w:color="auto" w:sz="4" w:space="0"/>
                    <w:left w:val="single" w:color="auto" w:sz="4" w:space="0"/>
                    <w:bottom w:val="single" w:color="auto" w:sz="4" w:space="0"/>
                    <w:right w:val="single" w:color="auto" w:sz="4" w:space="0"/>
                  </w:tcBorders>
                  <w:noWrap w:val="0"/>
                  <w:vAlign w:val="center"/>
                </w:tcPr>
                <w:p w14:paraId="4DA96528">
                  <w:pPr>
                    <w:spacing w:line="260" w:lineRule="exact"/>
                    <w:rPr>
                      <w:rFonts w:hint="default" w:ascii="Times New Roman" w:hAnsi="Times New Roman" w:cs="Times New Roman"/>
                    </w:rPr>
                  </w:pPr>
                  <w:r>
                    <w:rPr>
                      <w:rFonts w:hint="default" w:ascii="Times New Roman" w:hAnsi="Times New Roman" w:cs="Times New Roman"/>
                    </w:rPr>
                    <w:t>贮运</w:t>
                  </w:r>
                </w:p>
              </w:tc>
              <w:tc>
                <w:tcPr>
                  <w:tcW w:w="4736" w:type="pct"/>
                  <w:gridSpan w:val="6"/>
                  <w:tcBorders>
                    <w:top w:val="single" w:color="auto" w:sz="4" w:space="0"/>
                    <w:left w:val="single" w:color="auto" w:sz="4" w:space="0"/>
                    <w:bottom w:val="single" w:color="auto" w:sz="4" w:space="0"/>
                    <w:right w:val="single" w:color="auto" w:sz="4" w:space="0"/>
                  </w:tcBorders>
                  <w:noWrap w:val="0"/>
                  <w:vAlign w:val="top"/>
                </w:tcPr>
                <w:p w14:paraId="0D94E151">
                  <w:pPr>
                    <w:spacing w:line="260" w:lineRule="exact"/>
                    <w:rPr>
                      <w:rFonts w:hint="default" w:ascii="Times New Roman" w:hAnsi="Times New Roman" w:cs="Times New Roman"/>
                    </w:rPr>
                  </w:pPr>
                  <w:r>
                    <w:rPr>
                      <w:rFonts w:hint="default" w:ascii="Times New Roman" w:hAnsi="Times New Roman" w:cs="Times New Roman"/>
                    </w:rPr>
                    <w:t>包装标志：7       UN编号：1170       包装分类：Ⅱ</w:t>
                  </w:r>
                </w:p>
                <w:p w14:paraId="0D231398">
                  <w:pPr>
                    <w:spacing w:line="260" w:lineRule="exact"/>
                    <w:rPr>
                      <w:rFonts w:hint="default" w:ascii="Times New Roman" w:hAnsi="Times New Roman" w:cs="Times New Roman"/>
                    </w:rPr>
                  </w:pPr>
                  <w:r>
                    <w:rPr>
                      <w:rFonts w:hint="default" w:ascii="Times New Roman" w:hAnsi="Times New Roman" w:cs="Times New Roman"/>
                    </w:rPr>
                    <w:t>包装方法：小开口钢桶；小开口铝桶；螺纹口玻璃瓶、铁盖压口玻璃瓶、塑料瓶或金属桶外木板箱。</w:t>
                  </w:r>
                </w:p>
                <w:p w14:paraId="2C098A4A">
                  <w:pPr>
                    <w:spacing w:line="260" w:lineRule="exact"/>
                    <w:rPr>
                      <w:rFonts w:hint="default" w:ascii="Times New Roman" w:hAnsi="Times New Roman" w:cs="Times New Roman"/>
                    </w:rPr>
                  </w:pPr>
                  <w:r>
                    <w:rPr>
                      <w:rFonts w:hint="default" w:ascii="Times New Roman" w:hAnsi="Times New Roman" w:cs="Times New Roman"/>
                    </w:rPr>
                    <w:t>储运条件：储存在阴凉、通风的仓间内。远离火种、热源，防止阳光直射。包装要求密封，不可与空气接触。应与氧化剂、酸类分开存放。储存间内的照明、通风等设施应采用防爆型，开关设在仓外。配备相应品种和数量的消防器材。禁止使用易产生火花的机械设备和工具。灌装时应注意流速（不超过3m/s），且有接地装置，防止静电积聚。分装和搬运作业要注意个人防护，搬运时要轻装轻卸，防止包装及容器损坏。运输按规定线路行驶。</w:t>
                  </w:r>
                </w:p>
              </w:tc>
            </w:tr>
          </w:tbl>
          <w:p w14:paraId="6B19CF15">
            <w:pPr>
              <w:spacing w:line="360" w:lineRule="auto"/>
              <w:ind w:firstLine="422" w:firstLineChars="200"/>
              <w:jc w:val="center"/>
              <w:rPr>
                <w:rFonts w:hint="default" w:ascii="Times New Roman" w:hAnsi="Times New Roman" w:eastAsia="宋体" w:cs="Times New Roman"/>
                <w:b/>
                <w:bCs/>
                <w:color w:val="auto"/>
                <w:kern w:val="0"/>
                <w:sz w:val="21"/>
                <w:szCs w:val="21"/>
                <w:highlight w:val="none"/>
                <w:lang w:val="en-US" w:eastAsia="zh-CN" w:bidi="ar-SA"/>
              </w:rPr>
            </w:pPr>
          </w:p>
          <w:p w14:paraId="645FB8C3">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2）丙烷气体增效剂</w:t>
            </w:r>
          </w:p>
          <w:p w14:paraId="601E9629">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丙烷气体增效剂是一种用于提升燃气切割性能的特殊增效剂。增效剂是按照一定比例加入丙烷气体中形成能够替代乙炔气用于切割的新型产品，它是以无毒的丙烷、丁烷等石油气为基体，加入的高效共沸引发剂。增效剂是无毒、无腐蚀的化合物，具有助燃、阻聚、催化、等特殊功效。在氧作用下，能使火焰温度高达3361℃，可以改变火焰的频率及波长，激活主体介质迅速燃烧，释放出更高的能量，并提高了有效热量对作用物的传递，抑制了火焰向周围空气中的辐射，达到更高的温度。使燃气具有预热时间短、切割速度快、切割表面光滑等优点，同时还具有无毒、污染少等特性。燃气增效剂部分成分为正戊烷、丙烯，添加比例1000公斤丙烷配比5公斤增效剂（5‰）；</w:t>
            </w:r>
          </w:p>
          <w:p w14:paraId="63CF3C86">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丙烷气体增效剂及其形成的焊割气得到了国家和行业的认可，全国气体标准化技术委员会在制订“增效丙烷”“增效液化气”国家行业标准时，选择增效金属焊割气作为样板气进行节能效果的测定，结果表明其比普通丙烷节能31%以上。</w:t>
            </w:r>
            <w:r>
              <w:rPr>
                <w:rFonts w:hint="eastAsia" w:cs="Times New Roman"/>
                <w:color w:val="0000FF"/>
                <w:sz w:val="24"/>
                <w:szCs w:val="24"/>
                <w:lang w:val="en-US" w:eastAsia="zh-CN"/>
              </w:rPr>
              <w:t>丙烷增效剂与液态丙烷混合均匀后，不在厂区内单独存放。</w:t>
            </w:r>
          </w:p>
          <w:p w14:paraId="2BAD8D46">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22" w:firstLineChars="200"/>
              <w:jc w:val="center"/>
              <w:textAlignment w:val="auto"/>
              <w:rPr>
                <w:rFonts w:hint="default" w:ascii="Times New Roman" w:hAnsi="Times New Roman" w:cs="Times New Roman"/>
                <w:b/>
                <w:bCs w:val="0"/>
                <w:color w:val="0000FF"/>
                <w:sz w:val="21"/>
                <w:szCs w:val="21"/>
              </w:rPr>
            </w:pPr>
            <w:r>
              <w:rPr>
                <w:rFonts w:hint="default" w:ascii="Times New Roman" w:hAnsi="Times New Roman" w:cs="Times New Roman"/>
                <w:b/>
                <w:bCs w:val="0"/>
                <w:color w:val="0000FF"/>
                <w:sz w:val="21"/>
                <w:szCs w:val="21"/>
              </w:rPr>
              <w:t>表2</w:t>
            </w:r>
            <w:r>
              <w:rPr>
                <w:rFonts w:hint="default" w:ascii="Times New Roman" w:hAnsi="Times New Roman" w:cs="Times New Roman"/>
                <w:b/>
                <w:bCs w:val="0"/>
                <w:color w:val="0000FF"/>
                <w:sz w:val="21"/>
                <w:szCs w:val="21"/>
                <w:lang w:val="en-US" w:eastAsia="zh-CN"/>
              </w:rPr>
              <w:t>.5-</w:t>
            </w:r>
            <w:r>
              <w:rPr>
                <w:rFonts w:hint="eastAsia" w:cs="Times New Roman"/>
                <w:b/>
                <w:bCs w:val="0"/>
                <w:color w:val="0000FF"/>
                <w:sz w:val="21"/>
                <w:szCs w:val="21"/>
                <w:lang w:val="en-US" w:eastAsia="zh-CN"/>
              </w:rPr>
              <w:t>9</w:t>
            </w:r>
            <w:r>
              <w:rPr>
                <w:rFonts w:hint="default" w:ascii="Times New Roman" w:hAnsi="Times New Roman" w:cs="Times New Roman"/>
                <w:b/>
                <w:bCs w:val="0"/>
                <w:color w:val="0000FF"/>
                <w:sz w:val="21"/>
                <w:szCs w:val="21"/>
                <w:lang w:val="en-US" w:eastAsia="zh-CN"/>
              </w:rPr>
              <w:t xml:space="preserve">  </w:t>
            </w:r>
            <w:r>
              <w:rPr>
                <w:rFonts w:hint="default" w:ascii="Times New Roman" w:hAnsi="Times New Roman" w:cs="Times New Roman"/>
                <w:b/>
                <w:bCs w:val="0"/>
                <w:color w:val="0000FF"/>
                <w:sz w:val="21"/>
                <w:szCs w:val="21"/>
              </w:rPr>
              <w:t xml:space="preserve">  </w:t>
            </w:r>
            <w:r>
              <w:rPr>
                <w:rFonts w:hint="eastAsia" w:cs="Times New Roman"/>
                <w:b/>
                <w:bCs w:val="0"/>
                <w:color w:val="0000FF"/>
                <w:sz w:val="21"/>
                <w:szCs w:val="21"/>
                <w:lang w:val="en-US" w:eastAsia="zh-CN"/>
              </w:rPr>
              <w:t>丁烷</w:t>
            </w:r>
            <w:r>
              <w:rPr>
                <w:rFonts w:hint="default" w:ascii="Times New Roman" w:hAnsi="Times New Roman" w:cs="Times New Roman"/>
                <w:b/>
                <w:bCs w:val="0"/>
                <w:color w:val="0000FF"/>
                <w:sz w:val="21"/>
                <w:szCs w:val="21"/>
              </w:rPr>
              <w:t>主要理化性质及危险特性表</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391"/>
              <w:gridCol w:w="361"/>
              <w:gridCol w:w="460"/>
              <w:gridCol w:w="1591"/>
              <w:gridCol w:w="410"/>
              <w:gridCol w:w="2346"/>
            </w:tblGrid>
            <w:tr w14:paraId="6BED1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4F712AC9">
                  <w:pPr>
                    <w:spacing w:line="480" w:lineRule="exact"/>
                    <w:jc w:val="center"/>
                    <w:rPr>
                      <w:rFonts w:hint="default" w:ascii="Times New Roman" w:hAnsi="Times New Roman" w:cs="Times New Roman"/>
                      <w:color w:val="0000FF"/>
                    </w:rPr>
                  </w:pPr>
                  <w:r>
                    <w:rPr>
                      <w:rFonts w:hint="default" w:ascii="Times New Roman" w:hAnsi="Times New Roman" w:cs="Times New Roman"/>
                      <w:color w:val="0000FF"/>
                    </w:rPr>
                    <w:t>标识</w:t>
                  </w:r>
                </w:p>
              </w:tc>
              <w:tc>
                <w:tcPr>
                  <w:tcW w:w="2026" w:type="pct"/>
                  <w:gridSpan w:val="3"/>
                  <w:tcBorders>
                    <w:top w:val="single" w:color="auto" w:sz="4" w:space="0"/>
                    <w:left w:val="single" w:color="auto" w:sz="4" w:space="0"/>
                    <w:bottom w:val="single" w:color="auto" w:sz="4" w:space="0"/>
                    <w:right w:val="single" w:color="auto" w:sz="4" w:space="0"/>
                  </w:tcBorders>
                  <w:noWrap w:val="0"/>
                  <w:vAlign w:val="top"/>
                </w:tcPr>
                <w:p w14:paraId="52BB7CD6">
                  <w:pPr>
                    <w:spacing w:line="320" w:lineRule="exact"/>
                    <w:rPr>
                      <w:rFonts w:hint="default" w:ascii="Times New Roman" w:hAnsi="Times New Roman" w:eastAsia="宋体" w:cs="Times New Roman"/>
                      <w:color w:val="0000FF"/>
                      <w:lang w:eastAsia="zh-CN"/>
                    </w:rPr>
                  </w:pPr>
                  <w:r>
                    <w:rPr>
                      <w:rFonts w:hint="default" w:ascii="Times New Roman" w:hAnsi="Times New Roman" w:cs="Times New Roman"/>
                      <w:color w:val="0000FF"/>
                    </w:rPr>
                    <w:t>中文名：</w:t>
                  </w:r>
                  <w:r>
                    <w:rPr>
                      <w:rFonts w:hint="eastAsia" w:cs="Times New Roman"/>
                      <w:color w:val="0000FF"/>
                      <w:lang w:val="en-US" w:eastAsia="zh-CN"/>
                    </w:rPr>
                    <w:t>丁烷</w:t>
                  </w:r>
                </w:p>
              </w:tc>
              <w:tc>
                <w:tcPr>
                  <w:tcW w:w="2734" w:type="pct"/>
                  <w:gridSpan w:val="3"/>
                  <w:tcBorders>
                    <w:top w:val="single" w:color="auto" w:sz="4" w:space="0"/>
                    <w:left w:val="single" w:color="auto" w:sz="4" w:space="0"/>
                    <w:bottom w:val="single" w:color="auto" w:sz="4" w:space="0"/>
                    <w:right w:val="single" w:color="auto" w:sz="4" w:space="0"/>
                  </w:tcBorders>
                  <w:noWrap w:val="0"/>
                  <w:vAlign w:val="top"/>
                </w:tcPr>
                <w:p w14:paraId="59FBE1A4">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英文名：</w:t>
                  </w:r>
                  <w:r>
                    <w:rPr>
                      <w:rFonts w:hint="default" w:ascii="Times New Roman" w:hAnsi="Times New Roman" w:cs="Times New Roman"/>
                      <w:color w:val="0000FF"/>
                      <w:lang w:val="en-US" w:eastAsia="zh-CN"/>
                    </w:rPr>
                    <w:t>Butane</w:t>
                  </w:r>
                </w:p>
              </w:tc>
            </w:tr>
            <w:tr w14:paraId="6CDFA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79F5C7D5">
                  <w:pPr>
                    <w:widowControl/>
                    <w:jc w:val="left"/>
                    <w:rPr>
                      <w:rFonts w:hint="default" w:ascii="Times New Roman" w:hAnsi="Times New Roman" w:cs="Times New Roman"/>
                      <w:color w:val="0000FF"/>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03955B3D">
                  <w:pPr>
                    <w:spacing w:line="320" w:lineRule="exact"/>
                    <w:rPr>
                      <w:rFonts w:hint="default" w:ascii="Times New Roman" w:hAnsi="Times New Roman" w:eastAsia="宋体" w:cs="Times New Roman"/>
                      <w:color w:val="0000FF"/>
                      <w:vertAlign w:val="subscript"/>
                      <w:lang w:val="en-US" w:eastAsia="zh-CN"/>
                    </w:rPr>
                  </w:pPr>
                  <w:r>
                    <w:rPr>
                      <w:rFonts w:hint="default" w:ascii="Times New Roman" w:hAnsi="Times New Roman" w:cs="Times New Roman"/>
                      <w:color w:val="0000FF"/>
                    </w:rPr>
                    <w:t>分子式：C</w:t>
                  </w:r>
                  <w:r>
                    <w:rPr>
                      <w:rFonts w:hint="eastAsia" w:cs="Times New Roman"/>
                      <w:color w:val="0000FF"/>
                      <w:vertAlign w:val="subscript"/>
                      <w:lang w:val="en-US" w:eastAsia="zh-CN"/>
                    </w:rPr>
                    <w:t>4</w:t>
                  </w:r>
                  <w:r>
                    <w:rPr>
                      <w:rFonts w:hint="default" w:ascii="Times New Roman" w:hAnsi="Times New Roman" w:cs="Times New Roman"/>
                      <w:color w:val="0000FF"/>
                    </w:rPr>
                    <w:t>H</w:t>
                  </w:r>
                  <w:r>
                    <w:rPr>
                      <w:rFonts w:hint="eastAsia" w:cs="Times New Roman"/>
                      <w:color w:val="0000FF"/>
                      <w:vertAlign w:val="subscript"/>
                      <w:lang w:val="en-US" w:eastAsia="zh-CN"/>
                    </w:rPr>
                    <w:t>10</w:t>
                  </w:r>
                </w:p>
              </w:tc>
              <w:tc>
                <w:tcPr>
                  <w:tcW w:w="1555" w:type="pct"/>
                  <w:gridSpan w:val="3"/>
                  <w:tcBorders>
                    <w:top w:val="single" w:color="auto" w:sz="4" w:space="0"/>
                    <w:left w:val="single" w:color="auto" w:sz="4" w:space="0"/>
                    <w:bottom w:val="single" w:color="auto" w:sz="4" w:space="0"/>
                    <w:right w:val="single" w:color="auto" w:sz="4" w:space="0"/>
                  </w:tcBorders>
                  <w:noWrap w:val="0"/>
                  <w:vAlign w:val="top"/>
                </w:tcPr>
                <w:p w14:paraId="1DCD79B4">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分子量：</w:t>
                  </w:r>
                  <w:r>
                    <w:rPr>
                      <w:rFonts w:hint="eastAsia" w:cs="Times New Roman"/>
                      <w:color w:val="0000FF"/>
                      <w:lang w:val="en-US" w:eastAsia="zh-CN"/>
                    </w:rPr>
                    <w:t>59.12</w:t>
                  </w:r>
                </w:p>
              </w:tc>
              <w:tc>
                <w:tcPr>
                  <w:tcW w:w="1472" w:type="pct"/>
                  <w:tcBorders>
                    <w:top w:val="single" w:color="auto" w:sz="4" w:space="0"/>
                    <w:left w:val="single" w:color="auto" w:sz="4" w:space="0"/>
                    <w:bottom w:val="single" w:color="auto" w:sz="4" w:space="0"/>
                    <w:right w:val="single" w:color="auto" w:sz="4" w:space="0"/>
                  </w:tcBorders>
                  <w:noWrap w:val="0"/>
                  <w:vAlign w:val="top"/>
                </w:tcPr>
                <w:p w14:paraId="17C89623">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CAS号：</w:t>
                  </w:r>
                  <w:r>
                    <w:rPr>
                      <w:rFonts w:hint="eastAsia" w:cs="Times New Roman"/>
                      <w:color w:val="0000FF"/>
                      <w:lang w:val="en-US" w:eastAsia="zh-CN"/>
                    </w:rPr>
                    <w:t>106-97-8</w:t>
                  </w:r>
                </w:p>
              </w:tc>
            </w:tr>
            <w:tr w14:paraId="060415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76E7972B">
                  <w:pPr>
                    <w:widowControl/>
                    <w:jc w:val="left"/>
                    <w:rPr>
                      <w:rFonts w:hint="default" w:ascii="Times New Roman" w:hAnsi="Times New Roman" w:cs="Times New Roman"/>
                      <w:color w:val="0000FF"/>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01B08864">
                  <w:pPr>
                    <w:spacing w:line="320" w:lineRule="exact"/>
                    <w:rPr>
                      <w:rFonts w:hint="eastAsia" w:ascii="Times New Roman" w:hAnsi="Times New Roman" w:eastAsia="宋体" w:cs="Times New Roman"/>
                      <w:color w:val="0000FF"/>
                      <w:lang w:val="en-US" w:eastAsia="zh-CN"/>
                    </w:rPr>
                  </w:pPr>
                  <w:r>
                    <w:rPr>
                      <w:rFonts w:hint="default" w:ascii="Times New Roman" w:hAnsi="Times New Roman" w:cs="Times New Roman"/>
                      <w:color w:val="0000FF"/>
                    </w:rPr>
                    <w:t>危规号：</w:t>
                  </w:r>
                  <w:r>
                    <w:rPr>
                      <w:rFonts w:hint="eastAsia" w:cs="Times New Roman"/>
                      <w:color w:val="0000FF"/>
                      <w:lang w:val="en-US" w:eastAsia="zh-CN"/>
                    </w:rPr>
                    <w:t>/</w:t>
                  </w:r>
                </w:p>
              </w:tc>
            </w:tr>
            <w:tr w14:paraId="52D6A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3270F028">
                  <w:pPr>
                    <w:spacing w:line="380" w:lineRule="exact"/>
                    <w:jc w:val="center"/>
                    <w:rPr>
                      <w:rFonts w:hint="default" w:ascii="Times New Roman" w:hAnsi="Times New Roman" w:cs="Times New Roman"/>
                      <w:color w:val="0000FF"/>
                    </w:rPr>
                  </w:pPr>
                  <w:r>
                    <w:rPr>
                      <w:rFonts w:hint="default" w:ascii="Times New Roman" w:hAnsi="Times New Roman" w:cs="Times New Roman"/>
                      <w:color w:val="0000FF"/>
                    </w:rPr>
                    <w:t>理化性质</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713282B9">
                  <w:pPr>
                    <w:spacing w:line="320" w:lineRule="exact"/>
                    <w:rPr>
                      <w:rFonts w:hint="default" w:ascii="Times New Roman" w:hAnsi="Times New Roman" w:cs="Times New Roman"/>
                      <w:color w:val="0000FF"/>
                    </w:rPr>
                  </w:pPr>
                  <w:r>
                    <w:rPr>
                      <w:rFonts w:hint="default" w:ascii="Times New Roman" w:hAnsi="Times New Roman" w:cs="Times New Roman"/>
                      <w:color w:val="0000FF"/>
                    </w:rPr>
                    <w:t>性状： 无色</w:t>
                  </w:r>
                  <w:r>
                    <w:rPr>
                      <w:rFonts w:hint="default" w:ascii="Times New Roman" w:hAnsi="Times New Roman" w:cs="Times New Roman"/>
                      <w:color w:val="0000FF"/>
                      <w:lang w:val="en-US" w:eastAsia="zh-CN"/>
                    </w:rPr>
                    <w:t>气体</w:t>
                  </w:r>
                  <w:r>
                    <w:rPr>
                      <w:rFonts w:hint="eastAsia" w:cs="Times New Roman"/>
                      <w:color w:val="0000FF"/>
                      <w:lang w:val="en-US" w:eastAsia="zh-CN"/>
                    </w:rPr>
                    <w:t>，有轻微不愉快气味</w:t>
                  </w:r>
                  <w:r>
                    <w:rPr>
                      <w:rFonts w:hint="default" w:ascii="Times New Roman" w:hAnsi="Times New Roman" w:cs="Times New Roman"/>
                      <w:color w:val="0000FF"/>
                    </w:rPr>
                    <w:t>。</w:t>
                  </w:r>
                </w:p>
              </w:tc>
            </w:tr>
            <w:tr w14:paraId="4AD2A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4948207C">
                  <w:pPr>
                    <w:widowControl/>
                    <w:jc w:val="left"/>
                    <w:rPr>
                      <w:rFonts w:hint="default" w:ascii="Times New Roman" w:hAnsi="Times New Roman" w:cs="Times New Roman"/>
                      <w:color w:val="0000FF"/>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3138E5EB">
                  <w:pPr>
                    <w:spacing w:line="320" w:lineRule="exact"/>
                    <w:rPr>
                      <w:rFonts w:hint="default" w:ascii="Times New Roman" w:hAnsi="Times New Roman" w:cs="Times New Roman"/>
                      <w:color w:val="0000FF"/>
                    </w:rPr>
                  </w:pPr>
                  <w:r>
                    <w:rPr>
                      <w:rFonts w:hint="default" w:ascii="Times New Roman" w:hAnsi="Times New Roman" w:cs="Times New Roman"/>
                      <w:color w:val="0000FF"/>
                    </w:rPr>
                    <w:t>溶解性：</w:t>
                  </w:r>
                  <w:r>
                    <w:rPr>
                      <w:rFonts w:hint="eastAsia" w:cs="Times New Roman"/>
                      <w:color w:val="0000FF"/>
                      <w:lang w:val="en-US" w:eastAsia="zh-CN"/>
                    </w:rPr>
                    <w:t>易</w:t>
                  </w:r>
                  <w:r>
                    <w:rPr>
                      <w:rFonts w:hint="default" w:ascii="Times New Roman" w:hAnsi="Times New Roman" w:cs="Times New Roman"/>
                      <w:color w:val="0000FF"/>
                    </w:rPr>
                    <w:t>溶于水</w:t>
                  </w:r>
                  <w:r>
                    <w:rPr>
                      <w:rFonts w:hint="eastAsia" w:cs="Times New Roman"/>
                      <w:color w:val="0000FF"/>
                      <w:lang w:eastAsia="zh-CN"/>
                    </w:rPr>
                    <w:t>、</w:t>
                  </w:r>
                  <w:r>
                    <w:rPr>
                      <w:rFonts w:hint="default" w:ascii="Times New Roman" w:hAnsi="Times New Roman" w:cs="Times New Roman"/>
                      <w:color w:val="0000FF"/>
                    </w:rPr>
                    <w:t>醇、</w:t>
                  </w:r>
                  <w:r>
                    <w:rPr>
                      <w:rFonts w:hint="eastAsia" w:cs="Times New Roman"/>
                      <w:color w:val="0000FF"/>
                      <w:lang w:val="en-US" w:eastAsia="zh-CN"/>
                    </w:rPr>
                    <w:t>氯仿</w:t>
                  </w:r>
                  <w:r>
                    <w:rPr>
                      <w:rFonts w:hint="default" w:ascii="Times New Roman" w:hAnsi="Times New Roman" w:cs="Times New Roman"/>
                      <w:color w:val="0000FF"/>
                    </w:rPr>
                    <w:t>。</w:t>
                  </w:r>
                </w:p>
              </w:tc>
            </w:tr>
            <w:tr w14:paraId="0B6CF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299186BC">
                  <w:pPr>
                    <w:widowControl/>
                    <w:jc w:val="left"/>
                    <w:rPr>
                      <w:rFonts w:hint="default" w:ascii="Times New Roman" w:hAnsi="Times New Roman" w:cs="Times New Roman"/>
                      <w:color w:val="0000FF"/>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630884B6">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熔点（℃）：－</w:t>
                  </w:r>
                  <w:r>
                    <w:rPr>
                      <w:rFonts w:hint="default" w:ascii="Times New Roman" w:hAnsi="Times New Roman" w:cs="Times New Roman"/>
                      <w:color w:val="0000FF"/>
                      <w:lang w:val="en-US" w:eastAsia="zh-CN"/>
                    </w:rPr>
                    <w:t>1</w:t>
                  </w:r>
                  <w:r>
                    <w:rPr>
                      <w:rFonts w:hint="eastAsia" w:cs="Times New Roman"/>
                      <w:color w:val="0000FF"/>
                      <w:lang w:val="en-US" w:eastAsia="zh-CN"/>
                    </w:rPr>
                    <w:t>38.4</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1B56975A">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沸点（℃）：</w:t>
                  </w:r>
                  <w:r>
                    <w:rPr>
                      <w:rFonts w:hint="default" w:ascii="Times New Roman" w:hAnsi="Times New Roman" w:cs="Times New Roman"/>
                      <w:color w:val="0000FF"/>
                      <w:lang w:val="en-US" w:eastAsia="zh-CN"/>
                    </w:rPr>
                    <w:t>-</w:t>
                  </w:r>
                  <w:r>
                    <w:rPr>
                      <w:rFonts w:hint="eastAsia" w:cs="Times New Roman"/>
                      <w:color w:val="0000FF"/>
                      <w:lang w:val="en-US" w:eastAsia="zh-CN"/>
                    </w:rPr>
                    <w:t>0.5</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2E11CF68">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相对密度（水＝1）：</w:t>
                  </w:r>
                  <w:r>
                    <w:rPr>
                      <w:rFonts w:hint="default" w:ascii="Times New Roman" w:hAnsi="Times New Roman" w:cs="Times New Roman"/>
                      <w:color w:val="0000FF"/>
                      <w:lang w:val="en-US" w:eastAsia="zh-CN"/>
                    </w:rPr>
                    <w:t>0.58</w:t>
                  </w:r>
                </w:p>
              </w:tc>
            </w:tr>
            <w:tr w14:paraId="662B8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235D9813">
                  <w:pPr>
                    <w:widowControl/>
                    <w:jc w:val="left"/>
                    <w:rPr>
                      <w:rFonts w:hint="default" w:ascii="Times New Roman" w:hAnsi="Times New Roman" w:cs="Times New Roman"/>
                      <w:color w:val="0000FF"/>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3D4CBC39">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临界温度（℃）：</w:t>
                  </w:r>
                  <w:r>
                    <w:rPr>
                      <w:rFonts w:hint="eastAsia" w:cs="Times New Roman"/>
                      <w:color w:val="0000FF"/>
                      <w:lang w:val="en-US" w:eastAsia="zh-CN"/>
                    </w:rPr>
                    <w:t>151.9</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48E7490A">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临界压力（MPa）：</w:t>
                  </w:r>
                  <w:r>
                    <w:rPr>
                      <w:rFonts w:hint="eastAsia" w:cs="Times New Roman"/>
                      <w:color w:val="0000FF"/>
                      <w:lang w:val="en-US" w:eastAsia="zh-CN"/>
                    </w:rPr>
                    <w:t>3.79</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30DE20A6">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相对密度（空气＝1）：</w:t>
                  </w:r>
                  <w:r>
                    <w:rPr>
                      <w:rFonts w:hint="eastAsia" w:cs="Times New Roman"/>
                      <w:color w:val="0000FF"/>
                      <w:lang w:val="en-US" w:eastAsia="zh-CN"/>
                    </w:rPr>
                    <w:t>2.05</w:t>
                  </w:r>
                </w:p>
              </w:tc>
            </w:tr>
            <w:tr w14:paraId="2560C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243CE316">
                  <w:pPr>
                    <w:widowControl/>
                    <w:jc w:val="left"/>
                    <w:rPr>
                      <w:rFonts w:hint="default" w:ascii="Times New Roman" w:hAnsi="Times New Roman" w:cs="Times New Roman"/>
                      <w:color w:val="0000FF"/>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419DF5C4">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燃烧热（KJ/mol）：</w:t>
                  </w:r>
                  <w:r>
                    <w:rPr>
                      <w:rFonts w:hint="default" w:ascii="Times New Roman" w:hAnsi="Times New Roman" w:cs="Times New Roman"/>
                      <w:color w:val="0000FF"/>
                      <w:lang w:val="en-US" w:eastAsia="zh-CN"/>
                    </w:rPr>
                    <w:t>2</w:t>
                  </w:r>
                  <w:r>
                    <w:rPr>
                      <w:rFonts w:hint="eastAsia" w:cs="Times New Roman"/>
                      <w:color w:val="0000FF"/>
                      <w:lang w:val="en-US" w:eastAsia="zh-CN"/>
                    </w:rPr>
                    <w:t>653</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0390A974">
                  <w:pPr>
                    <w:spacing w:line="320" w:lineRule="exact"/>
                    <w:rPr>
                      <w:rFonts w:hint="default" w:ascii="Times New Roman" w:hAnsi="Times New Roman" w:cs="Times New Roman"/>
                      <w:color w:val="0000FF"/>
                    </w:rPr>
                  </w:pPr>
                  <w:r>
                    <w:rPr>
                      <w:rFonts w:hint="default" w:ascii="Times New Roman" w:hAnsi="Times New Roman" w:cs="Times New Roman"/>
                      <w:color w:val="0000FF"/>
                    </w:rPr>
                    <w:t>最小点火能（mJ）：无资料</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66EA2523">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饱和蒸汽压（KPa）：</w:t>
                  </w:r>
                  <w:r>
                    <w:rPr>
                      <w:rFonts w:hint="eastAsia" w:cs="Times New Roman"/>
                      <w:color w:val="0000FF"/>
                      <w:lang w:val="en-US" w:eastAsia="zh-CN"/>
                    </w:rPr>
                    <w:t>106.39/0℃</w:t>
                  </w:r>
                </w:p>
              </w:tc>
            </w:tr>
            <w:tr w14:paraId="4976E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55E0F80E">
                  <w:pPr>
                    <w:spacing w:line="280" w:lineRule="exact"/>
                    <w:jc w:val="center"/>
                    <w:rPr>
                      <w:rFonts w:hint="default" w:ascii="Times New Roman" w:hAnsi="Times New Roman" w:cs="Times New Roman"/>
                      <w:color w:val="0000FF"/>
                    </w:rPr>
                  </w:pPr>
                  <w:r>
                    <w:rPr>
                      <w:rFonts w:hint="default" w:ascii="Times New Roman" w:hAnsi="Times New Roman" w:cs="Times New Roman"/>
                      <w:color w:val="0000FF"/>
                    </w:rPr>
                    <w:t>燃烧爆炸危险性</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78CCEA3A">
                  <w:pPr>
                    <w:spacing w:line="320" w:lineRule="exact"/>
                    <w:rPr>
                      <w:rFonts w:hint="default" w:ascii="Times New Roman" w:hAnsi="Times New Roman" w:cs="Times New Roman"/>
                      <w:color w:val="0000FF"/>
                    </w:rPr>
                  </w:pPr>
                  <w:r>
                    <w:rPr>
                      <w:rFonts w:hint="default" w:ascii="Times New Roman" w:hAnsi="Times New Roman" w:cs="Times New Roman"/>
                      <w:color w:val="0000FF"/>
                    </w:rPr>
                    <w:t>燃烧性：易燃</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192E4215">
                  <w:pPr>
                    <w:spacing w:line="320" w:lineRule="exact"/>
                    <w:rPr>
                      <w:rFonts w:hint="default" w:ascii="Times New Roman" w:hAnsi="Times New Roman" w:cs="Times New Roman"/>
                      <w:color w:val="0000FF"/>
                    </w:rPr>
                  </w:pPr>
                  <w:r>
                    <w:rPr>
                      <w:rFonts w:hint="default" w:ascii="Times New Roman" w:hAnsi="Times New Roman" w:cs="Times New Roman"/>
                      <w:color w:val="0000FF"/>
                    </w:rPr>
                    <w:t>燃烧分解产物：一氧化碳、二氧化碳。</w:t>
                  </w:r>
                </w:p>
              </w:tc>
            </w:tr>
            <w:tr w14:paraId="4FF08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6EAC4C3C">
                  <w:pPr>
                    <w:widowControl/>
                    <w:jc w:val="left"/>
                    <w:rPr>
                      <w:rFonts w:hint="default" w:ascii="Times New Roman" w:hAnsi="Times New Roman" w:cs="Times New Roman"/>
                      <w:color w:val="0000FF"/>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5D7C5656">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闪点（℃）：</w:t>
                  </w:r>
                  <w:r>
                    <w:rPr>
                      <w:rFonts w:hint="default" w:ascii="Times New Roman" w:hAnsi="Times New Roman" w:cs="Times New Roman"/>
                      <w:color w:val="0000FF"/>
                      <w:lang w:val="en-US" w:eastAsia="zh-CN"/>
                    </w:rPr>
                    <w:t>-</w:t>
                  </w:r>
                  <w:r>
                    <w:rPr>
                      <w:rFonts w:hint="eastAsia" w:cs="Times New Roman"/>
                      <w:color w:val="0000FF"/>
                      <w:lang w:val="en-US" w:eastAsia="zh-CN"/>
                    </w:rPr>
                    <w:t>60</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5BD14BDF">
                  <w:pPr>
                    <w:spacing w:line="320" w:lineRule="exact"/>
                    <w:rPr>
                      <w:rFonts w:hint="eastAsia" w:ascii="Times New Roman" w:hAnsi="Times New Roman" w:eastAsia="宋体" w:cs="Times New Roman"/>
                      <w:color w:val="0000FF"/>
                      <w:lang w:eastAsia="zh-CN"/>
                    </w:rPr>
                  </w:pPr>
                  <w:r>
                    <w:rPr>
                      <w:rFonts w:hint="default" w:ascii="Times New Roman" w:hAnsi="Times New Roman" w:cs="Times New Roman"/>
                      <w:color w:val="0000FF"/>
                    </w:rPr>
                    <w:t>聚合危害：</w:t>
                  </w:r>
                  <w:r>
                    <w:rPr>
                      <w:rFonts w:hint="eastAsia" w:cs="Times New Roman"/>
                      <w:color w:val="0000FF"/>
                      <w:lang w:val="en-US" w:eastAsia="zh-CN"/>
                    </w:rPr>
                    <w:t>不能出现</w:t>
                  </w:r>
                </w:p>
              </w:tc>
            </w:tr>
            <w:tr w14:paraId="7758C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36C692DD">
                  <w:pPr>
                    <w:widowControl/>
                    <w:jc w:val="left"/>
                    <w:rPr>
                      <w:rFonts w:hint="default" w:ascii="Times New Roman" w:hAnsi="Times New Roman" w:cs="Times New Roman"/>
                      <w:color w:val="0000FF"/>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72EC94F8">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爆炸下限（％）：</w:t>
                  </w:r>
                  <w:r>
                    <w:rPr>
                      <w:rFonts w:hint="eastAsia" w:cs="Times New Roman"/>
                      <w:color w:val="0000FF"/>
                      <w:lang w:val="en-US" w:eastAsia="zh-CN"/>
                    </w:rPr>
                    <w:t>1.5</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7C2B52EB">
                  <w:pPr>
                    <w:spacing w:line="320" w:lineRule="exact"/>
                    <w:rPr>
                      <w:rFonts w:hint="eastAsia" w:ascii="Times New Roman" w:hAnsi="Times New Roman" w:eastAsia="宋体" w:cs="Times New Roman"/>
                      <w:color w:val="0000FF"/>
                      <w:lang w:eastAsia="zh-CN"/>
                    </w:rPr>
                  </w:pPr>
                  <w:r>
                    <w:rPr>
                      <w:rFonts w:hint="default" w:ascii="Times New Roman" w:hAnsi="Times New Roman" w:cs="Times New Roman"/>
                      <w:color w:val="0000FF"/>
                    </w:rPr>
                    <w:t>稳定性：</w:t>
                  </w:r>
                  <w:r>
                    <w:rPr>
                      <w:rFonts w:hint="eastAsia" w:cs="Times New Roman"/>
                      <w:color w:val="0000FF"/>
                      <w:lang w:val="en-US" w:eastAsia="zh-CN"/>
                    </w:rPr>
                    <w:t>稳定</w:t>
                  </w:r>
                </w:p>
              </w:tc>
            </w:tr>
            <w:tr w14:paraId="24CC6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66F44FBF">
                  <w:pPr>
                    <w:widowControl/>
                    <w:jc w:val="left"/>
                    <w:rPr>
                      <w:rFonts w:hint="default" w:ascii="Times New Roman" w:hAnsi="Times New Roman" w:cs="Times New Roman"/>
                      <w:color w:val="0000FF"/>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50E28B5C">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爆炸上限（％）：</w:t>
                  </w:r>
                  <w:r>
                    <w:rPr>
                      <w:rFonts w:hint="eastAsia" w:cs="Times New Roman"/>
                      <w:color w:val="0000FF"/>
                      <w:lang w:val="en-US" w:eastAsia="zh-CN"/>
                    </w:rPr>
                    <w:t>8.5</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20FDCD29">
                  <w:pPr>
                    <w:spacing w:line="320" w:lineRule="exact"/>
                    <w:rPr>
                      <w:rFonts w:hint="default" w:ascii="Times New Roman" w:hAnsi="Times New Roman" w:cs="Times New Roman"/>
                      <w:color w:val="0000FF"/>
                    </w:rPr>
                  </w:pPr>
                  <w:r>
                    <w:rPr>
                      <w:rFonts w:hint="default" w:ascii="Times New Roman" w:hAnsi="Times New Roman" w:cs="Times New Roman"/>
                      <w:color w:val="0000FF"/>
                    </w:rPr>
                    <w:t>最大爆炸压力（MPa）：无资料</w:t>
                  </w:r>
                </w:p>
              </w:tc>
            </w:tr>
            <w:tr w14:paraId="146FE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222F1A0E">
                  <w:pPr>
                    <w:widowControl/>
                    <w:jc w:val="left"/>
                    <w:rPr>
                      <w:rFonts w:hint="default" w:ascii="Times New Roman" w:hAnsi="Times New Roman" w:cs="Times New Roman"/>
                      <w:color w:val="0000FF"/>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78514B35">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引燃温度（℃）：</w:t>
                  </w:r>
                  <w:r>
                    <w:rPr>
                      <w:rFonts w:hint="eastAsia" w:cs="Times New Roman"/>
                      <w:color w:val="0000FF"/>
                      <w:lang w:val="en-US" w:eastAsia="zh-CN"/>
                    </w:rPr>
                    <w:t>287</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0814099D">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禁忌物：强氧化剂</w:t>
                  </w:r>
                  <w:r>
                    <w:rPr>
                      <w:rFonts w:hint="default" w:ascii="Times New Roman" w:hAnsi="Times New Roman" w:cs="Times New Roman"/>
                      <w:color w:val="0000FF"/>
                      <w:lang w:eastAsia="zh-CN"/>
                    </w:rPr>
                    <w:t>、</w:t>
                  </w:r>
                  <w:r>
                    <w:rPr>
                      <w:rFonts w:hint="default" w:ascii="Times New Roman" w:hAnsi="Times New Roman" w:cs="Times New Roman"/>
                      <w:color w:val="0000FF"/>
                      <w:lang w:val="en-US" w:eastAsia="zh-CN"/>
                    </w:rPr>
                    <w:t>卤素。</w:t>
                  </w:r>
                </w:p>
              </w:tc>
            </w:tr>
            <w:tr w14:paraId="661A5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34871812">
                  <w:pPr>
                    <w:widowControl/>
                    <w:jc w:val="left"/>
                    <w:rPr>
                      <w:rFonts w:hint="default" w:ascii="Times New Roman" w:hAnsi="Times New Roman" w:cs="Times New Roman"/>
                      <w:color w:val="0000FF"/>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378B50FC">
                  <w:pPr>
                    <w:spacing w:line="320" w:lineRule="exact"/>
                    <w:rPr>
                      <w:rFonts w:hint="default" w:ascii="Times New Roman" w:hAnsi="Times New Roman" w:cs="Times New Roman"/>
                      <w:color w:val="0000FF"/>
                    </w:rPr>
                  </w:pPr>
                  <w:r>
                    <w:rPr>
                      <w:rFonts w:hint="default" w:ascii="Times New Roman" w:hAnsi="Times New Roman" w:cs="Times New Roman"/>
                      <w:color w:val="0000FF"/>
                    </w:rPr>
                    <w:t>危险特性：与空气混合能形成爆炸性混合物，遇明火、高热能引起燃烧爆炸。其蒸气比空气重，能在较低处扩散到相当远的地方，遇火源引着回燃。若遇高热，容器内压增大，有开裂和爆炸的危险。</w:t>
                  </w:r>
                </w:p>
              </w:tc>
            </w:tr>
            <w:tr w14:paraId="4B197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2F1B2AD2">
                  <w:pPr>
                    <w:widowControl/>
                    <w:jc w:val="left"/>
                    <w:rPr>
                      <w:rFonts w:hint="default" w:ascii="Times New Roman" w:hAnsi="Times New Roman" w:cs="Times New Roman"/>
                      <w:color w:val="0000FF"/>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32EB4E6D">
                  <w:pPr>
                    <w:spacing w:line="320" w:lineRule="exact"/>
                    <w:rPr>
                      <w:rFonts w:hint="default" w:ascii="Times New Roman" w:hAnsi="Times New Roman" w:cs="Times New Roman"/>
                      <w:color w:val="0000FF"/>
                    </w:rPr>
                  </w:pPr>
                  <w:r>
                    <w:rPr>
                      <w:rFonts w:hint="default" w:ascii="Times New Roman" w:hAnsi="Times New Roman" w:cs="Times New Roman"/>
                      <w:color w:val="0000FF"/>
                    </w:rPr>
                    <w:t>灭火</w:t>
                  </w:r>
                  <w:r>
                    <w:rPr>
                      <w:rFonts w:hint="eastAsia" w:cs="Times New Roman"/>
                      <w:color w:val="0000FF"/>
                      <w:lang w:val="en-US" w:eastAsia="zh-CN"/>
                    </w:rPr>
                    <w:t>方法</w:t>
                  </w:r>
                  <w:r>
                    <w:rPr>
                      <w:rFonts w:hint="default" w:ascii="Times New Roman" w:hAnsi="Times New Roman" w:cs="Times New Roman"/>
                      <w:color w:val="0000FF"/>
                    </w:rPr>
                    <w:t>：切断气源。若不能立即切断气源，则不允许熄灭正在燃烧的气体。喷水冷却容器，可能的话将容器从火场移至空旷处。雾状水、泡沫、二氧化碳。</w:t>
                  </w:r>
                </w:p>
              </w:tc>
            </w:tr>
            <w:tr w14:paraId="61147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28F4F850">
                  <w:pPr>
                    <w:jc w:val="center"/>
                    <w:rPr>
                      <w:rFonts w:hint="default" w:ascii="Times New Roman" w:hAnsi="Times New Roman" w:cs="Times New Roman"/>
                      <w:color w:val="0000FF"/>
                    </w:rPr>
                  </w:pPr>
                  <w:r>
                    <w:rPr>
                      <w:rFonts w:hint="default" w:ascii="Times New Roman" w:hAnsi="Times New Roman" w:cs="Times New Roman"/>
                      <w:color w:val="0000FF"/>
                    </w:rPr>
                    <w:t>毒性</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4E39788B">
                  <w:pPr>
                    <w:spacing w:line="32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接触限值： 中国MAC（mg/m</w:t>
                  </w:r>
                  <w:r>
                    <w:rPr>
                      <w:rFonts w:hint="default" w:ascii="Times New Roman" w:hAnsi="Times New Roman" w:cs="Times New Roman"/>
                      <w:color w:val="0000FF"/>
                      <w:vertAlign w:val="superscript"/>
                    </w:rPr>
                    <w:t>3</w:t>
                  </w:r>
                  <w:r>
                    <w:rPr>
                      <w:rFonts w:hint="default" w:ascii="Times New Roman" w:hAnsi="Times New Roman" w:cs="Times New Roman"/>
                      <w:color w:val="0000FF"/>
                    </w:rPr>
                    <w:t>） 未制定标准    前苏联 MAC（mg/m</w:t>
                  </w:r>
                  <w:r>
                    <w:rPr>
                      <w:rFonts w:hint="default" w:ascii="Times New Roman" w:hAnsi="Times New Roman" w:cs="Times New Roman"/>
                      <w:color w:val="0000FF"/>
                      <w:vertAlign w:val="superscript"/>
                    </w:rPr>
                    <w:t>3</w:t>
                  </w:r>
                  <w:r>
                    <w:rPr>
                      <w:rFonts w:hint="default" w:ascii="Times New Roman" w:hAnsi="Times New Roman" w:cs="Times New Roman"/>
                      <w:color w:val="0000FF"/>
                    </w:rPr>
                    <w:t xml:space="preserve">） </w:t>
                  </w:r>
                  <w:r>
                    <w:rPr>
                      <w:rFonts w:hint="default" w:ascii="Times New Roman" w:hAnsi="Times New Roman" w:cs="Times New Roman"/>
                      <w:color w:val="0000FF"/>
                      <w:lang w:val="en-US" w:eastAsia="zh-CN"/>
                    </w:rPr>
                    <w:t>300</w:t>
                  </w:r>
                </w:p>
                <w:p w14:paraId="7EFC05F3">
                  <w:pPr>
                    <w:spacing w:line="320" w:lineRule="exact"/>
                    <w:rPr>
                      <w:rFonts w:hint="default" w:ascii="Times New Roman" w:hAnsi="Times New Roman" w:cs="Times New Roman"/>
                      <w:color w:val="0000FF"/>
                    </w:rPr>
                  </w:pPr>
                  <w:r>
                    <w:rPr>
                      <w:rFonts w:hint="default" w:ascii="Times New Roman" w:hAnsi="Times New Roman" w:cs="Times New Roman"/>
                      <w:color w:val="0000FF"/>
                    </w:rPr>
                    <w:t>毒理资料：LD50</w:t>
                  </w:r>
                  <w:r>
                    <w:rPr>
                      <w:rFonts w:hint="eastAsia" w:cs="Times New Roman"/>
                      <w:color w:val="0000FF"/>
                      <w:lang w:eastAsia="zh-CN"/>
                    </w:rPr>
                    <w:t>：</w:t>
                  </w:r>
                  <w:r>
                    <w:rPr>
                      <w:rFonts w:hint="eastAsia" w:cs="Times New Roman"/>
                      <w:color w:val="0000FF"/>
                      <w:lang w:val="en-US" w:eastAsia="zh-CN"/>
                    </w:rPr>
                    <w:t>/；</w:t>
                  </w:r>
                  <w:r>
                    <w:rPr>
                      <w:rFonts w:hint="default" w:ascii="Times New Roman" w:hAnsi="Times New Roman" w:cs="Times New Roman"/>
                      <w:color w:val="0000FF"/>
                    </w:rPr>
                    <w:t>LC50:658000mg/m</w:t>
                  </w:r>
                  <w:r>
                    <w:rPr>
                      <w:rFonts w:hint="default" w:ascii="Times New Roman" w:hAnsi="Times New Roman" w:cs="Times New Roman"/>
                      <w:color w:val="0000FF"/>
                      <w:vertAlign w:val="superscript"/>
                    </w:rPr>
                    <w:t>3</w:t>
                  </w:r>
                  <w:r>
                    <w:rPr>
                      <w:rFonts w:hint="default" w:ascii="Times New Roman" w:hAnsi="Times New Roman" w:cs="Times New Roman"/>
                      <w:color w:val="0000FF"/>
                    </w:rPr>
                    <w:t>4小时(大鼠吸入)</w:t>
                  </w:r>
                </w:p>
              </w:tc>
            </w:tr>
            <w:tr w14:paraId="62FC8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38" w:type="pct"/>
                  <w:tcBorders>
                    <w:top w:val="single" w:color="auto" w:sz="4" w:space="0"/>
                    <w:left w:val="single" w:color="auto" w:sz="4" w:space="0"/>
                    <w:bottom w:val="single" w:color="auto" w:sz="4" w:space="0"/>
                    <w:right w:val="single" w:color="auto" w:sz="4" w:space="0"/>
                  </w:tcBorders>
                  <w:noWrap w:val="0"/>
                  <w:vAlign w:val="center"/>
                </w:tcPr>
                <w:p w14:paraId="34E4257F">
                  <w:pPr>
                    <w:spacing w:line="240" w:lineRule="exact"/>
                    <w:jc w:val="center"/>
                    <w:rPr>
                      <w:rFonts w:hint="default" w:ascii="Times New Roman" w:hAnsi="Times New Roman" w:cs="Times New Roman"/>
                      <w:color w:val="0000FF"/>
                    </w:rPr>
                  </w:pPr>
                  <w:r>
                    <w:rPr>
                      <w:rFonts w:hint="default" w:ascii="Times New Roman" w:hAnsi="Times New Roman" w:cs="Times New Roman"/>
                      <w:color w:val="0000FF"/>
                    </w:rPr>
                    <w:t>对人体危害</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675E88B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FF"/>
                    </w:rPr>
                  </w:pPr>
                  <w:r>
                    <w:rPr>
                      <w:rFonts w:hint="default" w:ascii="Times New Roman" w:hAnsi="Times New Roman" w:cs="Times New Roman"/>
                      <w:color w:val="0000FF"/>
                    </w:rPr>
                    <w:t>侵入途径： 吸入。</w:t>
                  </w:r>
                </w:p>
                <w:p w14:paraId="1F1F822E">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FF"/>
                    </w:rPr>
                  </w:pPr>
                  <w:r>
                    <w:rPr>
                      <w:rFonts w:hint="default" w:ascii="Times New Roman" w:hAnsi="Times New Roman" w:cs="Times New Roman"/>
                      <w:color w:val="0000FF"/>
                    </w:rPr>
                    <w:t>健康危害：主要作用是麻醉和弱刺激。急性中毒:主要表现为头痛、头晕、嗜睡、恶心、酒醉状态，严重者可出现昏迷。慢性影响:出现头痛、头晕、睡眠不佳、易疲倦等症状。</w:t>
                  </w:r>
                </w:p>
              </w:tc>
            </w:tr>
            <w:tr w14:paraId="14C44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43A8D083">
                  <w:pPr>
                    <w:spacing w:line="320" w:lineRule="exact"/>
                    <w:jc w:val="center"/>
                    <w:rPr>
                      <w:rFonts w:hint="default" w:ascii="Times New Roman" w:hAnsi="Times New Roman" w:cs="Times New Roman"/>
                      <w:color w:val="0000FF"/>
                    </w:rPr>
                  </w:pPr>
                  <w:r>
                    <w:rPr>
                      <w:rFonts w:hint="default" w:ascii="Times New Roman" w:hAnsi="Times New Roman" w:cs="Times New Roman"/>
                      <w:color w:val="0000FF"/>
                    </w:rPr>
                    <w:t>急救</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6C899747">
                  <w:pPr>
                    <w:spacing w:line="300" w:lineRule="exact"/>
                    <w:rPr>
                      <w:rFonts w:hint="default" w:ascii="Times New Roman" w:hAnsi="Times New Roman" w:cs="Times New Roman"/>
                      <w:color w:val="0000FF"/>
                    </w:rPr>
                  </w:pPr>
                  <w:r>
                    <w:rPr>
                      <w:rFonts w:hint="default" w:ascii="Times New Roman" w:hAnsi="Times New Roman" w:cs="Times New Roman"/>
                      <w:color w:val="0000FF"/>
                    </w:rPr>
                    <w:t>吸入：迅速脱离现场至空气新鲜处。注意保暖，呼吸困难时给输氧。呼吸及心跳停止者立即进行人工呼吸和心脏按压术。就医。</w:t>
                  </w:r>
                </w:p>
              </w:tc>
            </w:tr>
            <w:tr w14:paraId="25275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12ACE425">
                  <w:pPr>
                    <w:spacing w:line="500" w:lineRule="exact"/>
                    <w:jc w:val="center"/>
                    <w:rPr>
                      <w:rFonts w:hint="default" w:ascii="Times New Roman" w:hAnsi="Times New Roman" w:cs="Times New Roman"/>
                      <w:color w:val="0000FF"/>
                    </w:rPr>
                  </w:pPr>
                  <w:r>
                    <w:rPr>
                      <w:rFonts w:hint="default" w:ascii="Times New Roman" w:hAnsi="Times New Roman" w:cs="Times New Roman"/>
                      <w:color w:val="0000FF"/>
                    </w:rPr>
                    <w:t>防护</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0F2937C7">
                  <w:pPr>
                    <w:spacing w:line="30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工程防护：</w:t>
                  </w:r>
                  <w:r>
                    <w:rPr>
                      <w:rFonts w:hint="default" w:ascii="Times New Roman" w:hAnsi="Times New Roman" w:cs="Times New Roman"/>
                      <w:color w:val="0000FF"/>
                      <w:lang w:val="en-US" w:eastAsia="zh-CN"/>
                    </w:rPr>
                    <w:t>生产过程密闭，全面通风。</w:t>
                  </w:r>
                </w:p>
                <w:p w14:paraId="3CF839FC">
                  <w:pPr>
                    <w:pStyle w:val="15"/>
                    <w:rPr>
                      <w:rFonts w:hint="default" w:ascii="Times New Roman" w:hAnsi="Times New Roman" w:cs="Times New Roman"/>
                      <w:color w:val="0000FF"/>
                      <w:lang w:eastAsia="zh-CN"/>
                    </w:rPr>
                  </w:pPr>
                  <w:r>
                    <w:rPr>
                      <w:rFonts w:hint="default" w:ascii="Times New Roman" w:hAnsi="Times New Roman" w:cs="Times New Roman"/>
                      <w:color w:val="0000FF"/>
                    </w:rPr>
                    <w:t>呼吸系统防护</w:t>
                  </w:r>
                  <w:r>
                    <w:rPr>
                      <w:rFonts w:hint="default" w:ascii="Times New Roman" w:hAnsi="Times New Roman" w:cs="Times New Roman"/>
                      <w:color w:val="0000FF"/>
                      <w:lang w:eastAsia="zh-CN"/>
                    </w:rPr>
                    <w:t>：</w:t>
                  </w:r>
                  <w:r>
                    <w:rPr>
                      <w:rFonts w:hint="default" w:ascii="Times New Roman" w:hAnsi="Times New Roman" w:cs="Times New Roman"/>
                      <w:color w:val="0000FF"/>
                      <w:lang w:val="en-US" w:eastAsia="zh-CN"/>
                    </w:rPr>
                    <w:t>高浓度环境中，佩带供气式呼吸器。</w:t>
                  </w:r>
                </w:p>
                <w:p w14:paraId="7A1BA203">
                  <w:pPr>
                    <w:pStyle w:val="15"/>
                    <w:rPr>
                      <w:rFonts w:hint="default" w:ascii="Times New Roman" w:hAnsi="Times New Roman" w:cs="Times New Roman"/>
                      <w:color w:val="0000FF"/>
                      <w:lang w:eastAsia="zh-CN"/>
                    </w:rPr>
                  </w:pPr>
                  <w:r>
                    <w:rPr>
                      <w:rFonts w:hint="default" w:ascii="Times New Roman" w:hAnsi="Times New Roman" w:cs="Times New Roman"/>
                      <w:color w:val="0000FF"/>
                      <w:lang w:eastAsia="zh-CN"/>
                    </w:rPr>
                    <w:t>眼睛防护：</w:t>
                  </w:r>
                  <w:r>
                    <w:rPr>
                      <w:rFonts w:hint="default" w:ascii="Times New Roman" w:hAnsi="Times New Roman" w:cs="Times New Roman"/>
                      <w:color w:val="0000FF"/>
                      <w:lang w:val="en-US" w:eastAsia="zh-CN"/>
                    </w:rPr>
                    <w:t>一</w:t>
                  </w:r>
                  <w:r>
                    <w:rPr>
                      <w:rFonts w:hint="default" w:ascii="Times New Roman" w:hAnsi="Times New Roman" w:cs="Times New Roman"/>
                      <w:color w:val="0000FF"/>
                      <w:lang w:eastAsia="zh-CN"/>
                    </w:rPr>
                    <w:t>般不需要特殊防护，高浓度接触时可戴安全防护眼镜。</w:t>
                  </w:r>
                </w:p>
                <w:p w14:paraId="5A7FD31F">
                  <w:pPr>
                    <w:pStyle w:val="15"/>
                    <w:rPr>
                      <w:rFonts w:hint="default" w:ascii="Times New Roman" w:hAnsi="Times New Roman" w:cs="Times New Roman"/>
                      <w:color w:val="0000FF"/>
                      <w:lang w:eastAsia="zh-CN"/>
                    </w:rPr>
                  </w:pPr>
                  <w:r>
                    <w:rPr>
                      <w:rFonts w:hint="default" w:ascii="Times New Roman" w:hAnsi="Times New Roman" w:cs="Times New Roman"/>
                      <w:color w:val="0000FF"/>
                      <w:lang w:eastAsia="zh-CN"/>
                    </w:rPr>
                    <w:t>身体防护</w:t>
                  </w:r>
                  <w:r>
                    <w:rPr>
                      <w:rFonts w:hint="eastAsia" w:ascii="Times New Roman" w:hAnsi="Times New Roman" w:cs="Times New Roman"/>
                      <w:color w:val="0000FF"/>
                      <w:lang w:eastAsia="zh-CN"/>
                    </w:rPr>
                    <w:t>：</w:t>
                  </w:r>
                  <w:r>
                    <w:rPr>
                      <w:rFonts w:hint="default" w:ascii="Times New Roman" w:hAnsi="Times New Roman" w:cs="Times New Roman"/>
                      <w:color w:val="0000FF"/>
                      <w:lang w:eastAsia="zh-CN"/>
                    </w:rPr>
                    <w:t>穿防静电工作服。</w:t>
                  </w:r>
                </w:p>
                <w:p w14:paraId="64574057">
                  <w:pPr>
                    <w:pStyle w:val="15"/>
                    <w:rPr>
                      <w:rFonts w:hint="default" w:ascii="Times New Roman" w:hAnsi="Times New Roman" w:cs="Times New Roman"/>
                      <w:color w:val="0000FF"/>
                      <w:lang w:eastAsia="zh-CN"/>
                    </w:rPr>
                  </w:pPr>
                  <w:r>
                    <w:rPr>
                      <w:rFonts w:hint="default" w:ascii="Times New Roman" w:hAnsi="Times New Roman" w:cs="Times New Roman"/>
                      <w:color w:val="0000FF"/>
                      <w:lang w:eastAsia="zh-CN"/>
                    </w:rPr>
                    <w:t>手防护</w:t>
                  </w:r>
                  <w:r>
                    <w:rPr>
                      <w:rFonts w:hint="eastAsia" w:ascii="Times New Roman" w:hAnsi="Times New Roman" w:cs="Times New Roman"/>
                      <w:color w:val="0000FF"/>
                      <w:lang w:eastAsia="zh-CN"/>
                    </w:rPr>
                    <w:t>：</w:t>
                  </w:r>
                  <w:r>
                    <w:rPr>
                      <w:rFonts w:hint="eastAsia" w:ascii="Times New Roman" w:hAnsi="Times New Roman" w:cs="Times New Roman"/>
                      <w:color w:val="0000FF"/>
                      <w:lang w:val="en-US" w:eastAsia="zh-CN"/>
                    </w:rPr>
                    <w:t>一</w:t>
                  </w:r>
                  <w:r>
                    <w:rPr>
                      <w:rFonts w:hint="default" w:ascii="Times New Roman" w:hAnsi="Times New Roman" w:cs="Times New Roman"/>
                      <w:color w:val="0000FF"/>
                      <w:lang w:eastAsia="zh-CN"/>
                    </w:rPr>
                    <w:t>般不需特殊防护，高浓度接触时可戴防护手套。。</w:t>
                  </w:r>
                </w:p>
                <w:p w14:paraId="1BACCA49">
                  <w:pPr>
                    <w:pStyle w:val="15"/>
                    <w:rPr>
                      <w:rFonts w:hint="default" w:ascii="Times New Roman" w:hAnsi="Times New Roman" w:cs="Times New Roman"/>
                      <w:color w:val="0000FF"/>
                      <w:lang w:eastAsia="zh-CN"/>
                    </w:rPr>
                  </w:pPr>
                  <w:r>
                    <w:rPr>
                      <w:rFonts w:hint="default" w:ascii="Times New Roman" w:hAnsi="Times New Roman" w:cs="Times New Roman"/>
                      <w:color w:val="0000FF"/>
                      <w:lang w:eastAsia="zh-CN"/>
                    </w:rPr>
                    <w:t>其他防护</w:t>
                  </w:r>
                  <w:r>
                    <w:rPr>
                      <w:rFonts w:hint="eastAsia" w:ascii="Times New Roman" w:hAnsi="Times New Roman" w:cs="Times New Roman"/>
                      <w:color w:val="0000FF"/>
                      <w:lang w:eastAsia="zh-CN"/>
                    </w:rPr>
                    <w:t>：</w:t>
                  </w:r>
                  <w:r>
                    <w:rPr>
                      <w:rFonts w:hint="default" w:ascii="Times New Roman" w:hAnsi="Times New Roman" w:cs="Times New Roman"/>
                      <w:color w:val="0000FF"/>
                      <w:lang w:eastAsia="zh-CN"/>
                    </w:rPr>
                    <w:t>工作现场严禁吸烟。避免长期反复接触。进入罐、限制性空间或其它高浓度区作业，须有人监护。</w:t>
                  </w:r>
                </w:p>
                <w:p w14:paraId="449F9A84">
                  <w:pPr>
                    <w:pStyle w:val="15"/>
                    <w:rPr>
                      <w:rFonts w:hint="default" w:ascii="Times New Roman" w:hAnsi="Times New Roman" w:cs="Times New Roman"/>
                      <w:color w:val="0000FF"/>
                    </w:rPr>
                  </w:pPr>
                  <w:r>
                    <w:rPr>
                      <w:rFonts w:hint="default" w:ascii="Times New Roman" w:hAnsi="Times New Roman" w:cs="Times New Roman"/>
                      <w:color w:val="0000FF"/>
                    </w:rPr>
                    <w:t>个人防护：空气中浓度较高时，建议佩戴自吸过滤式防毒面具（半面罩）。眼睛防护要戴安全防护眼镜；穿防毒物渗透工作服；戴乳胶手套。工作现场严禁吸烟。工作毕，淋浴更衣。注意个人清洁卫生。</w:t>
                  </w:r>
                </w:p>
              </w:tc>
            </w:tr>
            <w:tr w14:paraId="65ACF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0685C0B4">
                  <w:pPr>
                    <w:spacing w:line="300" w:lineRule="exact"/>
                    <w:jc w:val="center"/>
                    <w:rPr>
                      <w:rFonts w:hint="default" w:ascii="Times New Roman" w:hAnsi="Times New Roman" w:cs="Times New Roman"/>
                      <w:color w:val="0000FF"/>
                    </w:rPr>
                  </w:pPr>
                  <w:r>
                    <w:rPr>
                      <w:rFonts w:hint="default" w:ascii="Times New Roman" w:hAnsi="Times New Roman" w:cs="Times New Roman"/>
                      <w:color w:val="0000FF"/>
                    </w:rPr>
                    <w:t>泄漏处理</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7D3551EE">
                  <w:pPr>
                    <w:spacing w:line="300" w:lineRule="exact"/>
                    <w:rPr>
                      <w:rFonts w:hint="default" w:ascii="Times New Roman" w:hAnsi="Times New Roman" w:cs="Times New Roman"/>
                      <w:color w:val="0000FF"/>
                    </w:rPr>
                  </w:pPr>
                  <w:r>
                    <w:rPr>
                      <w:rFonts w:hint="default" w:ascii="Times New Roman" w:hAnsi="Times New Roman" w:cs="Times New Roman"/>
                      <w:color w:val="0000FF"/>
                    </w:rPr>
                    <w:t>迅速撤离泄漏污染区人员至上风处，并隔离直至气体散尽，切断火源。建议应急处理人员戴自给式呼吸器，穿一般消防防护服。切断气源，喷雾状水稀释、溶解，将漏出气用排风机送至空旷地方或装设适当喷头烧掉。抽排(室内)或强力通风(室外)。漏气容器不能再用，且要经过技术处理以清除可能剩下的气体。</w:t>
                  </w:r>
                </w:p>
              </w:tc>
            </w:tr>
            <w:tr w14:paraId="1AB48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1DBB65D0">
                  <w:pPr>
                    <w:spacing w:line="300" w:lineRule="exact"/>
                    <w:jc w:val="center"/>
                    <w:rPr>
                      <w:rFonts w:hint="default" w:ascii="Times New Roman" w:hAnsi="Times New Roman" w:eastAsia="宋体" w:cs="Times New Roman"/>
                      <w:color w:val="0000FF"/>
                      <w:lang w:val="en-US" w:eastAsia="zh-CN"/>
                    </w:rPr>
                  </w:pPr>
                  <w:r>
                    <w:rPr>
                      <w:rFonts w:hint="eastAsia" w:cs="Times New Roman"/>
                      <w:color w:val="0000FF"/>
                      <w:lang w:val="en-US" w:eastAsia="zh-CN"/>
                    </w:rPr>
                    <w:t>储存注意事项</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6BC32924">
                  <w:pPr>
                    <w:spacing w:line="300" w:lineRule="exact"/>
                    <w:rPr>
                      <w:rFonts w:hint="default" w:ascii="Times New Roman" w:hAnsi="Times New Roman" w:cs="Times New Roman"/>
                      <w:color w:val="0000FF"/>
                    </w:rPr>
                  </w:pPr>
                  <w:r>
                    <w:rPr>
                      <w:rFonts w:hint="default" w:ascii="Times New Roman" w:hAnsi="Times New Roman" w:cs="Times New Roman"/>
                      <w:color w:val="0000FF"/>
                    </w:rPr>
                    <w:t>易燃压缩气体。储存于阴凉、通风仓间内。仓温不宜超过30℃。远离火种、热源。防止阳光直射。应与氧气、压缩空气、氧化剂等分开存放。储存间内的照明、通风等设施应采用防爆型，开关设在仓外。配备相应品种和数量的消防器材。罐储时要有防火防爆技术措施。露天贮罐夏季要有降温措施。禁止使用易产生火花的机械设备和工具。验收时要注意品名’，注意验瓶日期，先进仓的先发用。搬运时轻装轻卸，防止钢瓶及附件破损。</w:t>
                  </w:r>
                </w:p>
              </w:tc>
            </w:tr>
            <w:tr w14:paraId="092A4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8" w:hRule="atLeast"/>
              </w:trPr>
              <w:tc>
                <w:tcPr>
                  <w:tcW w:w="238" w:type="pct"/>
                  <w:tcBorders>
                    <w:top w:val="single" w:color="auto" w:sz="4" w:space="0"/>
                    <w:left w:val="single" w:color="auto" w:sz="4" w:space="0"/>
                    <w:bottom w:val="single" w:color="auto" w:sz="4" w:space="0"/>
                    <w:right w:val="single" w:color="auto" w:sz="4" w:space="0"/>
                  </w:tcBorders>
                  <w:noWrap w:val="0"/>
                  <w:vAlign w:val="center"/>
                </w:tcPr>
                <w:p w14:paraId="56023122">
                  <w:pPr>
                    <w:spacing w:line="500" w:lineRule="atLeast"/>
                    <w:jc w:val="center"/>
                    <w:rPr>
                      <w:rFonts w:hint="default" w:ascii="Times New Roman" w:hAnsi="Times New Roman" w:cs="Times New Roman"/>
                      <w:color w:val="0000FF"/>
                    </w:rPr>
                  </w:pPr>
                  <w:r>
                    <w:rPr>
                      <w:rFonts w:hint="default" w:ascii="Times New Roman" w:hAnsi="Times New Roman" w:cs="Times New Roman"/>
                      <w:color w:val="0000FF"/>
                    </w:rPr>
                    <w:t>贮运</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256AB033">
                  <w:pPr>
                    <w:spacing w:line="300" w:lineRule="exact"/>
                    <w:rPr>
                      <w:rFonts w:hint="default" w:ascii="Times New Roman" w:hAnsi="Times New Roman" w:eastAsia="宋体" w:cs="Times New Roman"/>
                      <w:color w:val="0000FF"/>
                      <w:lang w:val="en-US" w:eastAsia="zh-CN"/>
                    </w:rPr>
                  </w:pPr>
                  <w:r>
                    <w:rPr>
                      <w:rFonts w:hint="default" w:ascii="Times New Roman" w:hAnsi="Times New Roman" w:cs="Times New Roman"/>
                      <w:color w:val="0000FF"/>
                    </w:rPr>
                    <w:t>包装标志：      UN编号：</w:t>
                  </w:r>
                  <w:r>
                    <w:rPr>
                      <w:rFonts w:hint="eastAsia" w:cs="Times New Roman"/>
                      <w:color w:val="0000FF"/>
                      <w:lang w:val="en-US" w:eastAsia="zh-CN"/>
                    </w:rPr>
                    <w:t>1011</w:t>
                  </w:r>
                  <w:r>
                    <w:rPr>
                      <w:rFonts w:hint="default" w:ascii="Times New Roman" w:hAnsi="Times New Roman" w:cs="Times New Roman"/>
                      <w:color w:val="0000FF"/>
                    </w:rPr>
                    <w:t xml:space="preserve">  包装分类：      包装方法：</w:t>
                  </w:r>
                  <w:r>
                    <w:rPr>
                      <w:rFonts w:hint="default" w:ascii="Times New Roman" w:hAnsi="Times New Roman" w:cs="Times New Roman"/>
                      <w:color w:val="0000FF"/>
                      <w:lang w:val="en-US" w:eastAsia="zh-CN"/>
                    </w:rPr>
                    <w:t>钢制气瓶</w:t>
                  </w:r>
                </w:p>
                <w:p w14:paraId="20712E04">
                  <w:pPr>
                    <w:spacing w:line="300" w:lineRule="exact"/>
                    <w:rPr>
                      <w:rFonts w:hint="default" w:ascii="Times New Roman" w:hAnsi="Times New Roman" w:cs="Times New Roman"/>
                      <w:color w:val="0000FF"/>
                    </w:rPr>
                  </w:pPr>
                  <w:r>
                    <w:rPr>
                      <w:rFonts w:hint="default" w:ascii="Times New Roman" w:hAnsi="Times New Roman" w:cs="Times New Roman"/>
                      <w:color w:val="0000FF"/>
                    </w:rPr>
                    <w:t>储运条件：储存于阴凉、通风的库房。远离火种、热源。库温不宜超过30℃。应与氧化剂、卤素分开存放，切忌混储。采用防爆型照明、通风设施。禁止使用易产生火花的机械设备和工具。储区应备有泄漏应急处理设备。</w:t>
                  </w:r>
                </w:p>
              </w:tc>
            </w:tr>
          </w:tbl>
          <w:p w14:paraId="58EB6883">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22" w:firstLineChars="200"/>
              <w:jc w:val="center"/>
              <w:textAlignment w:val="auto"/>
              <w:rPr>
                <w:rFonts w:hint="default" w:ascii="Times New Roman" w:hAnsi="Times New Roman" w:cs="Times New Roman"/>
                <w:b/>
                <w:bCs w:val="0"/>
                <w:color w:val="auto"/>
                <w:sz w:val="21"/>
                <w:szCs w:val="21"/>
                <w:lang w:val="en-US" w:eastAsia="zh-CN"/>
              </w:rPr>
            </w:pPr>
          </w:p>
          <w:p w14:paraId="7756E252">
            <w:pPr>
              <w:pStyle w:val="10"/>
              <w:keepNext w:val="0"/>
              <w:keepLines w:val="0"/>
              <w:pageBreakBefore w:val="0"/>
              <w:widowControl/>
              <w:kinsoku/>
              <w:wordWrap/>
              <w:overflowPunct/>
              <w:topLinePunct w:val="0"/>
              <w:autoSpaceDE/>
              <w:autoSpaceDN/>
              <w:bidi w:val="0"/>
              <w:adjustRightInd/>
              <w:snapToGrid w:val="0"/>
              <w:spacing w:before="0" w:after="0" w:line="360" w:lineRule="auto"/>
              <w:ind w:right="0" w:firstLine="482" w:firstLineChars="200"/>
              <w:jc w:val="left"/>
              <w:textAlignment w:val="auto"/>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5.2 气瓶检验站原料消耗情况</w:t>
            </w:r>
          </w:p>
          <w:p w14:paraId="2AB0676A">
            <w:pPr>
              <w:keepNext w:val="0"/>
              <w:keepLines w:val="0"/>
              <w:pageBreakBefore w:val="0"/>
              <w:widowControl/>
              <w:suppressLineNumbers w:val="0"/>
              <w:kinsoku/>
              <w:wordWrap/>
              <w:overflowPunct/>
              <w:topLinePunct w:val="0"/>
              <w:autoSpaceDE/>
              <w:autoSpaceDN/>
              <w:bidi w:val="0"/>
              <w:adjustRightInd/>
              <w:snapToGrid/>
              <w:spacing w:line="360" w:lineRule="auto"/>
              <w:ind w:right="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（1）主要原辅材料使用消耗情况</w:t>
            </w:r>
          </w:p>
          <w:p w14:paraId="1459B66D">
            <w:pPr>
              <w:pStyle w:val="10"/>
              <w:keepNext w:val="0"/>
              <w:keepLines w:val="0"/>
              <w:pageBreakBefore w:val="0"/>
              <w:widowControl/>
              <w:kinsoku/>
              <w:wordWrap/>
              <w:overflowPunct/>
              <w:topLinePunct w:val="0"/>
              <w:autoSpaceDE/>
              <w:autoSpaceDN/>
              <w:bidi w:val="0"/>
              <w:adjustRightInd/>
              <w:snapToGrid w:val="0"/>
              <w:spacing w:before="0" w:after="0" w:line="360" w:lineRule="auto"/>
              <w:ind w:right="0" w:firstLine="422" w:firstLineChars="200"/>
              <w:jc w:val="center"/>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bCs w:val="0"/>
                <w:color w:val="auto"/>
                <w:sz w:val="21"/>
                <w:szCs w:val="21"/>
              </w:rPr>
              <w:t>表2</w:t>
            </w:r>
            <w:r>
              <w:rPr>
                <w:rFonts w:hint="default" w:ascii="Times New Roman" w:hAnsi="Times New Roman" w:cs="Times New Roman"/>
                <w:b/>
                <w:bCs w:val="0"/>
                <w:color w:val="auto"/>
                <w:sz w:val="21"/>
                <w:szCs w:val="21"/>
                <w:lang w:val="en-US" w:eastAsia="zh-CN"/>
              </w:rPr>
              <w:t xml:space="preserve">.5-10  </w:t>
            </w:r>
            <w:r>
              <w:rPr>
                <w:rFonts w:hint="default" w:ascii="Times New Roman" w:hAnsi="Times New Roman" w:cs="Times New Roman"/>
                <w:b/>
                <w:bCs w:val="0"/>
                <w:color w:val="auto"/>
                <w:sz w:val="21"/>
                <w:szCs w:val="21"/>
              </w:rPr>
              <w:t xml:space="preserve">  </w:t>
            </w:r>
            <w:r>
              <w:rPr>
                <w:rFonts w:hint="default" w:ascii="Times New Roman" w:hAnsi="Times New Roman" w:cs="Times New Roman"/>
                <w:b/>
                <w:bCs w:val="0"/>
                <w:color w:val="auto"/>
                <w:sz w:val="21"/>
                <w:szCs w:val="21"/>
                <w:lang w:val="en-US" w:eastAsia="zh-CN"/>
              </w:rPr>
              <w:t>气瓶检验站主要原辅材料消耗情况一篮</w:t>
            </w:r>
            <w:r>
              <w:rPr>
                <w:rFonts w:hint="default" w:ascii="Times New Roman" w:hAnsi="Times New Roman" w:cs="Times New Roman"/>
                <w:b/>
                <w:bCs w:val="0"/>
                <w:color w:val="auto"/>
                <w:sz w:val="21"/>
                <w:szCs w:val="21"/>
              </w:rPr>
              <w:t>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0"/>
              <w:gridCol w:w="2196"/>
              <w:gridCol w:w="1730"/>
              <w:gridCol w:w="1126"/>
              <w:gridCol w:w="2162"/>
            </w:tblGrid>
            <w:tr w14:paraId="55BFF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Align w:val="center"/>
                </w:tcPr>
                <w:p w14:paraId="4923C8A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序号</w:t>
                  </w:r>
                </w:p>
              </w:tc>
              <w:tc>
                <w:tcPr>
                  <w:tcW w:w="1375" w:type="pct"/>
                  <w:vAlign w:val="center"/>
                </w:tcPr>
                <w:p w14:paraId="1E39F6A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名称</w:t>
                  </w:r>
                </w:p>
              </w:tc>
              <w:tc>
                <w:tcPr>
                  <w:tcW w:w="1083" w:type="pct"/>
                  <w:vAlign w:val="center"/>
                </w:tcPr>
                <w:p w14:paraId="618FC2B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单位</w:t>
                  </w:r>
                </w:p>
              </w:tc>
              <w:tc>
                <w:tcPr>
                  <w:tcW w:w="705" w:type="pct"/>
                  <w:vAlign w:val="center"/>
                </w:tcPr>
                <w:p w14:paraId="3FDA1C0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数量</w:t>
                  </w:r>
                </w:p>
              </w:tc>
              <w:tc>
                <w:tcPr>
                  <w:tcW w:w="1353" w:type="pct"/>
                  <w:vAlign w:val="center"/>
                </w:tcPr>
                <w:p w14:paraId="45D4E3AF">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备注说明</w:t>
                  </w:r>
                </w:p>
              </w:tc>
            </w:tr>
            <w:tr w14:paraId="169A5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Align w:val="center"/>
                </w:tcPr>
                <w:p w14:paraId="0ECA9A8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c>
                <w:tcPr>
                  <w:tcW w:w="1375" w:type="pct"/>
                  <w:shd w:val="clear" w:color="auto" w:fill="auto"/>
                  <w:vAlign w:val="center"/>
                </w:tcPr>
                <w:p w14:paraId="525FF93A">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废旧LPG/丙烷钢瓶</w:t>
                  </w:r>
                </w:p>
              </w:tc>
              <w:tc>
                <w:tcPr>
                  <w:tcW w:w="1083" w:type="pct"/>
                  <w:vAlign w:val="center"/>
                </w:tcPr>
                <w:p w14:paraId="31DF2C0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个/a</w:t>
                  </w:r>
                </w:p>
              </w:tc>
              <w:tc>
                <w:tcPr>
                  <w:tcW w:w="705" w:type="pct"/>
                  <w:vAlign w:val="center"/>
                </w:tcPr>
                <w:p w14:paraId="7AB17216">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60000</w:t>
                  </w:r>
                </w:p>
              </w:tc>
              <w:tc>
                <w:tcPr>
                  <w:tcW w:w="1353" w:type="pct"/>
                  <w:vAlign w:val="center"/>
                </w:tcPr>
                <w:p w14:paraId="50D28615">
                  <w:pPr>
                    <w:pStyle w:val="40"/>
                    <w:bidi w:val="0"/>
                    <w:jc w:val="center"/>
                    <w:rPr>
                      <w:rFonts w:hint="default" w:ascii="Times New Roman" w:hAnsi="Times New Roman" w:cs="Times New Roman"/>
                      <w:color w:val="0000FF"/>
                      <w:lang w:val="en-US" w:eastAsia="zh-CN"/>
                    </w:rPr>
                  </w:pPr>
                </w:p>
              </w:tc>
            </w:tr>
            <w:tr w14:paraId="6D57C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Align w:val="center"/>
                </w:tcPr>
                <w:p w14:paraId="4C815B6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w:t>
                  </w:r>
                </w:p>
              </w:tc>
              <w:tc>
                <w:tcPr>
                  <w:tcW w:w="1375" w:type="pct"/>
                  <w:shd w:val="clear" w:color="auto" w:fill="auto"/>
                  <w:vAlign w:val="center"/>
                </w:tcPr>
                <w:p w14:paraId="1BD04822">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废旧无缝钢瓶</w:t>
                  </w:r>
                </w:p>
              </w:tc>
              <w:tc>
                <w:tcPr>
                  <w:tcW w:w="1083" w:type="pct"/>
                  <w:vAlign w:val="center"/>
                </w:tcPr>
                <w:p w14:paraId="13A851C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个/a</w:t>
                  </w:r>
                </w:p>
              </w:tc>
              <w:tc>
                <w:tcPr>
                  <w:tcW w:w="705" w:type="pct"/>
                  <w:vAlign w:val="center"/>
                </w:tcPr>
                <w:p w14:paraId="70A9FCB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10000</w:t>
                  </w:r>
                </w:p>
              </w:tc>
              <w:tc>
                <w:tcPr>
                  <w:tcW w:w="1353" w:type="pct"/>
                  <w:vAlign w:val="center"/>
                </w:tcPr>
                <w:p w14:paraId="727438AA">
                  <w:pPr>
                    <w:pStyle w:val="40"/>
                    <w:bidi w:val="0"/>
                    <w:jc w:val="center"/>
                    <w:rPr>
                      <w:rFonts w:hint="default" w:ascii="Times New Roman" w:hAnsi="Times New Roman" w:cs="Times New Roman"/>
                      <w:color w:val="0000FF"/>
                      <w:lang w:val="en-US" w:eastAsia="zh-CN"/>
                    </w:rPr>
                  </w:pPr>
                </w:p>
              </w:tc>
            </w:tr>
            <w:tr w14:paraId="7CF68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Align w:val="center"/>
                </w:tcPr>
                <w:p w14:paraId="1F80078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w:t>
                  </w:r>
                </w:p>
              </w:tc>
              <w:tc>
                <w:tcPr>
                  <w:tcW w:w="1375" w:type="pct"/>
                  <w:vAlign w:val="center"/>
                </w:tcPr>
                <w:p w14:paraId="0050B74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钢丸</w:t>
                  </w:r>
                </w:p>
              </w:tc>
              <w:tc>
                <w:tcPr>
                  <w:tcW w:w="1083" w:type="pct"/>
                  <w:vAlign w:val="center"/>
                </w:tcPr>
                <w:p w14:paraId="6FD967D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t/a</w:t>
                  </w:r>
                </w:p>
              </w:tc>
              <w:tc>
                <w:tcPr>
                  <w:tcW w:w="705" w:type="pct"/>
                  <w:vAlign w:val="center"/>
                </w:tcPr>
                <w:p w14:paraId="336636DB">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w:t>
                  </w:r>
                </w:p>
              </w:tc>
              <w:tc>
                <w:tcPr>
                  <w:tcW w:w="1353" w:type="pct"/>
                  <w:vAlign w:val="center"/>
                </w:tcPr>
                <w:p w14:paraId="1EEDE883">
                  <w:pPr>
                    <w:pStyle w:val="40"/>
                    <w:bidi w:val="0"/>
                    <w:jc w:val="center"/>
                    <w:rPr>
                      <w:rFonts w:hint="default" w:ascii="Times New Roman" w:hAnsi="Times New Roman" w:cs="Times New Roman"/>
                      <w:color w:val="0000FF"/>
                      <w:lang w:val="en-US" w:eastAsia="zh-CN"/>
                    </w:rPr>
                  </w:pPr>
                </w:p>
              </w:tc>
            </w:tr>
            <w:tr w14:paraId="4BFCF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Align w:val="center"/>
                </w:tcPr>
                <w:p w14:paraId="4E26EBB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4</w:t>
                  </w:r>
                </w:p>
              </w:tc>
              <w:tc>
                <w:tcPr>
                  <w:tcW w:w="1375" w:type="pct"/>
                  <w:vAlign w:val="center"/>
                </w:tcPr>
                <w:p w14:paraId="39E2527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液化石油气</w:t>
                  </w:r>
                </w:p>
              </w:tc>
              <w:tc>
                <w:tcPr>
                  <w:tcW w:w="1083" w:type="pct"/>
                  <w:vAlign w:val="center"/>
                </w:tcPr>
                <w:p w14:paraId="68975FF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/a</w:t>
                  </w:r>
                </w:p>
              </w:tc>
              <w:tc>
                <w:tcPr>
                  <w:tcW w:w="705" w:type="pct"/>
                  <w:vAlign w:val="center"/>
                </w:tcPr>
                <w:p w14:paraId="06521241">
                  <w:pPr>
                    <w:pStyle w:val="40"/>
                    <w:bidi w:val="0"/>
                    <w:jc w:val="center"/>
                    <w:rPr>
                      <w:rFonts w:hint="default" w:ascii="Times New Roman" w:hAnsi="Times New Roman" w:cs="Times New Roman"/>
                      <w:color w:val="0000FF"/>
                      <w:lang w:val="en-US" w:eastAsia="zh-CN"/>
                    </w:rPr>
                  </w:pPr>
                  <w:r>
                    <w:rPr>
                      <w:rFonts w:hint="eastAsia" w:cs="Times New Roman"/>
                      <w:color w:val="0000FF"/>
                      <w:lang w:val="en-US" w:eastAsia="zh-CN"/>
                    </w:rPr>
                    <w:t>9</w:t>
                  </w:r>
                  <w:r>
                    <w:rPr>
                      <w:rFonts w:hint="default" w:ascii="Times New Roman" w:hAnsi="Times New Roman" w:cs="Times New Roman"/>
                      <w:color w:val="0000FF"/>
                      <w:lang w:val="en-US" w:eastAsia="zh-CN"/>
                    </w:rPr>
                    <w:t>000</w:t>
                  </w:r>
                </w:p>
              </w:tc>
              <w:tc>
                <w:tcPr>
                  <w:tcW w:w="1353" w:type="pct"/>
                  <w:vAlign w:val="center"/>
                </w:tcPr>
                <w:p w14:paraId="075A4A2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以年检60000只钢瓶计算</w:t>
                  </w:r>
                </w:p>
              </w:tc>
            </w:tr>
            <w:tr w14:paraId="47E03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Align w:val="center"/>
                </w:tcPr>
                <w:p w14:paraId="3143C34E">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w:t>
                  </w:r>
                </w:p>
              </w:tc>
              <w:tc>
                <w:tcPr>
                  <w:tcW w:w="1375" w:type="pct"/>
                  <w:vAlign w:val="center"/>
                </w:tcPr>
                <w:p w14:paraId="025F849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阀门</w:t>
                  </w:r>
                </w:p>
              </w:tc>
              <w:tc>
                <w:tcPr>
                  <w:tcW w:w="1083" w:type="pct"/>
                  <w:vAlign w:val="center"/>
                </w:tcPr>
                <w:p w14:paraId="78786E7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个/a</w:t>
                  </w:r>
                </w:p>
              </w:tc>
              <w:tc>
                <w:tcPr>
                  <w:tcW w:w="705" w:type="pct"/>
                  <w:vAlign w:val="center"/>
                </w:tcPr>
                <w:p w14:paraId="64F35CF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70000</w:t>
                  </w:r>
                </w:p>
              </w:tc>
              <w:tc>
                <w:tcPr>
                  <w:tcW w:w="1353" w:type="pct"/>
                  <w:vAlign w:val="center"/>
                </w:tcPr>
                <w:p w14:paraId="41D81EA7">
                  <w:pPr>
                    <w:pStyle w:val="40"/>
                    <w:bidi w:val="0"/>
                    <w:jc w:val="center"/>
                    <w:rPr>
                      <w:rFonts w:hint="default" w:ascii="Times New Roman" w:hAnsi="Times New Roman" w:cs="Times New Roman"/>
                      <w:color w:val="0000FF"/>
                      <w:lang w:val="en-US" w:eastAsia="zh-CN"/>
                    </w:rPr>
                  </w:pPr>
                </w:p>
              </w:tc>
            </w:tr>
            <w:tr w14:paraId="37024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Align w:val="center"/>
                </w:tcPr>
                <w:p w14:paraId="219E6475">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w:t>
                  </w:r>
                </w:p>
              </w:tc>
              <w:tc>
                <w:tcPr>
                  <w:tcW w:w="1375" w:type="pct"/>
                  <w:vAlign w:val="center"/>
                </w:tcPr>
                <w:p w14:paraId="54CF9BE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油墨</w:t>
                  </w:r>
                </w:p>
              </w:tc>
              <w:tc>
                <w:tcPr>
                  <w:tcW w:w="1083" w:type="pct"/>
                  <w:vAlign w:val="center"/>
                </w:tcPr>
                <w:p w14:paraId="3927691F">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t/a</w:t>
                  </w:r>
                </w:p>
              </w:tc>
              <w:tc>
                <w:tcPr>
                  <w:tcW w:w="705" w:type="pct"/>
                  <w:vAlign w:val="center"/>
                </w:tcPr>
                <w:p w14:paraId="58916501">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0.12</w:t>
                  </w:r>
                </w:p>
              </w:tc>
              <w:tc>
                <w:tcPr>
                  <w:tcW w:w="1353" w:type="pct"/>
                  <w:vAlign w:val="center"/>
                </w:tcPr>
                <w:p w14:paraId="67750286">
                  <w:pPr>
                    <w:pStyle w:val="40"/>
                    <w:bidi w:val="0"/>
                    <w:jc w:val="center"/>
                    <w:rPr>
                      <w:rFonts w:hint="default" w:ascii="Times New Roman" w:hAnsi="Times New Roman" w:cs="Times New Roman"/>
                      <w:color w:val="0000FF"/>
                      <w:lang w:val="en-US" w:eastAsia="zh-CN"/>
                    </w:rPr>
                  </w:pPr>
                </w:p>
              </w:tc>
            </w:tr>
            <w:tr w14:paraId="626BD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vAlign w:val="center"/>
                </w:tcPr>
                <w:p w14:paraId="302DE0C5">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7</w:t>
                  </w:r>
                </w:p>
              </w:tc>
              <w:tc>
                <w:tcPr>
                  <w:tcW w:w="1375" w:type="pct"/>
                  <w:vAlign w:val="center"/>
                </w:tcPr>
                <w:p w14:paraId="4480DC3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塑粉</w:t>
                  </w:r>
                </w:p>
              </w:tc>
              <w:tc>
                <w:tcPr>
                  <w:tcW w:w="1083" w:type="pct"/>
                  <w:vAlign w:val="center"/>
                </w:tcPr>
                <w:p w14:paraId="43344CD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t/a</w:t>
                  </w:r>
                </w:p>
              </w:tc>
              <w:tc>
                <w:tcPr>
                  <w:tcW w:w="705" w:type="pct"/>
                  <w:vAlign w:val="center"/>
                </w:tcPr>
                <w:p w14:paraId="6AC26E02">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7.22</w:t>
                  </w:r>
                </w:p>
              </w:tc>
              <w:tc>
                <w:tcPr>
                  <w:tcW w:w="1353" w:type="pct"/>
                  <w:vAlign w:val="center"/>
                </w:tcPr>
                <w:p w14:paraId="62C9289B">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主要成分为环氧树脂</w:t>
                  </w:r>
                </w:p>
              </w:tc>
            </w:tr>
          </w:tbl>
          <w:p w14:paraId="1731ADF7">
            <w:pPr>
              <w:keepNext w:val="0"/>
              <w:keepLines w:val="0"/>
              <w:pageBreakBefore w:val="0"/>
              <w:widowControl/>
              <w:suppressLineNumbers w:val="0"/>
              <w:kinsoku/>
              <w:wordWrap/>
              <w:overflowPunct/>
              <w:topLinePunct w:val="0"/>
              <w:autoSpaceDE/>
              <w:autoSpaceDN/>
              <w:bidi w:val="0"/>
              <w:adjustRightInd/>
              <w:snapToGrid/>
              <w:spacing w:before="313" w:beforeLines="100" w:line="360" w:lineRule="auto"/>
              <w:ind w:right="0" w:firstLine="480" w:firstLineChars="200"/>
              <w:jc w:val="left"/>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（2）主要原辅材料理化性能</w:t>
            </w:r>
          </w:p>
          <w:p w14:paraId="0465120B">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1）钢丸</w:t>
            </w:r>
          </w:p>
          <w:p w14:paraId="52598BB2">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default" w:ascii="Times New Roman" w:hAnsi="Times New Roman" w:eastAsia="Segoe UI" w:cs="Times New Roman"/>
                <w:i w:val="0"/>
                <w:iCs w:val="0"/>
                <w:caps w:val="0"/>
                <w:color w:val="0F1115"/>
                <w:spacing w:val="0"/>
                <w:sz w:val="24"/>
                <w:szCs w:val="24"/>
                <w:shd w:val="clear" w:fill="FFFFFF"/>
              </w:rPr>
              <w:t>抛丸用钢丸是一种常用的金属磨料，由高质量的钢水制成。其制造过程通常是将钢水熔化后，通过离心或喷吹等方式制成细小颗粒，然后进行淬火（使其变硬）和回火（使其韧性增强）处理。</w:t>
            </w:r>
            <w:r>
              <w:rPr>
                <w:rFonts w:hint="default" w:ascii="Times New Roman" w:hAnsi="Times New Roman" w:eastAsia="宋体" w:cs="Times New Roman"/>
                <w:i w:val="0"/>
                <w:iCs w:val="0"/>
                <w:caps w:val="0"/>
                <w:color w:val="0F1115"/>
                <w:spacing w:val="0"/>
                <w:sz w:val="24"/>
                <w:szCs w:val="24"/>
                <w:shd w:val="clear" w:fill="FFFFFF"/>
                <w:lang w:val="en-US" w:eastAsia="zh-CN"/>
              </w:rPr>
              <w:t>具有</w:t>
            </w:r>
            <w:r>
              <w:rPr>
                <w:rFonts w:hint="default" w:ascii="Times New Roman" w:hAnsi="Times New Roman" w:eastAsia="Segoe UI" w:cs="Times New Roman"/>
                <w:i w:val="0"/>
                <w:iCs w:val="0"/>
                <w:caps w:val="0"/>
                <w:color w:val="0F1115"/>
                <w:spacing w:val="0"/>
                <w:sz w:val="24"/>
                <w:szCs w:val="24"/>
                <w:shd w:val="clear" w:fill="FFFFFF"/>
              </w:rPr>
              <w:t>高硬度与良好韧性</w:t>
            </w:r>
            <w:r>
              <w:rPr>
                <w:rFonts w:hint="default" w:ascii="Times New Roman" w:hAnsi="Times New Roman" w:eastAsia="宋体" w:cs="Times New Roman"/>
                <w:i w:val="0"/>
                <w:iCs w:val="0"/>
                <w:caps w:val="0"/>
                <w:color w:val="0F1115"/>
                <w:spacing w:val="0"/>
                <w:sz w:val="24"/>
                <w:szCs w:val="24"/>
                <w:shd w:val="clear" w:fill="FFFFFF"/>
                <w:lang w:eastAsia="zh-CN"/>
              </w:rPr>
              <w:t>、</w:t>
            </w:r>
            <w:r>
              <w:rPr>
                <w:rFonts w:hint="default" w:ascii="Times New Roman" w:hAnsi="Times New Roman" w:eastAsia="Segoe UI" w:cs="Times New Roman"/>
                <w:i w:val="0"/>
                <w:iCs w:val="0"/>
                <w:caps w:val="0"/>
                <w:color w:val="0F1115"/>
                <w:spacing w:val="0"/>
                <w:sz w:val="24"/>
                <w:szCs w:val="24"/>
                <w:shd w:val="clear" w:fill="FFFFFF"/>
              </w:rPr>
              <w:t>使用寿命长</w:t>
            </w:r>
            <w:r>
              <w:rPr>
                <w:rFonts w:hint="default" w:ascii="Times New Roman" w:hAnsi="Times New Roman" w:eastAsia="宋体" w:cs="Times New Roman"/>
                <w:i w:val="0"/>
                <w:iCs w:val="0"/>
                <w:caps w:val="0"/>
                <w:color w:val="0F1115"/>
                <w:spacing w:val="0"/>
                <w:sz w:val="24"/>
                <w:szCs w:val="24"/>
                <w:shd w:val="clear" w:fill="FFFFFF"/>
                <w:lang w:eastAsia="zh-CN"/>
              </w:rPr>
              <w:t>、</w:t>
            </w:r>
            <w:r>
              <w:rPr>
                <w:rFonts w:hint="default" w:ascii="Times New Roman" w:hAnsi="Times New Roman" w:eastAsia="Segoe UI" w:cs="Times New Roman"/>
                <w:i w:val="0"/>
                <w:iCs w:val="0"/>
                <w:caps w:val="0"/>
                <w:color w:val="0F1115"/>
                <w:spacing w:val="0"/>
                <w:sz w:val="24"/>
                <w:szCs w:val="24"/>
                <w:shd w:val="clear" w:fill="FFFFFF"/>
              </w:rPr>
              <w:t>清理效果好</w:t>
            </w:r>
            <w:r>
              <w:rPr>
                <w:rFonts w:hint="default" w:ascii="Times New Roman" w:hAnsi="Times New Roman" w:eastAsia="宋体" w:cs="Times New Roman"/>
                <w:i w:val="0"/>
                <w:iCs w:val="0"/>
                <w:caps w:val="0"/>
                <w:color w:val="0F1115"/>
                <w:spacing w:val="0"/>
                <w:sz w:val="24"/>
                <w:szCs w:val="24"/>
                <w:shd w:val="clear" w:fill="FFFFFF"/>
                <w:lang w:eastAsia="zh-CN"/>
              </w:rPr>
              <w:t>、</w:t>
            </w:r>
            <w:r>
              <w:rPr>
                <w:rFonts w:hint="default" w:ascii="Times New Roman" w:hAnsi="Times New Roman" w:eastAsia="Segoe UI" w:cs="Times New Roman"/>
                <w:i w:val="0"/>
                <w:iCs w:val="0"/>
                <w:caps w:val="0"/>
                <w:color w:val="0F1115"/>
                <w:spacing w:val="0"/>
                <w:sz w:val="24"/>
                <w:szCs w:val="24"/>
                <w:shd w:val="clear" w:fill="FFFFFF"/>
              </w:rPr>
              <w:t>可循环回收</w:t>
            </w:r>
            <w:r>
              <w:rPr>
                <w:rFonts w:hint="default" w:ascii="Times New Roman" w:hAnsi="Times New Roman" w:eastAsia="宋体" w:cs="Times New Roman"/>
                <w:i w:val="0"/>
                <w:iCs w:val="0"/>
                <w:caps w:val="0"/>
                <w:color w:val="0F1115"/>
                <w:spacing w:val="0"/>
                <w:sz w:val="24"/>
                <w:szCs w:val="24"/>
                <w:shd w:val="clear" w:fill="FFFFFF"/>
                <w:lang w:val="en-US" w:eastAsia="zh-CN"/>
              </w:rPr>
              <w:t>等优点。常用于抛丸清理领域，例如除锈与除氧化皮：铸件、锻件、热处理后工件表面的清理；表面预处理：在涂装、喷漆、电镀前，对工件表面进行清理和粗化，增加涂层附着力。清理焊渣：焊接后的焊缝清理等。</w:t>
            </w:r>
          </w:p>
          <w:p w14:paraId="5F91A24B">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i w:val="0"/>
                <w:iCs w:val="0"/>
                <w:caps w:val="0"/>
                <w:color w:val="0F1115"/>
                <w:spacing w:val="0"/>
                <w:sz w:val="24"/>
                <w:szCs w:val="24"/>
                <w:shd w:val="clear" w:fill="FFFFFF"/>
                <w:lang w:val="en-US"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2）油墨</w:t>
            </w:r>
          </w:p>
          <w:p w14:paraId="539DF6B3">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i w:val="0"/>
                <w:iCs w:val="0"/>
                <w:caps w:val="0"/>
                <w:color w:val="0F1115"/>
                <w:spacing w:val="0"/>
                <w:sz w:val="24"/>
                <w:szCs w:val="24"/>
                <w:shd w:val="clear" w:fill="FFFFFF"/>
                <w:lang w:eastAsia="zh-CN"/>
              </w:rPr>
            </w:pPr>
            <w:r>
              <w:rPr>
                <w:rFonts w:hint="default" w:ascii="Times New Roman" w:hAnsi="Times New Roman" w:eastAsia="宋体" w:cs="Times New Roman"/>
                <w:i w:val="0"/>
                <w:iCs w:val="0"/>
                <w:caps w:val="0"/>
                <w:color w:val="0F1115"/>
                <w:spacing w:val="0"/>
                <w:sz w:val="24"/>
                <w:szCs w:val="24"/>
                <w:shd w:val="clear" w:fill="FFFFFF"/>
                <w:lang w:eastAsia="zh-CN"/>
              </w:rPr>
              <w:t>本项目外购的油墨已经与稀释剂调配好，可以直接使用，主要成分：丙烯酸树脂20%、颜料15%、</w:t>
            </w:r>
            <w:r>
              <w:rPr>
                <w:rFonts w:hint="default" w:ascii="Times New Roman" w:hAnsi="Times New Roman" w:eastAsia="宋体" w:cs="Times New Roman"/>
                <w:i w:val="0"/>
                <w:iCs w:val="0"/>
                <w:caps w:val="0"/>
                <w:color w:val="0F1115"/>
                <w:spacing w:val="0"/>
                <w:sz w:val="24"/>
                <w:szCs w:val="24"/>
                <w:shd w:val="clear" w:fill="FFFFFF"/>
                <w:lang w:val="en-US" w:eastAsia="zh-CN"/>
              </w:rPr>
              <w:t>环己酮</w:t>
            </w:r>
            <w:r>
              <w:rPr>
                <w:rFonts w:hint="default" w:ascii="Times New Roman" w:hAnsi="Times New Roman" w:eastAsia="宋体" w:cs="Times New Roman"/>
                <w:i w:val="0"/>
                <w:iCs w:val="0"/>
                <w:caps w:val="0"/>
                <w:color w:val="0F1115"/>
                <w:spacing w:val="0"/>
                <w:sz w:val="24"/>
                <w:szCs w:val="24"/>
                <w:shd w:val="clear" w:fill="FFFFFF"/>
                <w:lang w:eastAsia="zh-CN"/>
              </w:rPr>
              <w:t>65%。油墨VOCs含量为65%，符合《油墨中可挥发性有机化合物(VOCs)含量的限值》(GB38507-2020)中表1溶剂型油墨-丝印油墨含量限值要求(≤75%)。</w:t>
            </w:r>
          </w:p>
          <w:p w14:paraId="68E95FA2">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i w:val="0"/>
                <w:iCs w:val="0"/>
                <w:caps w:val="0"/>
                <w:color w:val="0F1115"/>
                <w:spacing w:val="0"/>
                <w:sz w:val="24"/>
                <w:szCs w:val="24"/>
                <w:shd w:val="clear" w:fill="FFFFFF"/>
                <w:lang w:eastAsia="zh-CN"/>
              </w:rPr>
            </w:pPr>
            <w:r>
              <w:rPr>
                <w:rFonts w:hint="default" w:ascii="Times New Roman" w:hAnsi="Times New Roman" w:eastAsia="宋体" w:cs="Times New Roman"/>
                <w:i w:val="0"/>
                <w:iCs w:val="0"/>
                <w:caps w:val="0"/>
                <w:color w:val="0F1115"/>
                <w:spacing w:val="0"/>
                <w:sz w:val="24"/>
                <w:szCs w:val="24"/>
                <w:shd w:val="clear" w:fill="FFFFFF"/>
                <w:lang w:val="en-US" w:eastAsia="zh-CN"/>
              </w:rPr>
              <w:t>3）</w:t>
            </w:r>
            <w:r>
              <w:rPr>
                <w:rFonts w:hint="default" w:ascii="Times New Roman" w:hAnsi="Times New Roman" w:eastAsia="宋体" w:cs="Times New Roman"/>
                <w:i w:val="0"/>
                <w:iCs w:val="0"/>
                <w:caps w:val="0"/>
                <w:color w:val="0F1115"/>
                <w:spacing w:val="0"/>
                <w:sz w:val="24"/>
                <w:szCs w:val="24"/>
                <w:shd w:val="clear" w:fill="FFFFFF"/>
                <w:lang w:eastAsia="zh-CN"/>
              </w:rPr>
              <w:t>塑粉：主要成分环氧树脂39%，聚酯树脂39%，颜料19.5%，助剂2.5%。根据《低挥发性有机化合物含量涂料产品技术要求》(GB/T38597-2020)8.1:粉末涂料、无机建筑涂料(含建筑无机粉体涂装材料)、建筑用有机粉体涂料产品中VOC含量通常很少，属于低挥发性有机化合物含量涂料产品，本项目使用塑粉为低VOC含量涂料。</w:t>
            </w:r>
          </w:p>
          <w:p w14:paraId="0C94DDD6">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3）主要</w:t>
            </w:r>
            <w:r>
              <w:rPr>
                <w:rFonts w:hint="default" w:ascii="Times New Roman" w:hAnsi="Times New Roman" w:eastAsia="宋体" w:cs="Times New Roman"/>
                <w:b w:val="0"/>
                <w:bCs w:val="0"/>
                <w:color w:val="auto"/>
                <w:sz w:val="24"/>
                <w:szCs w:val="24"/>
                <w:highlight w:val="none"/>
                <w:lang w:val="en-US" w:eastAsia="zh-CN"/>
              </w:rPr>
              <w:t>原辅材料的理化性质见表2</w:t>
            </w:r>
            <w:r>
              <w:rPr>
                <w:rFonts w:hint="default" w:ascii="Times New Roman" w:hAnsi="Times New Roman" w:cs="Times New Roman"/>
                <w:b w:val="0"/>
                <w:bCs w:val="0"/>
                <w:color w:val="auto"/>
                <w:sz w:val="24"/>
                <w:szCs w:val="24"/>
                <w:highlight w:val="none"/>
                <w:lang w:val="en-US" w:eastAsia="zh-CN"/>
              </w:rPr>
              <w:t>.5-11</w:t>
            </w:r>
            <w:r>
              <w:rPr>
                <w:rFonts w:hint="default" w:ascii="Times New Roman" w:hAnsi="Times New Roman" w:eastAsia="宋体" w:cs="Times New Roman"/>
                <w:b w:val="0"/>
                <w:bCs w:val="0"/>
                <w:color w:val="auto"/>
                <w:sz w:val="24"/>
                <w:szCs w:val="24"/>
                <w:highlight w:val="none"/>
                <w:lang w:val="en-US" w:eastAsia="zh-CN"/>
              </w:rPr>
              <w:t>。</w:t>
            </w:r>
          </w:p>
          <w:p w14:paraId="4D122642">
            <w:pPr>
              <w:spacing w:line="360" w:lineRule="auto"/>
              <w:ind w:firstLine="422" w:firstLineChars="200"/>
              <w:jc w:val="center"/>
              <w:rPr>
                <w:rFonts w:hint="default" w:ascii="Times New Roman" w:hAnsi="Times New Roman" w:cs="Times New Roman"/>
                <w:color w:val="auto"/>
                <w:sz w:val="24"/>
              </w:rPr>
            </w:pPr>
            <w:r>
              <w:rPr>
                <w:rFonts w:hint="default" w:ascii="Times New Roman" w:hAnsi="Times New Roman" w:eastAsia="宋体" w:cs="Times New Roman"/>
                <w:b/>
                <w:bCs/>
                <w:color w:val="auto"/>
                <w:kern w:val="0"/>
                <w:sz w:val="21"/>
                <w:szCs w:val="21"/>
                <w:highlight w:val="none"/>
                <w:lang w:val="en-US" w:eastAsia="zh-CN" w:bidi="ar-SA"/>
              </w:rPr>
              <w:t>表2.5-1</w:t>
            </w:r>
            <w:r>
              <w:rPr>
                <w:rFonts w:hint="eastAsia" w:cs="Times New Roman"/>
                <w:b/>
                <w:bCs/>
                <w:color w:val="auto"/>
                <w:kern w:val="0"/>
                <w:sz w:val="21"/>
                <w:szCs w:val="21"/>
                <w:highlight w:val="none"/>
                <w:lang w:val="en-US" w:eastAsia="zh-CN" w:bidi="ar-SA"/>
              </w:rPr>
              <w:t xml:space="preserve">1 </w:t>
            </w:r>
            <w:r>
              <w:rPr>
                <w:rFonts w:hint="default" w:ascii="Times New Roman" w:hAnsi="Times New Roman" w:eastAsia="宋体" w:cs="Times New Roman"/>
                <w:b/>
                <w:bCs/>
                <w:color w:val="auto"/>
                <w:kern w:val="0"/>
                <w:sz w:val="21"/>
                <w:szCs w:val="21"/>
                <w:highlight w:val="none"/>
                <w:lang w:val="en-US" w:eastAsia="zh-CN" w:bidi="ar-SA"/>
              </w:rPr>
              <w:t xml:space="preserve">  环己酮物质特性及危害识别表</w:t>
            </w:r>
          </w:p>
          <w:tbl>
            <w:tblPr>
              <w:tblStyle w:val="32"/>
              <w:tblW w:w="4998"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426"/>
              <w:gridCol w:w="2262"/>
              <w:gridCol w:w="484"/>
              <w:gridCol w:w="461"/>
              <w:gridCol w:w="1888"/>
              <w:gridCol w:w="2463"/>
            </w:tblGrid>
            <w:tr w14:paraId="4FAE836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restart"/>
                  <w:tcBorders>
                    <w:top w:val="single" w:color="auto" w:sz="4" w:space="0"/>
                    <w:left w:val="single" w:color="auto" w:sz="4" w:space="0"/>
                    <w:bottom w:val="single" w:color="auto" w:sz="4" w:space="0"/>
                    <w:right w:val="single" w:color="auto" w:sz="4" w:space="0"/>
                  </w:tcBorders>
                  <w:noWrap w:val="0"/>
                  <w:vAlign w:val="center"/>
                </w:tcPr>
                <w:p w14:paraId="1A13C4AE">
                  <w:pPr>
                    <w:spacing w:line="280" w:lineRule="exact"/>
                    <w:jc w:val="center"/>
                    <w:rPr>
                      <w:rFonts w:hint="default" w:ascii="Times New Roman" w:hAnsi="Times New Roman" w:cs="Times New Roman"/>
                    </w:rPr>
                  </w:pPr>
                  <w:r>
                    <w:rPr>
                      <w:rFonts w:hint="default" w:ascii="Times New Roman" w:hAnsi="Times New Roman" w:cs="Times New Roman"/>
                    </w:rPr>
                    <w:t>标识</w:t>
                  </w:r>
                </w:p>
              </w:tc>
              <w:tc>
                <w:tcPr>
                  <w:tcW w:w="2019" w:type="pct"/>
                  <w:gridSpan w:val="3"/>
                  <w:tcBorders>
                    <w:top w:val="single" w:color="auto" w:sz="4" w:space="0"/>
                    <w:left w:val="single" w:color="auto" w:sz="4" w:space="0"/>
                    <w:bottom w:val="single" w:color="auto" w:sz="4" w:space="0"/>
                    <w:right w:val="single" w:color="auto" w:sz="4" w:space="0"/>
                  </w:tcBorders>
                  <w:noWrap w:val="0"/>
                  <w:vAlign w:val="top"/>
                </w:tcPr>
                <w:p w14:paraId="25E247AD">
                  <w:pPr>
                    <w:spacing w:line="300" w:lineRule="exact"/>
                    <w:rPr>
                      <w:rFonts w:hint="default" w:ascii="Times New Roman" w:hAnsi="Times New Roman" w:cs="Times New Roman"/>
                    </w:rPr>
                  </w:pPr>
                  <w:r>
                    <w:rPr>
                      <w:rFonts w:hint="default" w:ascii="Times New Roman" w:hAnsi="Times New Roman" w:cs="Times New Roman"/>
                    </w:rPr>
                    <w:t>中文名：环己酮</w:t>
                  </w:r>
                </w:p>
              </w:tc>
              <w:tc>
                <w:tcPr>
                  <w:tcW w:w="2730" w:type="pct"/>
                  <w:gridSpan w:val="2"/>
                  <w:tcBorders>
                    <w:top w:val="single" w:color="auto" w:sz="4" w:space="0"/>
                    <w:left w:val="single" w:color="auto" w:sz="4" w:space="0"/>
                    <w:bottom w:val="single" w:color="auto" w:sz="4" w:space="0"/>
                    <w:right w:val="single" w:color="auto" w:sz="4" w:space="0"/>
                  </w:tcBorders>
                  <w:noWrap w:val="0"/>
                  <w:vAlign w:val="top"/>
                </w:tcPr>
                <w:p w14:paraId="2E2AFE1C">
                  <w:pPr>
                    <w:spacing w:line="300" w:lineRule="exact"/>
                    <w:rPr>
                      <w:rFonts w:hint="default" w:ascii="Times New Roman" w:hAnsi="Times New Roman" w:cs="Times New Roman"/>
                    </w:rPr>
                  </w:pPr>
                  <w:r>
                    <w:rPr>
                      <w:rFonts w:hint="default" w:ascii="Times New Roman" w:hAnsi="Times New Roman" w:cs="Times New Roman"/>
                    </w:rPr>
                    <w:t>英文名：cyclohexanone；ketohexamethylene</w:t>
                  </w:r>
                </w:p>
              </w:tc>
            </w:tr>
            <w:tr w14:paraId="00DB03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8"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01696C45">
                  <w:pPr>
                    <w:widowControl/>
                    <w:jc w:val="left"/>
                    <w:rPr>
                      <w:rFonts w:hint="default" w:ascii="Times New Roman" w:hAnsi="Times New Roman" w:cs="Times New Roman"/>
                    </w:rPr>
                  </w:pPr>
                </w:p>
              </w:tc>
              <w:tc>
                <w:tcPr>
                  <w:tcW w:w="2019" w:type="pct"/>
                  <w:gridSpan w:val="3"/>
                  <w:tcBorders>
                    <w:top w:val="single" w:color="auto" w:sz="4" w:space="0"/>
                    <w:left w:val="single" w:color="auto" w:sz="4" w:space="0"/>
                    <w:bottom w:val="single" w:color="auto" w:sz="4" w:space="0"/>
                    <w:right w:val="single" w:color="auto" w:sz="4" w:space="0"/>
                  </w:tcBorders>
                  <w:noWrap w:val="0"/>
                  <w:vAlign w:val="top"/>
                </w:tcPr>
                <w:p w14:paraId="47BA3D14">
                  <w:pPr>
                    <w:spacing w:line="300" w:lineRule="exact"/>
                    <w:rPr>
                      <w:rFonts w:hint="default" w:ascii="Times New Roman" w:hAnsi="Times New Roman" w:cs="Times New Roman"/>
                    </w:rPr>
                  </w:pPr>
                  <w:r>
                    <w:rPr>
                      <w:rFonts w:hint="default" w:ascii="Times New Roman" w:hAnsi="Times New Roman" w:cs="Times New Roman"/>
                    </w:rPr>
                    <w:t>分子式：C</w:t>
                  </w:r>
                  <w:r>
                    <w:rPr>
                      <w:rFonts w:hint="default" w:ascii="Times New Roman" w:hAnsi="Times New Roman" w:cs="Times New Roman"/>
                      <w:vertAlign w:val="subscript"/>
                    </w:rPr>
                    <w:t>6</w:t>
                  </w:r>
                  <w:r>
                    <w:rPr>
                      <w:rFonts w:hint="default" w:ascii="Times New Roman" w:hAnsi="Times New Roman" w:cs="Times New Roman"/>
                    </w:rPr>
                    <w:t>H</w:t>
                  </w:r>
                  <w:r>
                    <w:rPr>
                      <w:rFonts w:hint="default" w:ascii="Times New Roman" w:hAnsi="Times New Roman" w:cs="Times New Roman"/>
                      <w:vertAlign w:val="subscript"/>
                    </w:rPr>
                    <w:t>10</w:t>
                  </w:r>
                  <w:r>
                    <w:rPr>
                      <w:rFonts w:hint="default" w:ascii="Times New Roman" w:hAnsi="Times New Roman" w:cs="Times New Roman"/>
                    </w:rPr>
                    <w:t>O</w:t>
                  </w:r>
                </w:p>
              </w:tc>
              <w:tc>
                <w:tcPr>
                  <w:tcW w:w="1185" w:type="pct"/>
                  <w:tcBorders>
                    <w:top w:val="single" w:color="auto" w:sz="4" w:space="0"/>
                    <w:left w:val="single" w:color="auto" w:sz="4" w:space="0"/>
                    <w:bottom w:val="single" w:color="auto" w:sz="4" w:space="0"/>
                    <w:right w:val="single" w:color="auto" w:sz="4" w:space="0"/>
                  </w:tcBorders>
                  <w:noWrap w:val="0"/>
                  <w:vAlign w:val="top"/>
                </w:tcPr>
                <w:p w14:paraId="00F766A1">
                  <w:pPr>
                    <w:spacing w:line="300" w:lineRule="exact"/>
                    <w:rPr>
                      <w:rFonts w:hint="default" w:ascii="Times New Roman" w:hAnsi="Times New Roman" w:cs="Times New Roman"/>
                    </w:rPr>
                  </w:pPr>
                  <w:r>
                    <w:rPr>
                      <w:rFonts w:hint="default" w:ascii="Times New Roman" w:hAnsi="Times New Roman" w:cs="Times New Roman"/>
                    </w:rPr>
                    <w:t>分子量：</w:t>
                  </w:r>
                  <w:r>
                    <w:rPr>
                      <w:rFonts w:hint="default" w:ascii="Times New Roman" w:hAnsi="Times New Roman" w:cs="Times New Roman"/>
                      <w:lang w:val="en-US" w:eastAsia="zh-CN"/>
                    </w:rPr>
                    <w:t>98.15</w:t>
                  </w:r>
                </w:p>
              </w:tc>
              <w:tc>
                <w:tcPr>
                  <w:tcW w:w="1545" w:type="pct"/>
                  <w:tcBorders>
                    <w:top w:val="single" w:color="auto" w:sz="4" w:space="0"/>
                    <w:left w:val="single" w:color="auto" w:sz="4" w:space="0"/>
                    <w:bottom w:val="single" w:color="auto" w:sz="4" w:space="0"/>
                    <w:right w:val="single" w:color="auto" w:sz="4" w:space="0"/>
                  </w:tcBorders>
                  <w:noWrap w:val="0"/>
                  <w:vAlign w:val="top"/>
                </w:tcPr>
                <w:p w14:paraId="633B2556">
                  <w:pPr>
                    <w:spacing w:line="300" w:lineRule="exact"/>
                    <w:rPr>
                      <w:rFonts w:hint="default" w:ascii="Times New Roman" w:hAnsi="Times New Roman" w:cs="Times New Roman"/>
                    </w:rPr>
                  </w:pPr>
                  <w:r>
                    <w:rPr>
                      <w:rFonts w:hint="default" w:ascii="Times New Roman" w:hAnsi="Times New Roman" w:cs="Times New Roman"/>
                    </w:rPr>
                    <w:t>CAS号：</w:t>
                  </w:r>
                  <w:r>
                    <w:rPr>
                      <w:rFonts w:hint="default" w:ascii="Times New Roman" w:hAnsi="Times New Roman" w:cs="Times New Roman"/>
                      <w:lang w:val="en-US" w:eastAsia="zh-CN"/>
                    </w:rPr>
                    <w:t>108-94-1</w:t>
                  </w:r>
                </w:p>
              </w:tc>
            </w:tr>
            <w:tr w14:paraId="1AECE76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16B4275D">
                  <w:pPr>
                    <w:widowControl/>
                    <w:jc w:val="left"/>
                    <w:rPr>
                      <w:rFonts w:hint="default" w:ascii="Times New Roman" w:hAnsi="Times New Roman" w:cs="Times New Roman"/>
                    </w:rPr>
                  </w:pP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774D24CF">
                  <w:pPr>
                    <w:spacing w:line="300" w:lineRule="exact"/>
                    <w:rPr>
                      <w:rFonts w:hint="default" w:ascii="Times New Roman" w:hAnsi="Times New Roman" w:cs="Times New Roman"/>
                    </w:rPr>
                  </w:pPr>
                  <w:r>
                    <w:rPr>
                      <w:rFonts w:hint="default" w:ascii="Times New Roman" w:hAnsi="Times New Roman" w:cs="Times New Roman"/>
                    </w:rPr>
                    <w:t>危规号：33590</w:t>
                  </w:r>
                </w:p>
              </w:tc>
            </w:tr>
            <w:tr w14:paraId="176B707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restart"/>
                  <w:tcBorders>
                    <w:top w:val="single" w:color="auto" w:sz="4" w:space="0"/>
                    <w:left w:val="single" w:color="auto" w:sz="4" w:space="0"/>
                    <w:bottom w:val="single" w:color="auto" w:sz="4" w:space="0"/>
                    <w:right w:val="single" w:color="auto" w:sz="4" w:space="0"/>
                  </w:tcBorders>
                  <w:noWrap w:val="0"/>
                  <w:vAlign w:val="center"/>
                </w:tcPr>
                <w:p w14:paraId="5985BBC6">
                  <w:pPr>
                    <w:spacing w:line="280" w:lineRule="exact"/>
                    <w:jc w:val="center"/>
                    <w:rPr>
                      <w:rFonts w:hint="default" w:ascii="Times New Roman" w:hAnsi="Times New Roman" w:cs="Times New Roman"/>
                    </w:rPr>
                  </w:pPr>
                  <w:r>
                    <w:rPr>
                      <w:rFonts w:hint="default" w:ascii="Times New Roman" w:hAnsi="Times New Roman" w:cs="Times New Roman"/>
                    </w:rPr>
                    <w:t>理化性质</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70D61A9">
                  <w:pPr>
                    <w:spacing w:line="300" w:lineRule="exact"/>
                    <w:rPr>
                      <w:rFonts w:hint="default" w:ascii="Times New Roman" w:hAnsi="Times New Roman" w:cs="Times New Roman"/>
                    </w:rPr>
                  </w:pPr>
                  <w:r>
                    <w:rPr>
                      <w:rFonts w:hint="default" w:ascii="Times New Roman" w:hAnsi="Times New Roman" w:cs="Times New Roman"/>
                    </w:rPr>
                    <w:t>性状：无色或浅黄色透明液体，有强烈的刺激性臭味。</w:t>
                  </w:r>
                </w:p>
              </w:tc>
            </w:tr>
            <w:tr w14:paraId="44610A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00"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67574B61">
                  <w:pPr>
                    <w:widowControl/>
                    <w:jc w:val="left"/>
                    <w:rPr>
                      <w:rFonts w:hint="default" w:ascii="Times New Roman" w:hAnsi="Times New Roman" w:cs="Times New Roman"/>
                    </w:rPr>
                  </w:pP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638CDBE0">
                  <w:pPr>
                    <w:spacing w:line="300" w:lineRule="exact"/>
                    <w:rPr>
                      <w:rFonts w:hint="default" w:ascii="Times New Roman" w:hAnsi="Times New Roman" w:cs="Times New Roman"/>
                    </w:rPr>
                  </w:pPr>
                  <w:r>
                    <w:rPr>
                      <w:rFonts w:hint="default" w:ascii="Times New Roman" w:hAnsi="Times New Roman" w:cs="Times New Roman"/>
                    </w:rPr>
                    <w:t>溶解性：微溶于水，可混溶于醇、醚、苯、丙酮等多数有机溶剂。</w:t>
                  </w:r>
                </w:p>
              </w:tc>
            </w:tr>
            <w:tr w14:paraId="3D2864B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76D365CC">
                  <w:pPr>
                    <w:widowControl/>
                    <w:jc w:val="left"/>
                    <w:rPr>
                      <w:rFonts w:hint="default" w:ascii="Times New Roman" w:hAnsi="Times New Roman" w:cs="Times New Roman"/>
                    </w:rPr>
                  </w:pPr>
                </w:p>
              </w:tc>
              <w:tc>
                <w:tcPr>
                  <w:tcW w:w="1420" w:type="pct"/>
                  <w:tcBorders>
                    <w:top w:val="single" w:color="auto" w:sz="4" w:space="0"/>
                    <w:left w:val="single" w:color="auto" w:sz="4" w:space="0"/>
                    <w:bottom w:val="single" w:color="auto" w:sz="4" w:space="0"/>
                    <w:right w:val="single" w:color="auto" w:sz="4" w:space="0"/>
                  </w:tcBorders>
                  <w:noWrap w:val="0"/>
                  <w:vAlign w:val="top"/>
                </w:tcPr>
                <w:p w14:paraId="73F9687E">
                  <w:pPr>
                    <w:spacing w:line="300" w:lineRule="exact"/>
                    <w:rPr>
                      <w:rFonts w:hint="default" w:ascii="Times New Roman" w:hAnsi="Times New Roman" w:cs="Times New Roman"/>
                    </w:rPr>
                  </w:pPr>
                  <w:r>
                    <w:rPr>
                      <w:rFonts w:hint="default" w:ascii="Times New Roman" w:hAnsi="Times New Roman" w:cs="Times New Roman"/>
                    </w:rPr>
                    <w:t>熔点（℃）：－45</w:t>
                  </w:r>
                </w:p>
              </w:tc>
              <w:tc>
                <w:tcPr>
                  <w:tcW w:w="1783" w:type="pct"/>
                  <w:gridSpan w:val="3"/>
                  <w:tcBorders>
                    <w:top w:val="single" w:color="auto" w:sz="4" w:space="0"/>
                    <w:left w:val="single" w:color="auto" w:sz="4" w:space="0"/>
                    <w:bottom w:val="single" w:color="auto" w:sz="4" w:space="0"/>
                    <w:right w:val="single" w:color="auto" w:sz="4" w:space="0"/>
                  </w:tcBorders>
                  <w:noWrap w:val="0"/>
                  <w:vAlign w:val="top"/>
                </w:tcPr>
                <w:p w14:paraId="0963F21F">
                  <w:pPr>
                    <w:spacing w:line="300" w:lineRule="exact"/>
                    <w:rPr>
                      <w:rFonts w:hint="default" w:ascii="Times New Roman" w:hAnsi="Times New Roman" w:cs="Times New Roman"/>
                    </w:rPr>
                  </w:pPr>
                  <w:r>
                    <w:rPr>
                      <w:rFonts w:hint="default" w:ascii="Times New Roman" w:hAnsi="Times New Roman" w:cs="Times New Roman"/>
                    </w:rPr>
                    <w:t>沸点（℃）：115.6</w:t>
                  </w:r>
                </w:p>
              </w:tc>
              <w:tc>
                <w:tcPr>
                  <w:tcW w:w="1545" w:type="pct"/>
                  <w:tcBorders>
                    <w:top w:val="single" w:color="auto" w:sz="4" w:space="0"/>
                    <w:left w:val="single" w:color="auto" w:sz="4" w:space="0"/>
                    <w:bottom w:val="single" w:color="auto" w:sz="4" w:space="0"/>
                    <w:right w:val="single" w:color="auto" w:sz="4" w:space="0"/>
                  </w:tcBorders>
                  <w:noWrap w:val="0"/>
                  <w:vAlign w:val="top"/>
                </w:tcPr>
                <w:p w14:paraId="7190E7F9">
                  <w:pPr>
                    <w:spacing w:line="300" w:lineRule="exact"/>
                    <w:rPr>
                      <w:rFonts w:hint="default" w:ascii="Times New Roman" w:hAnsi="Times New Roman" w:cs="Times New Roman"/>
                    </w:rPr>
                  </w:pPr>
                  <w:r>
                    <w:rPr>
                      <w:rFonts w:hint="default" w:ascii="Times New Roman" w:hAnsi="Times New Roman" w:cs="Times New Roman"/>
                    </w:rPr>
                    <w:t>相对密度（水＝1）：0.95</w:t>
                  </w:r>
                </w:p>
              </w:tc>
            </w:tr>
            <w:tr w14:paraId="4F1C5ED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2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00CBDF6F">
                  <w:pPr>
                    <w:widowControl/>
                    <w:jc w:val="left"/>
                    <w:rPr>
                      <w:rFonts w:hint="default" w:ascii="Times New Roman" w:hAnsi="Times New Roman" w:cs="Times New Roman"/>
                    </w:rPr>
                  </w:pPr>
                </w:p>
              </w:tc>
              <w:tc>
                <w:tcPr>
                  <w:tcW w:w="1420" w:type="pct"/>
                  <w:tcBorders>
                    <w:top w:val="single" w:color="auto" w:sz="4" w:space="0"/>
                    <w:left w:val="single" w:color="auto" w:sz="4" w:space="0"/>
                    <w:bottom w:val="single" w:color="auto" w:sz="4" w:space="0"/>
                    <w:right w:val="single" w:color="auto" w:sz="4" w:space="0"/>
                  </w:tcBorders>
                  <w:noWrap w:val="0"/>
                  <w:vAlign w:val="top"/>
                </w:tcPr>
                <w:p w14:paraId="6F41E75B">
                  <w:pPr>
                    <w:spacing w:line="300" w:lineRule="exact"/>
                    <w:rPr>
                      <w:rFonts w:hint="default" w:ascii="Times New Roman" w:hAnsi="Times New Roman" w:cs="Times New Roman"/>
                    </w:rPr>
                  </w:pPr>
                  <w:r>
                    <w:rPr>
                      <w:rFonts w:hint="default" w:ascii="Times New Roman" w:hAnsi="Times New Roman" w:cs="Times New Roman"/>
                    </w:rPr>
                    <w:t>临界温度（℃）：385.9</w:t>
                  </w:r>
                </w:p>
              </w:tc>
              <w:tc>
                <w:tcPr>
                  <w:tcW w:w="1783" w:type="pct"/>
                  <w:gridSpan w:val="3"/>
                  <w:tcBorders>
                    <w:top w:val="single" w:color="auto" w:sz="4" w:space="0"/>
                    <w:left w:val="single" w:color="auto" w:sz="4" w:space="0"/>
                    <w:bottom w:val="single" w:color="auto" w:sz="4" w:space="0"/>
                    <w:right w:val="single" w:color="auto" w:sz="4" w:space="0"/>
                  </w:tcBorders>
                  <w:noWrap w:val="0"/>
                  <w:vAlign w:val="top"/>
                </w:tcPr>
                <w:p w14:paraId="0276728C">
                  <w:pPr>
                    <w:spacing w:line="300" w:lineRule="exact"/>
                    <w:rPr>
                      <w:rFonts w:hint="default" w:ascii="Times New Roman" w:hAnsi="Times New Roman" w:cs="Times New Roman"/>
                    </w:rPr>
                  </w:pPr>
                  <w:r>
                    <w:rPr>
                      <w:rFonts w:hint="default" w:ascii="Times New Roman" w:hAnsi="Times New Roman" w:cs="Times New Roman"/>
                    </w:rPr>
                    <w:t>临界压力（MPa）：4.06</w:t>
                  </w:r>
                </w:p>
              </w:tc>
              <w:tc>
                <w:tcPr>
                  <w:tcW w:w="1545" w:type="pct"/>
                  <w:tcBorders>
                    <w:top w:val="single" w:color="auto" w:sz="4" w:space="0"/>
                    <w:left w:val="single" w:color="auto" w:sz="4" w:space="0"/>
                    <w:bottom w:val="single" w:color="auto" w:sz="4" w:space="0"/>
                    <w:right w:val="single" w:color="auto" w:sz="4" w:space="0"/>
                  </w:tcBorders>
                  <w:noWrap w:val="0"/>
                  <w:vAlign w:val="top"/>
                </w:tcPr>
                <w:p w14:paraId="5557FF0E">
                  <w:pPr>
                    <w:spacing w:line="300" w:lineRule="exact"/>
                    <w:rPr>
                      <w:rFonts w:hint="default" w:ascii="Times New Roman" w:hAnsi="Times New Roman" w:cs="Times New Roman"/>
                    </w:rPr>
                  </w:pPr>
                  <w:r>
                    <w:rPr>
                      <w:rFonts w:hint="default" w:ascii="Times New Roman" w:hAnsi="Times New Roman" w:cs="Times New Roman"/>
                    </w:rPr>
                    <w:t>相对密度（空气＝1）：3.38</w:t>
                  </w:r>
                </w:p>
              </w:tc>
            </w:tr>
            <w:tr w14:paraId="3D8BE0E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2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75BBB358">
                  <w:pPr>
                    <w:widowControl/>
                    <w:jc w:val="left"/>
                    <w:rPr>
                      <w:rFonts w:hint="default" w:ascii="Times New Roman" w:hAnsi="Times New Roman" w:cs="Times New Roman"/>
                    </w:rPr>
                  </w:pPr>
                </w:p>
              </w:tc>
              <w:tc>
                <w:tcPr>
                  <w:tcW w:w="2019" w:type="pct"/>
                  <w:gridSpan w:val="3"/>
                  <w:tcBorders>
                    <w:top w:val="single" w:color="auto" w:sz="4" w:space="0"/>
                    <w:left w:val="single" w:color="auto" w:sz="4" w:space="0"/>
                    <w:bottom w:val="single" w:color="auto" w:sz="4" w:space="0"/>
                    <w:right w:val="single" w:color="auto" w:sz="4" w:space="0"/>
                  </w:tcBorders>
                  <w:noWrap w:val="0"/>
                  <w:vAlign w:val="top"/>
                </w:tcPr>
                <w:p w14:paraId="32DB9982">
                  <w:pPr>
                    <w:spacing w:line="300" w:lineRule="exact"/>
                    <w:rPr>
                      <w:rFonts w:hint="default" w:ascii="Times New Roman" w:hAnsi="Times New Roman" w:cs="Times New Roman"/>
                    </w:rPr>
                  </w:pPr>
                  <w:r>
                    <w:rPr>
                      <w:rFonts w:hint="default" w:ascii="Times New Roman" w:hAnsi="Times New Roman" w:cs="Times New Roman"/>
                    </w:rPr>
                    <w:t>燃烧热（KJ/mol）：无资料</w:t>
                  </w:r>
                </w:p>
              </w:tc>
              <w:tc>
                <w:tcPr>
                  <w:tcW w:w="1185" w:type="pct"/>
                  <w:tcBorders>
                    <w:top w:val="single" w:color="auto" w:sz="4" w:space="0"/>
                    <w:left w:val="single" w:color="auto" w:sz="4" w:space="0"/>
                    <w:bottom w:val="single" w:color="auto" w:sz="4" w:space="0"/>
                    <w:right w:val="single" w:color="auto" w:sz="4" w:space="0"/>
                  </w:tcBorders>
                  <w:noWrap w:val="0"/>
                  <w:vAlign w:val="top"/>
                </w:tcPr>
                <w:p w14:paraId="604430FC">
                  <w:pPr>
                    <w:spacing w:line="300" w:lineRule="exact"/>
                    <w:rPr>
                      <w:rFonts w:hint="default" w:ascii="Times New Roman" w:hAnsi="Times New Roman" w:cs="Times New Roman"/>
                    </w:rPr>
                  </w:pPr>
                  <w:r>
                    <w:rPr>
                      <w:rFonts w:hint="default" w:ascii="Times New Roman" w:hAnsi="Times New Roman" w:cs="Times New Roman"/>
                    </w:rPr>
                    <w:t>最小点火能（mJ）：无资料</w:t>
                  </w:r>
                </w:p>
              </w:tc>
              <w:tc>
                <w:tcPr>
                  <w:tcW w:w="1545" w:type="pct"/>
                  <w:tcBorders>
                    <w:top w:val="single" w:color="auto" w:sz="4" w:space="0"/>
                    <w:left w:val="single" w:color="auto" w:sz="4" w:space="0"/>
                    <w:bottom w:val="single" w:color="auto" w:sz="4" w:space="0"/>
                    <w:right w:val="single" w:color="auto" w:sz="4" w:space="0"/>
                  </w:tcBorders>
                  <w:noWrap w:val="0"/>
                  <w:vAlign w:val="top"/>
                </w:tcPr>
                <w:p w14:paraId="7542C8A0">
                  <w:pPr>
                    <w:spacing w:line="300" w:lineRule="exact"/>
                    <w:rPr>
                      <w:rFonts w:hint="default" w:ascii="Times New Roman" w:hAnsi="Times New Roman" w:cs="Times New Roman"/>
                    </w:rPr>
                  </w:pPr>
                  <w:r>
                    <w:rPr>
                      <w:rFonts w:hint="default" w:ascii="Times New Roman" w:hAnsi="Times New Roman" w:cs="Times New Roman"/>
                    </w:rPr>
                    <w:t>饱和蒸汽压（KPa）：1.33（38.7℃）</w:t>
                  </w:r>
                </w:p>
              </w:tc>
            </w:tr>
            <w:tr w14:paraId="0F2B6C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restart"/>
                  <w:tcBorders>
                    <w:top w:val="single" w:color="auto" w:sz="4" w:space="0"/>
                    <w:left w:val="single" w:color="auto" w:sz="4" w:space="0"/>
                    <w:bottom w:val="single" w:color="auto" w:sz="4" w:space="0"/>
                    <w:right w:val="single" w:color="auto" w:sz="4" w:space="0"/>
                  </w:tcBorders>
                  <w:noWrap w:val="0"/>
                  <w:vAlign w:val="center"/>
                </w:tcPr>
                <w:p w14:paraId="2AEC4103">
                  <w:pPr>
                    <w:spacing w:line="280" w:lineRule="exact"/>
                    <w:jc w:val="center"/>
                    <w:rPr>
                      <w:rFonts w:hint="default" w:ascii="Times New Roman" w:hAnsi="Times New Roman" w:cs="Times New Roman"/>
                    </w:rPr>
                  </w:pPr>
                  <w:r>
                    <w:rPr>
                      <w:rFonts w:hint="default" w:ascii="Times New Roman" w:hAnsi="Times New Roman" w:cs="Times New Roman"/>
                    </w:rPr>
                    <w:t>燃烧爆炸危险性</w:t>
                  </w: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7FEAB506">
                  <w:pPr>
                    <w:spacing w:line="300" w:lineRule="exact"/>
                    <w:rPr>
                      <w:rFonts w:hint="default" w:ascii="Times New Roman" w:hAnsi="Times New Roman" w:cs="Times New Roman"/>
                    </w:rPr>
                  </w:pPr>
                  <w:r>
                    <w:rPr>
                      <w:rFonts w:hint="default" w:ascii="Times New Roman" w:hAnsi="Times New Roman" w:cs="Times New Roman"/>
                    </w:rPr>
                    <w:t>燃烧性：易燃</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1C872EDB">
                  <w:pPr>
                    <w:spacing w:line="300" w:lineRule="exact"/>
                    <w:rPr>
                      <w:rFonts w:hint="default" w:ascii="Times New Roman" w:hAnsi="Times New Roman" w:cs="Times New Roman"/>
                    </w:rPr>
                  </w:pPr>
                  <w:r>
                    <w:rPr>
                      <w:rFonts w:hint="default" w:ascii="Times New Roman" w:hAnsi="Times New Roman" w:cs="Times New Roman"/>
                    </w:rPr>
                    <w:t>燃烧分解产物：一氧化碳、二氧化碳。</w:t>
                  </w:r>
                </w:p>
              </w:tc>
            </w:tr>
            <w:tr w14:paraId="7C3067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5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4AF7ED93">
                  <w:pPr>
                    <w:widowControl/>
                    <w:jc w:val="left"/>
                    <w:rPr>
                      <w:rFonts w:hint="default" w:ascii="Times New Roman" w:hAnsi="Times New Roman" w:cs="Times New Roman"/>
                    </w:rPr>
                  </w:pP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770B0A2B">
                  <w:pPr>
                    <w:spacing w:line="300" w:lineRule="exact"/>
                    <w:rPr>
                      <w:rFonts w:hint="default" w:ascii="Times New Roman" w:hAnsi="Times New Roman" w:cs="Times New Roman"/>
                    </w:rPr>
                  </w:pPr>
                  <w:r>
                    <w:rPr>
                      <w:rFonts w:hint="default" w:ascii="Times New Roman" w:hAnsi="Times New Roman" w:cs="Times New Roman"/>
                    </w:rPr>
                    <w:t>闪点（℃）：43</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24E69B69">
                  <w:pPr>
                    <w:spacing w:line="300" w:lineRule="exact"/>
                    <w:rPr>
                      <w:rFonts w:hint="default" w:ascii="Times New Roman" w:hAnsi="Times New Roman" w:cs="Times New Roman"/>
                    </w:rPr>
                  </w:pPr>
                  <w:r>
                    <w:rPr>
                      <w:rFonts w:hint="default" w:ascii="Times New Roman" w:hAnsi="Times New Roman" w:cs="Times New Roman"/>
                    </w:rPr>
                    <w:t>聚合危害：不聚合</w:t>
                  </w:r>
                </w:p>
              </w:tc>
            </w:tr>
            <w:tr w14:paraId="01A5179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5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77C7DAA8">
                  <w:pPr>
                    <w:widowControl/>
                    <w:jc w:val="left"/>
                    <w:rPr>
                      <w:rFonts w:hint="default" w:ascii="Times New Roman" w:hAnsi="Times New Roman" w:cs="Times New Roman"/>
                    </w:rPr>
                  </w:pP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1AFE10F6">
                  <w:pPr>
                    <w:spacing w:line="300" w:lineRule="exact"/>
                    <w:rPr>
                      <w:rFonts w:hint="default" w:ascii="Times New Roman" w:hAnsi="Times New Roman" w:cs="Times New Roman"/>
                    </w:rPr>
                  </w:pPr>
                  <w:r>
                    <w:rPr>
                      <w:rFonts w:hint="default" w:ascii="Times New Roman" w:hAnsi="Times New Roman" w:cs="Times New Roman"/>
                    </w:rPr>
                    <w:t>爆炸下限（％）：1.1</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44DE8C79">
                  <w:pPr>
                    <w:spacing w:line="300" w:lineRule="exact"/>
                    <w:rPr>
                      <w:rFonts w:hint="default" w:ascii="Times New Roman" w:hAnsi="Times New Roman" w:cs="Times New Roman"/>
                    </w:rPr>
                  </w:pPr>
                  <w:r>
                    <w:rPr>
                      <w:rFonts w:hint="default" w:ascii="Times New Roman" w:hAnsi="Times New Roman" w:cs="Times New Roman"/>
                    </w:rPr>
                    <w:t>稳定性：稳定</w:t>
                  </w:r>
                </w:p>
              </w:tc>
            </w:tr>
            <w:tr w14:paraId="218707D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5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7458329A">
                  <w:pPr>
                    <w:widowControl/>
                    <w:jc w:val="left"/>
                    <w:rPr>
                      <w:rFonts w:hint="default" w:ascii="Times New Roman" w:hAnsi="Times New Roman" w:cs="Times New Roman"/>
                    </w:rPr>
                  </w:pP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50912550">
                  <w:pPr>
                    <w:spacing w:line="300" w:lineRule="exact"/>
                    <w:rPr>
                      <w:rFonts w:hint="default" w:ascii="Times New Roman" w:hAnsi="Times New Roman" w:cs="Times New Roman"/>
                    </w:rPr>
                  </w:pPr>
                  <w:r>
                    <w:rPr>
                      <w:rFonts w:hint="default" w:ascii="Times New Roman" w:hAnsi="Times New Roman" w:cs="Times New Roman"/>
                    </w:rPr>
                    <w:t>爆炸上限（％）：9.4</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4A9ABDF2">
                  <w:pPr>
                    <w:spacing w:line="300" w:lineRule="exact"/>
                    <w:rPr>
                      <w:rFonts w:hint="default" w:ascii="Times New Roman" w:hAnsi="Times New Roman" w:cs="Times New Roman"/>
                    </w:rPr>
                  </w:pPr>
                  <w:r>
                    <w:rPr>
                      <w:rFonts w:hint="default" w:ascii="Times New Roman" w:hAnsi="Times New Roman" w:cs="Times New Roman"/>
                    </w:rPr>
                    <w:t>最大爆炸压力（MPa）：无资料</w:t>
                  </w:r>
                </w:p>
              </w:tc>
            </w:tr>
            <w:tr w14:paraId="4013EB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40"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73C77656">
                  <w:pPr>
                    <w:widowControl/>
                    <w:jc w:val="left"/>
                    <w:rPr>
                      <w:rFonts w:hint="default" w:ascii="Times New Roman" w:hAnsi="Times New Roman" w:cs="Times New Roman"/>
                    </w:rPr>
                  </w:pP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77E4EA94">
                  <w:pPr>
                    <w:spacing w:line="300" w:lineRule="exact"/>
                    <w:rPr>
                      <w:rFonts w:hint="default" w:ascii="Times New Roman" w:hAnsi="Times New Roman" w:cs="Times New Roman"/>
                    </w:rPr>
                  </w:pPr>
                  <w:r>
                    <w:rPr>
                      <w:rFonts w:hint="default" w:ascii="Times New Roman" w:hAnsi="Times New Roman" w:cs="Times New Roman"/>
                    </w:rPr>
                    <w:t>引燃温度（℃）：420</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4A3E9B00">
                  <w:pPr>
                    <w:spacing w:line="300" w:lineRule="exact"/>
                    <w:rPr>
                      <w:rFonts w:hint="default" w:ascii="Times New Roman" w:hAnsi="Times New Roman" w:cs="Times New Roman"/>
                    </w:rPr>
                  </w:pPr>
                  <w:r>
                    <w:rPr>
                      <w:rFonts w:hint="default" w:ascii="Times New Roman" w:hAnsi="Times New Roman" w:cs="Times New Roman"/>
                    </w:rPr>
                    <w:t>禁忌物：强氧化剂、强还原剂、塑料。</w:t>
                  </w:r>
                </w:p>
              </w:tc>
            </w:tr>
            <w:tr w14:paraId="5E84429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47"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42C1FDC7">
                  <w:pPr>
                    <w:widowControl/>
                    <w:jc w:val="left"/>
                    <w:rPr>
                      <w:rFonts w:hint="default" w:ascii="Times New Roman" w:hAnsi="Times New Roman" w:cs="Times New Roman"/>
                    </w:rPr>
                  </w:pP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35A5972">
                  <w:pPr>
                    <w:spacing w:line="300" w:lineRule="exact"/>
                    <w:rPr>
                      <w:rFonts w:hint="default" w:ascii="Times New Roman" w:hAnsi="Times New Roman" w:cs="Times New Roman"/>
                    </w:rPr>
                  </w:pPr>
                  <w:r>
                    <w:rPr>
                      <w:rFonts w:hint="default" w:ascii="Times New Roman" w:hAnsi="Times New Roman" w:cs="Times New Roman"/>
                    </w:rPr>
                    <w:t>危险特性：易燃，遇高热、明火有引起燃烧的危险。与氧化剂接触会猛烈反应。</w:t>
                  </w:r>
                </w:p>
              </w:tc>
            </w:tr>
            <w:tr w14:paraId="7D96860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92"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0639C7E6">
                  <w:pPr>
                    <w:widowControl/>
                    <w:jc w:val="left"/>
                    <w:rPr>
                      <w:rFonts w:hint="default" w:ascii="Times New Roman" w:hAnsi="Times New Roman" w:cs="Times New Roman"/>
                    </w:rPr>
                  </w:pP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686FB8E">
                  <w:pPr>
                    <w:spacing w:line="300" w:lineRule="exact"/>
                    <w:rPr>
                      <w:rFonts w:hint="default" w:ascii="Times New Roman" w:hAnsi="Times New Roman" w:cs="Times New Roman"/>
                    </w:rPr>
                  </w:pPr>
                  <w:r>
                    <w:rPr>
                      <w:rFonts w:hint="default" w:ascii="Times New Roman" w:hAnsi="Times New Roman" w:cs="Times New Roman"/>
                    </w:rPr>
                    <w:t>灭火方法：喷水冷却容器，可能的话将容器从火场移至空旷处。灭火剂：泡沫、干粉、二氧化碳、砂土。</w:t>
                  </w:r>
                </w:p>
              </w:tc>
            </w:tr>
            <w:tr w14:paraId="1402F3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0" w:hRule="atLeast"/>
              </w:trPr>
              <w:tc>
                <w:tcPr>
                  <w:tcW w:w="250" w:type="pct"/>
                  <w:tcBorders>
                    <w:top w:val="single" w:color="auto" w:sz="4" w:space="0"/>
                    <w:left w:val="single" w:color="auto" w:sz="4" w:space="0"/>
                    <w:bottom w:val="single" w:color="auto" w:sz="4" w:space="0"/>
                    <w:right w:val="single" w:color="auto" w:sz="4" w:space="0"/>
                  </w:tcBorders>
                  <w:noWrap w:val="0"/>
                  <w:vAlign w:val="center"/>
                </w:tcPr>
                <w:p w14:paraId="39753025">
                  <w:pPr>
                    <w:spacing w:line="240" w:lineRule="exact"/>
                    <w:jc w:val="center"/>
                    <w:rPr>
                      <w:rFonts w:hint="default" w:ascii="Times New Roman" w:hAnsi="Times New Roman" w:cs="Times New Roman"/>
                    </w:rPr>
                  </w:pPr>
                  <w:r>
                    <w:rPr>
                      <w:rFonts w:hint="default" w:ascii="Times New Roman" w:hAnsi="Times New Roman" w:cs="Times New Roman"/>
                    </w:rPr>
                    <w:t>对人体危害</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58D43B5">
                  <w:pPr>
                    <w:spacing w:line="280" w:lineRule="exact"/>
                    <w:rPr>
                      <w:rFonts w:hint="default" w:ascii="Times New Roman" w:hAnsi="Times New Roman" w:cs="Times New Roman"/>
                    </w:rPr>
                  </w:pPr>
                  <w:r>
                    <w:rPr>
                      <w:rFonts w:hint="default" w:ascii="Times New Roman" w:hAnsi="Times New Roman" w:cs="Times New Roman"/>
                    </w:rPr>
                    <w:t>侵入途径：吸入、食入、经皮吸收。</w:t>
                  </w:r>
                </w:p>
                <w:p w14:paraId="31FF20B8">
                  <w:pPr>
                    <w:spacing w:line="280" w:lineRule="exact"/>
                    <w:rPr>
                      <w:rFonts w:hint="default" w:ascii="Times New Roman" w:hAnsi="Times New Roman" w:cs="Times New Roman"/>
                    </w:rPr>
                  </w:pPr>
                  <w:r>
                    <w:rPr>
                      <w:rFonts w:hint="default" w:ascii="Times New Roman" w:hAnsi="Times New Roman" w:cs="Times New Roman"/>
                    </w:rPr>
                    <w:t>健康危害：本品具有麻醉和刺激作用。急性中毒：主要表现有眼、鼻、喉粘膜刺激症状和头晕、胸闷、全身无力等症状。重者可出现休克、昏迷、四肢抽搐、肺水肿，最后因呼吸衰竭而死亡。脱离接触后能较快恢复正常。液体对皮肤有刺激性；眼接触有可能造成角膜损害。慢性影响：长期反复接触可致皮炎。</w:t>
                  </w:r>
                </w:p>
              </w:tc>
            </w:tr>
            <w:tr w14:paraId="7464476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5" w:hRule="atLeast"/>
              </w:trPr>
              <w:tc>
                <w:tcPr>
                  <w:tcW w:w="250" w:type="pct"/>
                  <w:tcBorders>
                    <w:top w:val="single" w:color="auto" w:sz="4" w:space="0"/>
                    <w:left w:val="single" w:color="auto" w:sz="4" w:space="0"/>
                    <w:bottom w:val="single" w:color="auto" w:sz="4" w:space="0"/>
                    <w:right w:val="single" w:color="auto" w:sz="4" w:space="0"/>
                  </w:tcBorders>
                  <w:noWrap w:val="0"/>
                  <w:vAlign w:val="center"/>
                </w:tcPr>
                <w:p w14:paraId="63EA398E">
                  <w:pPr>
                    <w:spacing w:line="280" w:lineRule="exact"/>
                    <w:jc w:val="center"/>
                    <w:rPr>
                      <w:rFonts w:hint="default" w:ascii="Times New Roman" w:hAnsi="Times New Roman" w:cs="Times New Roman"/>
                    </w:rPr>
                  </w:pPr>
                  <w:r>
                    <w:rPr>
                      <w:rFonts w:hint="default" w:ascii="Times New Roman" w:hAnsi="Times New Roman" w:cs="Times New Roman"/>
                    </w:rPr>
                    <w:t>急救</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4255FF0">
                  <w:pPr>
                    <w:spacing w:line="280" w:lineRule="exact"/>
                    <w:rPr>
                      <w:rFonts w:hint="default" w:ascii="Times New Roman" w:hAnsi="Times New Roman" w:cs="Times New Roman"/>
                    </w:rPr>
                  </w:pPr>
                  <w:r>
                    <w:rPr>
                      <w:rFonts w:hint="default" w:ascii="Times New Roman" w:hAnsi="Times New Roman" w:cs="Times New Roman"/>
                    </w:rPr>
                    <w:t>皮肤接触：脱去被污染的衣着，用肥皂水和清水彻底冲洗皮肤。</w:t>
                  </w:r>
                </w:p>
                <w:p w14:paraId="10F217C4">
                  <w:pPr>
                    <w:spacing w:line="280" w:lineRule="exact"/>
                    <w:rPr>
                      <w:rFonts w:hint="default" w:ascii="Times New Roman" w:hAnsi="Times New Roman" w:cs="Times New Roman"/>
                    </w:rPr>
                  </w:pPr>
                  <w:r>
                    <w:rPr>
                      <w:rFonts w:hint="default" w:ascii="Times New Roman" w:hAnsi="Times New Roman" w:cs="Times New Roman"/>
                    </w:rPr>
                    <w:t>眼睛接触：立即提起眼睑，用大量流动清水或生理盐水彻底冲洗至少15分钟。就医。</w:t>
                  </w:r>
                </w:p>
                <w:p w14:paraId="4D4AF4CD">
                  <w:pPr>
                    <w:spacing w:line="280" w:lineRule="exact"/>
                    <w:rPr>
                      <w:rFonts w:hint="default" w:ascii="Times New Roman" w:hAnsi="Times New Roman" w:cs="Times New Roman"/>
                    </w:rPr>
                  </w:pPr>
                  <w:r>
                    <w:rPr>
                      <w:rFonts w:hint="default" w:ascii="Times New Roman" w:hAnsi="Times New Roman" w:cs="Times New Roman"/>
                    </w:rPr>
                    <w:t>吸入：迅速脱离现场至空气新鲜处。保持呼吸道畅通。如呼吸困难，给输氧。如呼吸停止，立即进行人工呼吸。就医。</w:t>
                  </w:r>
                </w:p>
                <w:p w14:paraId="41CED78E">
                  <w:pPr>
                    <w:spacing w:line="280" w:lineRule="exact"/>
                    <w:rPr>
                      <w:rFonts w:hint="default" w:ascii="Times New Roman" w:hAnsi="Times New Roman" w:cs="Times New Roman"/>
                    </w:rPr>
                  </w:pPr>
                  <w:r>
                    <w:rPr>
                      <w:rFonts w:hint="default" w:ascii="Times New Roman" w:hAnsi="Times New Roman" w:cs="Times New Roman"/>
                    </w:rPr>
                    <w:t>食入：饮足量温水，催吐。就医。</w:t>
                  </w:r>
                </w:p>
              </w:tc>
            </w:tr>
            <w:tr w14:paraId="3C4633E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50" w:type="pct"/>
                  <w:tcBorders>
                    <w:top w:val="single" w:color="auto" w:sz="4" w:space="0"/>
                    <w:left w:val="single" w:color="auto" w:sz="4" w:space="0"/>
                    <w:bottom w:val="single" w:color="auto" w:sz="4" w:space="0"/>
                    <w:right w:val="single" w:color="auto" w:sz="4" w:space="0"/>
                  </w:tcBorders>
                  <w:noWrap w:val="0"/>
                  <w:vAlign w:val="center"/>
                </w:tcPr>
                <w:p w14:paraId="4C4ECFF4">
                  <w:pPr>
                    <w:spacing w:line="280" w:lineRule="exact"/>
                    <w:jc w:val="center"/>
                    <w:rPr>
                      <w:rFonts w:hint="default" w:ascii="Times New Roman" w:hAnsi="Times New Roman" w:cs="Times New Roman"/>
                    </w:rPr>
                  </w:pPr>
                  <w:r>
                    <w:rPr>
                      <w:rFonts w:hint="default" w:ascii="Times New Roman" w:hAnsi="Times New Roman" w:cs="Times New Roman"/>
                    </w:rPr>
                    <w:t>防护</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6F6EAB2B">
                  <w:pPr>
                    <w:spacing w:line="280" w:lineRule="exact"/>
                    <w:rPr>
                      <w:rFonts w:hint="default" w:ascii="Times New Roman" w:hAnsi="Times New Roman" w:cs="Times New Roman"/>
                      <w:spacing w:val="-4"/>
                    </w:rPr>
                  </w:pPr>
                  <w:r>
                    <w:rPr>
                      <w:rFonts w:hint="default" w:ascii="Times New Roman" w:hAnsi="Times New Roman" w:cs="Times New Roman"/>
                      <w:spacing w:val="-4"/>
                    </w:rPr>
                    <w:t>工程控制：密闭操作。注意通风。</w:t>
                  </w:r>
                </w:p>
                <w:p w14:paraId="3A44BA84">
                  <w:pPr>
                    <w:spacing w:line="280" w:lineRule="exact"/>
                    <w:rPr>
                      <w:rFonts w:hint="default" w:ascii="Times New Roman" w:hAnsi="Times New Roman" w:cs="Times New Roman"/>
                      <w:spacing w:val="-4"/>
                    </w:rPr>
                  </w:pPr>
                  <w:r>
                    <w:rPr>
                      <w:rFonts w:hint="default" w:ascii="Times New Roman" w:hAnsi="Times New Roman" w:cs="Times New Roman"/>
                      <w:spacing w:val="-4"/>
                    </w:rPr>
                    <w:t>呼吸系统防护：可能接触其蒸气时，应该佩戴自吸过滤式防毒面具（半面罩）。</w:t>
                  </w:r>
                </w:p>
                <w:p w14:paraId="704B65BA">
                  <w:pPr>
                    <w:spacing w:line="280" w:lineRule="exact"/>
                    <w:rPr>
                      <w:rFonts w:hint="default" w:ascii="Times New Roman" w:hAnsi="Times New Roman" w:cs="Times New Roman"/>
                      <w:spacing w:val="-4"/>
                    </w:rPr>
                  </w:pPr>
                  <w:r>
                    <w:rPr>
                      <w:rFonts w:hint="default" w:ascii="Times New Roman" w:hAnsi="Times New Roman" w:cs="Times New Roman"/>
                      <w:spacing w:val="-4"/>
                    </w:rPr>
                    <w:t>眼睛防护：戴化学安全防护眼镜。</w:t>
                  </w:r>
                </w:p>
                <w:p w14:paraId="1CBC7354">
                  <w:pPr>
                    <w:spacing w:line="280" w:lineRule="exact"/>
                    <w:rPr>
                      <w:rFonts w:hint="default" w:ascii="Times New Roman" w:hAnsi="Times New Roman" w:cs="Times New Roman"/>
                      <w:spacing w:val="-4"/>
                    </w:rPr>
                  </w:pPr>
                  <w:r>
                    <w:rPr>
                      <w:rFonts w:hint="default" w:ascii="Times New Roman" w:hAnsi="Times New Roman" w:cs="Times New Roman"/>
                      <w:spacing w:val="-4"/>
                    </w:rPr>
                    <w:t>身体防护：穿防静电工作服。</w:t>
                  </w:r>
                </w:p>
                <w:p w14:paraId="6E6F1E9B">
                  <w:pPr>
                    <w:spacing w:line="280" w:lineRule="exact"/>
                    <w:rPr>
                      <w:rFonts w:hint="default" w:ascii="Times New Roman" w:hAnsi="Times New Roman" w:cs="Times New Roman"/>
                      <w:spacing w:val="-4"/>
                    </w:rPr>
                  </w:pPr>
                  <w:r>
                    <w:rPr>
                      <w:rFonts w:hint="default" w:ascii="Times New Roman" w:hAnsi="Times New Roman" w:cs="Times New Roman"/>
                      <w:spacing w:val="-4"/>
                    </w:rPr>
                    <w:t>手防护：戴防苯耐油手套。</w:t>
                  </w:r>
                </w:p>
                <w:p w14:paraId="0E00453E">
                  <w:pPr>
                    <w:spacing w:line="280" w:lineRule="exact"/>
                    <w:rPr>
                      <w:rFonts w:hint="default" w:ascii="Times New Roman" w:hAnsi="Times New Roman" w:cs="Times New Roman"/>
                    </w:rPr>
                  </w:pPr>
                  <w:r>
                    <w:rPr>
                      <w:rFonts w:hint="default" w:ascii="Times New Roman" w:hAnsi="Times New Roman" w:cs="Times New Roman"/>
                      <w:spacing w:val="-4"/>
                    </w:rPr>
                    <w:t>其他防护：工作现场严禁吸烟。注意个人清洁卫生。避免长期反复接触。</w:t>
                  </w:r>
                </w:p>
              </w:tc>
            </w:tr>
            <w:tr w14:paraId="0817703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50" w:type="pct"/>
                  <w:tcBorders>
                    <w:top w:val="single" w:color="auto" w:sz="4" w:space="0"/>
                    <w:left w:val="single" w:color="auto" w:sz="4" w:space="0"/>
                    <w:bottom w:val="single" w:color="auto" w:sz="4" w:space="0"/>
                    <w:right w:val="single" w:color="auto" w:sz="4" w:space="0"/>
                  </w:tcBorders>
                  <w:noWrap w:val="0"/>
                  <w:vAlign w:val="center"/>
                </w:tcPr>
                <w:p w14:paraId="3CA0F8E4">
                  <w:pPr>
                    <w:spacing w:line="240" w:lineRule="exact"/>
                    <w:jc w:val="center"/>
                    <w:rPr>
                      <w:rFonts w:hint="default" w:ascii="Times New Roman" w:hAnsi="Times New Roman" w:cs="Times New Roman"/>
                    </w:rPr>
                  </w:pPr>
                  <w:r>
                    <w:rPr>
                      <w:rFonts w:hint="default" w:ascii="Times New Roman" w:hAnsi="Times New Roman" w:cs="Times New Roman"/>
                    </w:rPr>
                    <w:t>泄漏处理</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391FD110">
                  <w:pPr>
                    <w:spacing w:line="300" w:lineRule="exact"/>
                    <w:rPr>
                      <w:rFonts w:hint="default" w:ascii="Times New Roman" w:hAnsi="Times New Roman" w:cs="Times New Roman"/>
                      <w:color w:val="FF0000"/>
                    </w:rPr>
                  </w:pPr>
                  <w:r>
                    <w:rPr>
                      <w:rFonts w:hint="default" w:ascii="Times New Roman" w:hAnsi="Times New Roman" w:cs="Times New Roman"/>
                    </w:rPr>
                    <w:t>迅速撤离泄漏污染区人员至安全区，并进行隔离，严格限制出入。切断火源。建议应急处理人员戴自给正压式呼吸器，穿消防防护服。尽可能切断泄漏源，防止进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14:paraId="7910CE7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68" w:hRule="atLeast"/>
              </w:trPr>
              <w:tc>
                <w:tcPr>
                  <w:tcW w:w="250" w:type="pct"/>
                  <w:tcBorders>
                    <w:top w:val="single" w:color="auto" w:sz="4" w:space="0"/>
                    <w:left w:val="single" w:color="auto" w:sz="4" w:space="0"/>
                    <w:bottom w:val="single" w:color="auto" w:sz="4" w:space="0"/>
                    <w:right w:val="single" w:color="auto" w:sz="4" w:space="0"/>
                  </w:tcBorders>
                  <w:noWrap w:val="0"/>
                  <w:vAlign w:val="center"/>
                </w:tcPr>
                <w:p w14:paraId="1DDAD4AC">
                  <w:pPr>
                    <w:spacing w:line="280" w:lineRule="exact"/>
                    <w:rPr>
                      <w:rFonts w:hint="default" w:ascii="Times New Roman" w:hAnsi="Times New Roman" w:cs="Times New Roman"/>
                    </w:rPr>
                  </w:pPr>
                  <w:r>
                    <w:rPr>
                      <w:rFonts w:hint="default" w:ascii="Times New Roman" w:hAnsi="Times New Roman" w:cs="Times New Roman"/>
                    </w:rPr>
                    <w:t>贮运</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7CAC1DB">
                  <w:pPr>
                    <w:spacing w:line="300" w:lineRule="exact"/>
                    <w:rPr>
                      <w:rFonts w:hint="default" w:ascii="Times New Roman" w:hAnsi="Times New Roman" w:cs="Times New Roman"/>
                    </w:rPr>
                  </w:pPr>
                  <w:r>
                    <w:rPr>
                      <w:rFonts w:hint="default" w:ascii="Times New Roman" w:hAnsi="Times New Roman" w:cs="Times New Roman"/>
                    </w:rPr>
                    <w:t>包装标志：7        UN编号：1915       包装分类：Ⅲ</w:t>
                  </w:r>
                </w:p>
                <w:p w14:paraId="4EB54386">
                  <w:pPr>
                    <w:spacing w:line="300" w:lineRule="exact"/>
                    <w:rPr>
                      <w:rFonts w:hint="default" w:ascii="Times New Roman" w:hAnsi="Times New Roman" w:cs="Times New Roman"/>
                    </w:rPr>
                  </w:pPr>
                  <w:r>
                    <w:rPr>
                      <w:rFonts w:hint="default" w:ascii="Times New Roman" w:hAnsi="Times New Roman" w:cs="Times New Roman"/>
                    </w:rPr>
                    <w:t>包装方法：小开口钢桶；螺纹口玻璃瓶、铁盖压口玻璃瓶、塑料瓶或金属桶（罐）外木板箱；安瓿瓶外木板箱。</w:t>
                  </w:r>
                </w:p>
                <w:p w14:paraId="32F5ED2B">
                  <w:pPr>
                    <w:spacing w:line="300" w:lineRule="exact"/>
                    <w:rPr>
                      <w:rFonts w:hint="default" w:ascii="Times New Roman" w:hAnsi="Times New Roman" w:cs="Times New Roman"/>
                      <w:color w:val="FF0000"/>
                    </w:rPr>
                  </w:pPr>
                  <w:r>
                    <w:rPr>
                      <w:rFonts w:hint="default" w:ascii="Times New Roman" w:hAnsi="Times New Roman" w:cs="Times New Roman"/>
                    </w:rPr>
                    <w:t>储运条件：储存在阴凉、通风仓间内。远离火种、热源。仓内温度不宜超过30℃。防止阳光直射。密封包装，不可与空气接触。应与氧化剂分开存放。仓间内的照明、通风等设施应采用防爆型，开关设在仓外。配备相应品种和数量的消防器材。罐储时要有防火防爆技术措施。禁止使用易产生火花的机械设备工具。充装要控制流速，注意防止静电积聚。搬运时要轻装轻卸，防止包装及容器损坏。</w:t>
                  </w:r>
                </w:p>
              </w:tc>
            </w:tr>
          </w:tbl>
          <w:p w14:paraId="230050B2">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p>
          <w:p w14:paraId="35178FDF">
            <w:pPr>
              <w:pStyle w:val="10"/>
              <w:keepNext w:val="0"/>
              <w:keepLines w:val="0"/>
              <w:pageBreakBefore w:val="0"/>
              <w:widowControl/>
              <w:kinsoku/>
              <w:wordWrap/>
              <w:overflowPunct/>
              <w:topLinePunct w:val="0"/>
              <w:autoSpaceDE/>
              <w:autoSpaceDN/>
              <w:bidi w:val="0"/>
              <w:adjustRightInd/>
              <w:snapToGrid w:val="0"/>
              <w:spacing w:before="0" w:after="0" w:line="360" w:lineRule="auto"/>
              <w:ind w:right="0" w:firstLine="482" w:firstLineChars="200"/>
              <w:jc w:val="left"/>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5.3 能源消耗情况</w:t>
            </w:r>
          </w:p>
          <w:p w14:paraId="447D2362">
            <w:pPr>
              <w:pStyle w:val="58"/>
              <w:keepNext w:val="0"/>
              <w:keepLines w:val="0"/>
              <w:pageBreakBefore w:val="0"/>
              <w:widowControl w:val="0"/>
              <w:kinsoku/>
              <w:wordWrap/>
              <w:overflowPunct/>
              <w:topLinePunct w:val="0"/>
              <w:autoSpaceDE w:val="0"/>
              <w:autoSpaceDN w:val="0"/>
              <w:bidi w:val="0"/>
              <w:adjustRightInd/>
              <w:snapToGrid w:val="0"/>
              <w:spacing w:line="360" w:lineRule="auto"/>
              <w:ind w:left="0"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本项目运营过程中，消耗能源主要为电、水</w:t>
            </w:r>
            <w:r>
              <w:rPr>
                <w:rFonts w:hint="default" w:ascii="Times New Roman" w:hAnsi="Times New Roman" w:cs="Times New Roman"/>
                <w:color w:val="auto"/>
                <w:sz w:val="24"/>
                <w:szCs w:val="24"/>
                <w:lang w:val="en-US" w:eastAsia="zh-CN"/>
              </w:rPr>
              <w:t>、石油气</w:t>
            </w:r>
            <w:r>
              <w:rPr>
                <w:rFonts w:hint="default" w:ascii="Times New Roman" w:hAnsi="Times New Roman" w:eastAsia="宋体" w:cs="Times New Roman"/>
                <w:color w:val="auto"/>
                <w:sz w:val="24"/>
                <w:szCs w:val="24"/>
                <w:lang w:val="en-US" w:eastAsia="zh-CN"/>
              </w:rPr>
              <w:t>。</w:t>
            </w:r>
          </w:p>
          <w:p w14:paraId="04BD797A">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本项目能源消耗情况见表</w:t>
            </w:r>
            <w:r>
              <w:rPr>
                <w:rFonts w:hint="default" w:ascii="Times New Roman" w:hAnsi="Times New Roman" w:cs="Times New Roman"/>
                <w:color w:val="auto"/>
                <w:highlight w:val="none"/>
                <w:lang w:val="en-US" w:eastAsia="zh-CN"/>
              </w:rPr>
              <w:t>2.5-12</w:t>
            </w:r>
            <w:r>
              <w:rPr>
                <w:rFonts w:hint="default" w:ascii="Times New Roman" w:hAnsi="Times New Roman" w:cs="Times New Roman"/>
                <w:color w:val="auto"/>
                <w:highlight w:val="none"/>
              </w:rPr>
              <w:t>。</w:t>
            </w:r>
          </w:p>
          <w:p w14:paraId="602498C8">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 xml:space="preserve">2.5-12     </w:t>
            </w:r>
            <w:r>
              <w:rPr>
                <w:rFonts w:hint="default" w:ascii="Times New Roman" w:hAnsi="Times New Roman" w:cs="Times New Roman"/>
                <w:b/>
                <w:bCs/>
                <w:color w:val="auto"/>
                <w:sz w:val="21"/>
                <w:szCs w:val="21"/>
                <w:highlight w:val="none"/>
              </w:rPr>
              <w:t>能源消耗一览表</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5"/>
              <w:gridCol w:w="1499"/>
              <w:gridCol w:w="1218"/>
              <w:gridCol w:w="1070"/>
              <w:gridCol w:w="2039"/>
              <w:gridCol w:w="1460"/>
            </w:tblGrid>
            <w:tr w14:paraId="79DA1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1" w:hRule="atLeast"/>
                <w:tblHeader/>
                <w:jc w:val="center"/>
              </w:trPr>
              <w:tc>
                <w:tcPr>
                  <w:tcW w:w="435" w:type="pct"/>
                  <w:tcBorders>
                    <w:tl2br w:val="nil"/>
                    <w:tr2bl w:val="nil"/>
                  </w:tcBorders>
                  <w:noWrap w:val="0"/>
                  <w:vAlign w:val="center"/>
                </w:tcPr>
                <w:p w14:paraId="0008743E">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939" w:type="pct"/>
                  <w:tcBorders>
                    <w:tl2br w:val="nil"/>
                    <w:tr2bl w:val="nil"/>
                  </w:tcBorders>
                  <w:noWrap w:val="0"/>
                  <w:vAlign w:val="center"/>
                </w:tcPr>
                <w:p w14:paraId="6D983567">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指标名称</w:t>
                  </w:r>
                </w:p>
              </w:tc>
              <w:tc>
                <w:tcPr>
                  <w:tcW w:w="763" w:type="pct"/>
                  <w:tcBorders>
                    <w:tl2br w:val="nil"/>
                    <w:tr2bl w:val="nil"/>
                  </w:tcBorders>
                  <w:noWrap w:val="0"/>
                  <w:vAlign w:val="center"/>
                </w:tcPr>
                <w:p w14:paraId="6D9E6B72">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单位</w:t>
                  </w:r>
                </w:p>
              </w:tc>
              <w:tc>
                <w:tcPr>
                  <w:tcW w:w="670" w:type="pct"/>
                  <w:tcBorders>
                    <w:tl2br w:val="nil"/>
                    <w:tr2bl w:val="nil"/>
                  </w:tcBorders>
                  <w:noWrap w:val="0"/>
                  <w:vAlign w:val="center"/>
                </w:tcPr>
                <w:p w14:paraId="594E932F">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用量</w:t>
                  </w:r>
                </w:p>
              </w:tc>
              <w:tc>
                <w:tcPr>
                  <w:tcW w:w="1277" w:type="pct"/>
                  <w:tcBorders>
                    <w:tl2br w:val="nil"/>
                    <w:tr2bl w:val="nil"/>
                  </w:tcBorders>
                  <w:noWrap w:val="0"/>
                  <w:vAlign w:val="center"/>
                </w:tcPr>
                <w:p w14:paraId="2C0C896C">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来源</w:t>
                  </w:r>
                </w:p>
              </w:tc>
              <w:tc>
                <w:tcPr>
                  <w:tcW w:w="914" w:type="pct"/>
                  <w:tcBorders>
                    <w:tl2br w:val="nil"/>
                    <w:tr2bl w:val="nil"/>
                  </w:tcBorders>
                  <w:noWrap w:val="0"/>
                  <w:vAlign w:val="center"/>
                </w:tcPr>
                <w:p w14:paraId="26587FD0">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备注</w:t>
                  </w:r>
                </w:p>
              </w:tc>
            </w:tr>
            <w:tr w14:paraId="321EA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blHeader/>
                <w:jc w:val="center"/>
              </w:trPr>
              <w:tc>
                <w:tcPr>
                  <w:tcW w:w="435" w:type="pct"/>
                  <w:tcBorders>
                    <w:tl2br w:val="nil"/>
                    <w:tr2bl w:val="nil"/>
                  </w:tcBorders>
                  <w:noWrap w:val="0"/>
                  <w:vAlign w:val="center"/>
                </w:tcPr>
                <w:p w14:paraId="71F01091">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939" w:type="pct"/>
                  <w:tcBorders>
                    <w:tl2br w:val="nil"/>
                    <w:tr2bl w:val="nil"/>
                  </w:tcBorders>
                  <w:noWrap w:val="0"/>
                  <w:vAlign w:val="center"/>
                </w:tcPr>
                <w:p w14:paraId="09FF9671">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w:t>
                  </w:r>
                </w:p>
              </w:tc>
              <w:tc>
                <w:tcPr>
                  <w:tcW w:w="763" w:type="pct"/>
                  <w:tcBorders>
                    <w:tl2br w:val="nil"/>
                    <w:tr2bl w:val="nil"/>
                  </w:tcBorders>
                  <w:noWrap w:val="0"/>
                  <w:vAlign w:val="center"/>
                </w:tcPr>
                <w:p w14:paraId="263943FC">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万kW</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rPr>
                    <w:t>h/a</w:t>
                  </w:r>
                </w:p>
              </w:tc>
              <w:tc>
                <w:tcPr>
                  <w:tcW w:w="670" w:type="pct"/>
                  <w:tcBorders>
                    <w:tl2br w:val="nil"/>
                    <w:tr2bl w:val="nil"/>
                  </w:tcBorders>
                  <w:noWrap w:val="0"/>
                  <w:vAlign w:val="center"/>
                </w:tcPr>
                <w:p w14:paraId="384E8983">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r>
                    <w:rPr>
                      <w:rFonts w:hint="default" w:ascii="Times New Roman" w:hAnsi="Times New Roman" w:eastAsia="宋体" w:cs="Times New Roman"/>
                      <w:color w:val="auto"/>
                      <w:sz w:val="21"/>
                      <w:szCs w:val="21"/>
                      <w:highlight w:val="none"/>
                      <w:lang w:val="en-US" w:eastAsia="zh-CN"/>
                    </w:rPr>
                    <w:t>658.97</w:t>
                  </w:r>
                </w:p>
              </w:tc>
              <w:tc>
                <w:tcPr>
                  <w:tcW w:w="1277" w:type="pct"/>
                  <w:tcBorders>
                    <w:tl2br w:val="nil"/>
                    <w:tr2bl w:val="nil"/>
                  </w:tcBorders>
                  <w:noWrap w:val="0"/>
                  <w:vAlign w:val="center"/>
                </w:tcPr>
                <w:p w14:paraId="2D31227C">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园区</w:t>
                  </w:r>
                  <w:r>
                    <w:rPr>
                      <w:rFonts w:hint="default" w:ascii="Times New Roman" w:hAnsi="Times New Roman" w:cs="Times New Roman"/>
                      <w:color w:val="auto"/>
                      <w:sz w:val="21"/>
                      <w:szCs w:val="21"/>
                      <w:highlight w:val="none"/>
                      <w:lang w:eastAsia="zh-CN"/>
                    </w:rPr>
                    <w:t>供电系统</w:t>
                  </w:r>
                  <w:r>
                    <w:rPr>
                      <w:rFonts w:hint="default" w:ascii="Times New Roman" w:hAnsi="Times New Roman" w:cs="Times New Roman"/>
                      <w:color w:val="auto"/>
                      <w:sz w:val="21"/>
                      <w:szCs w:val="21"/>
                      <w:highlight w:val="none"/>
                    </w:rPr>
                    <w:t>提供</w:t>
                  </w:r>
                </w:p>
              </w:tc>
              <w:tc>
                <w:tcPr>
                  <w:tcW w:w="914" w:type="pct"/>
                  <w:tcBorders>
                    <w:tl2br w:val="nil"/>
                    <w:tr2bl w:val="nil"/>
                  </w:tcBorders>
                  <w:noWrap w:val="0"/>
                  <w:vAlign w:val="center"/>
                </w:tcPr>
                <w:p w14:paraId="32DFE1E6">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39D2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1" w:hRule="atLeast"/>
                <w:tblHeader/>
                <w:jc w:val="center"/>
              </w:trPr>
              <w:tc>
                <w:tcPr>
                  <w:tcW w:w="435" w:type="pct"/>
                  <w:tcBorders>
                    <w:tl2br w:val="nil"/>
                    <w:tr2bl w:val="nil"/>
                  </w:tcBorders>
                  <w:noWrap w:val="0"/>
                  <w:vAlign w:val="center"/>
                </w:tcPr>
                <w:p w14:paraId="3C5D96ED">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2</w:t>
                  </w:r>
                </w:p>
              </w:tc>
              <w:tc>
                <w:tcPr>
                  <w:tcW w:w="939" w:type="pct"/>
                  <w:tcBorders>
                    <w:tl2br w:val="nil"/>
                    <w:tr2bl w:val="nil"/>
                  </w:tcBorders>
                  <w:noWrap w:val="0"/>
                  <w:vAlign w:val="center"/>
                </w:tcPr>
                <w:p w14:paraId="5AEB1E19">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新鲜水</w:t>
                  </w:r>
                </w:p>
                <w:p w14:paraId="361ACDD0">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eastAsia="zh-CN"/>
                    </w:rPr>
                    <w:t>（</w:t>
                  </w:r>
                  <w:r>
                    <w:rPr>
                      <w:rFonts w:hint="default" w:ascii="Times New Roman" w:hAnsi="Times New Roman" w:cs="Times New Roman"/>
                      <w:color w:val="0000FF"/>
                      <w:sz w:val="21"/>
                      <w:szCs w:val="21"/>
                      <w:highlight w:val="none"/>
                      <w:lang w:val="en-US" w:eastAsia="zh-CN"/>
                    </w:rPr>
                    <w:t>市政供水</w:t>
                  </w:r>
                  <w:r>
                    <w:rPr>
                      <w:rFonts w:hint="default" w:ascii="Times New Roman" w:hAnsi="Times New Roman" w:cs="Times New Roman"/>
                      <w:color w:val="0000FF"/>
                      <w:sz w:val="21"/>
                      <w:szCs w:val="21"/>
                      <w:highlight w:val="none"/>
                      <w:lang w:eastAsia="zh-CN"/>
                    </w:rPr>
                    <w:t>）</w:t>
                  </w:r>
                </w:p>
              </w:tc>
              <w:tc>
                <w:tcPr>
                  <w:tcW w:w="763" w:type="pct"/>
                  <w:tcBorders>
                    <w:tl2br w:val="nil"/>
                    <w:tr2bl w:val="nil"/>
                  </w:tcBorders>
                  <w:noWrap w:val="0"/>
                  <w:vAlign w:val="center"/>
                </w:tcPr>
                <w:p w14:paraId="33AB596B">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m</w:t>
                  </w:r>
                  <w:r>
                    <w:rPr>
                      <w:rFonts w:hint="default" w:ascii="Times New Roman" w:hAnsi="Times New Roman" w:cs="Times New Roman"/>
                      <w:color w:val="0000FF"/>
                      <w:sz w:val="21"/>
                      <w:szCs w:val="21"/>
                      <w:highlight w:val="none"/>
                      <w:vertAlign w:val="superscript"/>
                    </w:rPr>
                    <w:t>3</w:t>
                  </w:r>
                  <w:r>
                    <w:rPr>
                      <w:rFonts w:hint="default" w:ascii="Times New Roman" w:hAnsi="Times New Roman" w:cs="Times New Roman"/>
                      <w:color w:val="0000FF"/>
                      <w:sz w:val="21"/>
                      <w:szCs w:val="21"/>
                      <w:highlight w:val="none"/>
                    </w:rPr>
                    <w:t>/a</w:t>
                  </w:r>
                </w:p>
              </w:tc>
              <w:tc>
                <w:tcPr>
                  <w:tcW w:w="670" w:type="pct"/>
                  <w:tcBorders>
                    <w:tl2br w:val="nil"/>
                    <w:tr2bl w:val="nil"/>
                  </w:tcBorders>
                  <w:noWrap w:val="0"/>
                  <w:vAlign w:val="center"/>
                </w:tcPr>
                <w:p w14:paraId="1D50FC68">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color w:val="0000FF"/>
                      <w:sz w:val="21"/>
                      <w:szCs w:val="21"/>
                      <w:highlight w:val="none"/>
                      <w:lang w:val="en-US" w:eastAsia="zh-CN"/>
                    </w:rPr>
                  </w:pPr>
                  <w:r>
                    <w:rPr>
                      <w:rFonts w:hint="eastAsia" w:ascii="Times New Roman" w:cs="Times New Roman"/>
                      <w:color w:val="0000FF"/>
                      <w:sz w:val="21"/>
                      <w:szCs w:val="21"/>
                      <w:highlight w:val="none"/>
                      <w:lang w:val="en-US" w:eastAsia="zh-CN"/>
                    </w:rPr>
                    <w:t>2079.60</w:t>
                  </w:r>
                </w:p>
              </w:tc>
              <w:tc>
                <w:tcPr>
                  <w:tcW w:w="1277" w:type="pct"/>
                  <w:tcBorders>
                    <w:tl2br w:val="nil"/>
                    <w:tr2bl w:val="nil"/>
                  </w:tcBorders>
                  <w:noWrap w:val="0"/>
                  <w:vAlign w:val="center"/>
                </w:tcPr>
                <w:p w14:paraId="65178B19">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lang w:val="en-US" w:eastAsia="zh-CN"/>
                    </w:rPr>
                    <w:t>园区生活水</w:t>
                  </w:r>
                  <w:r>
                    <w:rPr>
                      <w:rFonts w:hint="default" w:ascii="Times New Roman" w:hAnsi="Times New Roman" w:cs="Times New Roman"/>
                      <w:color w:val="0000FF"/>
                      <w:sz w:val="21"/>
                      <w:szCs w:val="21"/>
                      <w:highlight w:val="none"/>
                    </w:rPr>
                    <w:t>供水管网</w:t>
                  </w:r>
                </w:p>
              </w:tc>
              <w:tc>
                <w:tcPr>
                  <w:tcW w:w="914" w:type="pct"/>
                  <w:tcBorders>
                    <w:tl2br w:val="nil"/>
                    <w:tr2bl w:val="nil"/>
                  </w:tcBorders>
                  <w:noWrap w:val="0"/>
                  <w:vAlign w:val="center"/>
                </w:tcPr>
                <w:p w14:paraId="0BF40BE4">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w:t>
                  </w:r>
                </w:p>
              </w:tc>
            </w:tr>
            <w:tr w14:paraId="70EE9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1" w:hRule="atLeast"/>
                <w:tblHeader/>
                <w:jc w:val="center"/>
              </w:trPr>
              <w:tc>
                <w:tcPr>
                  <w:tcW w:w="435" w:type="pct"/>
                  <w:tcBorders>
                    <w:tl2br w:val="nil"/>
                    <w:tr2bl w:val="nil"/>
                  </w:tcBorders>
                  <w:noWrap w:val="0"/>
                  <w:vAlign w:val="center"/>
                </w:tcPr>
                <w:p w14:paraId="0D02A945">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3</w:t>
                  </w:r>
                </w:p>
              </w:tc>
              <w:tc>
                <w:tcPr>
                  <w:tcW w:w="939" w:type="pct"/>
                  <w:tcBorders>
                    <w:tl2br w:val="nil"/>
                    <w:tr2bl w:val="nil"/>
                  </w:tcBorders>
                  <w:noWrap w:val="0"/>
                  <w:vAlign w:val="center"/>
                </w:tcPr>
                <w:p w14:paraId="60152365">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纯水</w:t>
                  </w:r>
                </w:p>
              </w:tc>
              <w:tc>
                <w:tcPr>
                  <w:tcW w:w="763" w:type="pct"/>
                  <w:tcBorders>
                    <w:tl2br w:val="nil"/>
                    <w:tr2bl w:val="nil"/>
                  </w:tcBorders>
                  <w:noWrap w:val="0"/>
                  <w:vAlign w:val="center"/>
                </w:tcPr>
                <w:p w14:paraId="5161E3FB">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m</w:t>
                  </w:r>
                  <w:r>
                    <w:rPr>
                      <w:rFonts w:hint="default" w:ascii="Times New Roman" w:hAnsi="Times New Roman" w:cs="Times New Roman"/>
                      <w:color w:val="0000FF"/>
                      <w:sz w:val="21"/>
                      <w:szCs w:val="21"/>
                      <w:highlight w:val="none"/>
                      <w:vertAlign w:val="superscript"/>
                    </w:rPr>
                    <w:t>3</w:t>
                  </w:r>
                  <w:r>
                    <w:rPr>
                      <w:rFonts w:hint="default" w:ascii="Times New Roman" w:hAnsi="Times New Roman" w:cs="Times New Roman"/>
                      <w:color w:val="0000FF"/>
                      <w:sz w:val="21"/>
                      <w:szCs w:val="21"/>
                      <w:highlight w:val="none"/>
                    </w:rPr>
                    <w:t>/a</w:t>
                  </w:r>
                </w:p>
              </w:tc>
              <w:tc>
                <w:tcPr>
                  <w:tcW w:w="670" w:type="pct"/>
                  <w:tcBorders>
                    <w:tl2br w:val="nil"/>
                    <w:tr2bl w:val="nil"/>
                  </w:tcBorders>
                  <w:noWrap w:val="0"/>
                  <w:vAlign w:val="center"/>
                </w:tcPr>
                <w:p w14:paraId="250B9413">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color w:val="0000FF"/>
                      <w:sz w:val="21"/>
                      <w:szCs w:val="21"/>
                      <w:highlight w:val="none"/>
                      <w:lang w:val="en-US" w:eastAsia="zh-CN"/>
                    </w:rPr>
                  </w:pPr>
                  <w:r>
                    <w:rPr>
                      <w:rFonts w:hint="eastAsia" w:ascii="Times New Roman" w:cs="Times New Roman"/>
                      <w:color w:val="0000FF"/>
                      <w:sz w:val="21"/>
                      <w:szCs w:val="21"/>
                      <w:highlight w:val="none"/>
                      <w:lang w:val="en-US" w:eastAsia="zh-CN"/>
                    </w:rPr>
                    <w:t>30.20</w:t>
                  </w:r>
                </w:p>
              </w:tc>
              <w:tc>
                <w:tcPr>
                  <w:tcW w:w="1277" w:type="pct"/>
                  <w:tcBorders>
                    <w:tl2br w:val="nil"/>
                    <w:tr2bl w:val="nil"/>
                  </w:tcBorders>
                  <w:noWrap w:val="0"/>
                  <w:vAlign w:val="center"/>
                </w:tcPr>
                <w:p w14:paraId="1FC6BDFB">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0000FF"/>
                      <w:sz w:val="21"/>
                      <w:szCs w:val="21"/>
                      <w:highlight w:val="none"/>
                      <w:lang w:val="en-US" w:eastAsia="zh-CN"/>
                    </w:rPr>
                  </w:pPr>
                  <w:r>
                    <w:rPr>
                      <w:rFonts w:hint="default" w:ascii="Times New Roman" w:hAnsi="Times New Roman" w:cs="Times New Roman"/>
                      <w:color w:val="0000FF"/>
                      <w:sz w:val="21"/>
                      <w:szCs w:val="21"/>
                      <w:highlight w:val="none"/>
                      <w:lang w:val="en-US" w:eastAsia="zh-CN"/>
                    </w:rPr>
                    <w:t>外购纯水</w:t>
                  </w:r>
                </w:p>
              </w:tc>
              <w:tc>
                <w:tcPr>
                  <w:tcW w:w="914" w:type="pct"/>
                  <w:tcBorders>
                    <w:tl2br w:val="nil"/>
                    <w:tr2bl w:val="nil"/>
                  </w:tcBorders>
                  <w:noWrap w:val="0"/>
                  <w:vAlign w:val="center"/>
                </w:tcPr>
                <w:p w14:paraId="1F871A46">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0000FF"/>
                      <w:sz w:val="21"/>
                      <w:szCs w:val="21"/>
                      <w:highlight w:val="none"/>
                    </w:rPr>
                  </w:pPr>
                  <w:r>
                    <w:rPr>
                      <w:rFonts w:hint="default" w:ascii="Times New Roman" w:hAnsi="Times New Roman" w:cs="Times New Roman"/>
                      <w:color w:val="0000FF"/>
                      <w:sz w:val="21"/>
                      <w:szCs w:val="21"/>
                      <w:highlight w:val="none"/>
                    </w:rPr>
                    <w:t>--</w:t>
                  </w:r>
                </w:p>
              </w:tc>
            </w:tr>
            <w:tr w14:paraId="7F975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1" w:hRule="atLeast"/>
                <w:tblHeader/>
                <w:jc w:val="center"/>
              </w:trPr>
              <w:tc>
                <w:tcPr>
                  <w:tcW w:w="435" w:type="pct"/>
                  <w:tcBorders>
                    <w:tl2br w:val="nil"/>
                    <w:tr2bl w:val="nil"/>
                  </w:tcBorders>
                  <w:noWrap w:val="0"/>
                  <w:vAlign w:val="center"/>
                </w:tcPr>
                <w:p w14:paraId="24E16072">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939" w:type="pct"/>
                  <w:tcBorders>
                    <w:tl2br w:val="nil"/>
                    <w:tr2bl w:val="nil"/>
                  </w:tcBorders>
                  <w:noWrap w:val="0"/>
                  <w:vAlign w:val="center"/>
                </w:tcPr>
                <w:p w14:paraId="58946CC0">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液化石油气</w:t>
                  </w:r>
                </w:p>
              </w:tc>
              <w:tc>
                <w:tcPr>
                  <w:tcW w:w="763" w:type="pct"/>
                  <w:tcBorders>
                    <w:tl2br w:val="nil"/>
                    <w:tr2bl w:val="nil"/>
                  </w:tcBorders>
                  <w:noWrap w:val="0"/>
                  <w:vAlign w:val="center"/>
                </w:tcPr>
                <w:p w14:paraId="72ABEDDF">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670" w:type="pct"/>
                  <w:tcBorders>
                    <w:tl2br w:val="nil"/>
                    <w:tr2bl w:val="nil"/>
                  </w:tcBorders>
                  <w:noWrap w:val="0"/>
                  <w:vAlign w:val="center"/>
                </w:tcPr>
                <w:p w14:paraId="4EBA63E8">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9000</w:t>
                  </w:r>
                </w:p>
              </w:tc>
              <w:tc>
                <w:tcPr>
                  <w:tcW w:w="1277" w:type="pct"/>
                  <w:tcBorders>
                    <w:tl2br w:val="nil"/>
                    <w:tr2bl w:val="nil"/>
                  </w:tcBorders>
                  <w:noWrap w:val="0"/>
                  <w:vAlign w:val="center"/>
                </w:tcPr>
                <w:p w14:paraId="554B1B01">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本企业提供</w:t>
                  </w:r>
                </w:p>
              </w:tc>
              <w:tc>
                <w:tcPr>
                  <w:tcW w:w="914" w:type="pct"/>
                  <w:tcBorders>
                    <w:tl2br w:val="nil"/>
                    <w:tr2bl w:val="nil"/>
                  </w:tcBorders>
                  <w:noWrap w:val="0"/>
                  <w:vAlign w:val="center"/>
                </w:tcPr>
                <w:p w14:paraId="0E53C4DF">
                  <w:pPr>
                    <w:pStyle w:val="87"/>
                    <w:keepNext w:val="0"/>
                    <w:keepLines w:val="0"/>
                    <w:pageBreakBefore w:val="0"/>
                    <w:widowControl/>
                    <w:kinsoku/>
                    <w:wordWrap/>
                    <w:overflowPunct/>
                    <w:topLinePunct w:val="0"/>
                    <w:autoSpaceDE w:val="0"/>
                    <w:autoSpaceDN w:val="0"/>
                    <w:bidi w:val="0"/>
                    <w:adjustRightInd/>
                    <w:snapToGrid/>
                    <w:ind w:firstLine="0" w:firstLineChar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耗气量以气体体积计</w:t>
                  </w:r>
                </w:p>
              </w:tc>
            </w:tr>
          </w:tbl>
          <w:p w14:paraId="61F176FE">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kern w:val="0"/>
                <w:sz w:val="24"/>
                <w:szCs w:val="24"/>
                <w:lang w:val="en-US" w:eastAsia="zh-CN" w:bidi="ar"/>
              </w:rPr>
            </w:pPr>
          </w:p>
          <w:p w14:paraId="53C017C7">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kern w:val="0"/>
                <w:sz w:val="24"/>
                <w:szCs w:val="24"/>
                <w:lang w:val="en-US" w:eastAsia="zh-CN" w:bidi="ar"/>
              </w:rPr>
            </w:pPr>
            <w:r>
              <w:rPr>
                <w:rFonts w:hint="default" w:ascii="Times New Roman" w:hAnsi="Times New Roman" w:eastAsia="宋体" w:cs="Times New Roman"/>
                <w:b/>
                <w:bCs/>
                <w:color w:val="000000"/>
                <w:kern w:val="0"/>
                <w:sz w:val="24"/>
                <w:szCs w:val="24"/>
                <w:lang w:val="en-US" w:eastAsia="zh-CN" w:bidi="ar"/>
              </w:rPr>
              <w:t>6、主要生产设备</w:t>
            </w:r>
          </w:p>
          <w:p w14:paraId="7CD2DA89">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6.1 灌（充）装站主要生产设备</w:t>
            </w:r>
          </w:p>
          <w:p w14:paraId="16A69856">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cs="Times New Roman"/>
                <w:color w:val="auto"/>
                <w:highlight w:val="none"/>
                <w:lang w:val="en-US" w:eastAsia="zh-CN"/>
              </w:rPr>
              <w:t>灌（充）装站</w:t>
            </w:r>
            <w:r>
              <w:rPr>
                <w:rFonts w:hint="default" w:ascii="Times New Roman" w:hAnsi="Times New Roman" w:eastAsia="宋体" w:cs="Times New Roman"/>
                <w:color w:val="auto"/>
                <w:highlight w:val="none"/>
                <w:lang w:val="en-US" w:eastAsia="zh-CN"/>
              </w:rPr>
              <w:t>主要生产设备如下表所示：</w:t>
            </w:r>
          </w:p>
          <w:p w14:paraId="3819BBC0">
            <w:pPr>
              <w:keepNext w:val="0"/>
              <w:keepLines w:val="0"/>
              <w:pageBreakBefore w:val="0"/>
              <w:widowControl w:val="0"/>
              <w:kinsoku/>
              <w:wordWrap/>
              <w:overflowPunct/>
              <w:topLinePunct w:val="0"/>
              <w:autoSpaceDE w:val="0"/>
              <w:autoSpaceDN w:val="0"/>
              <w:bidi w:val="0"/>
              <w:adjustRightInd/>
              <w:snapToGrid/>
              <w:spacing w:line="360" w:lineRule="auto"/>
              <w:ind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2.6-1   项目灌（充）装站主要生产设备</w:t>
            </w:r>
            <w:r>
              <w:rPr>
                <w:rFonts w:hint="default" w:ascii="Times New Roman" w:hAnsi="Times New Roman" w:cs="Times New Roman"/>
                <w:b/>
                <w:bCs/>
                <w:color w:val="auto"/>
                <w:sz w:val="21"/>
                <w:szCs w:val="21"/>
                <w:highlight w:val="none"/>
              </w:rPr>
              <w:t>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82"/>
              <w:gridCol w:w="1793"/>
              <w:gridCol w:w="2475"/>
              <w:gridCol w:w="936"/>
              <w:gridCol w:w="1298"/>
            </w:tblGrid>
            <w:tr w14:paraId="334C1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0" w:hRule="atLeast"/>
                <w:jc w:val="center"/>
              </w:trPr>
              <w:tc>
                <w:tcPr>
                  <w:tcW w:w="1472" w:type="dxa"/>
                  <w:noWrap w:val="0"/>
                  <w:vAlign w:val="center"/>
                </w:tcPr>
                <w:p w14:paraId="40451F03">
                  <w:pPr>
                    <w:spacing w:line="300" w:lineRule="exact"/>
                    <w:jc w:val="center"/>
                    <w:rPr>
                      <w:rFonts w:hint="default" w:ascii="Times New Roman" w:hAnsi="Times New Roman" w:eastAsia="宋体" w:cs="Times New Roman"/>
                      <w:b/>
                      <w:bCs/>
                      <w:szCs w:val="21"/>
                      <w:lang w:val="en-US" w:eastAsia="zh-CN"/>
                    </w:rPr>
                  </w:pPr>
                  <w:r>
                    <w:rPr>
                      <w:rFonts w:hint="default" w:ascii="Times New Roman" w:hAnsi="Times New Roman" w:cs="Times New Roman"/>
                      <w:b/>
                      <w:bCs/>
                      <w:szCs w:val="21"/>
                      <w:lang w:val="en-US" w:eastAsia="zh-CN"/>
                    </w:rPr>
                    <w:t>生产单元名称</w:t>
                  </w:r>
                </w:p>
              </w:tc>
              <w:tc>
                <w:tcPr>
                  <w:tcW w:w="1781" w:type="dxa"/>
                  <w:noWrap w:val="0"/>
                  <w:vAlign w:val="center"/>
                </w:tcPr>
                <w:p w14:paraId="2D091ACE">
                  <w:pPr>
                    <w:spacing w:line="300" w:lineRule="exact"/>
                    <w:jc w:val="center"/>
                    <w:rPr>
                      <w:rFonts w:hint="default" w:ascii="Times New Roman" w:hAnsi="Times New Roman" w:cs="Times New Roman"/>
                      <w:b/>
                      <w:bCs/>
                      <w:szCs w:val="21"/>
                    </w:rPr>
                  </w:pPr>
                  <w:r>
                    <w:rPr>
                      <w:rFonts w:hint="default" w:ascii="Times New Roman" w:hAnsi="Times New Roman" w:cs="Times New Roman"/>
                      <w:b/>
                      <w:bCs/>
                      <w:szCs w:val="21"/>
                    </w:rPr>
                    <w:t>设备名称</w:t>
                  </w:r>
                </w:p>
              </w:tc>
              <w:tc>
                <w:tcPr>
                  <w:tcW w:w="2459" w:type="dxa"/>
                  <w:noWrap w:val="0"/>
                  <w:vAlign w:val="center"/>
                </w:tcPr>
                <w:p w14:paraId="09A52D88">
                  <w:pPr>
                    <w:spacing w:line="300" w:lineRule="exact"/>
                    <w:jc w:val="center"/>
                    <w:rPr>
                      <w:rFonts w:hint="default" w:ascii="Times New Roman" w:hAnsi="Times New Roman" w:cs="Times New Roman"/>
                      <w:b/>
                      <w:bCs/>
                      <w:szCs w:val="21"/>
                    </w:rPr>
                  </w:pPr>
                  <w:r>
                    <w:rPr>
                      <w:rFonts w:hint="default" w:ascii="Times New Roman" w:hAnsi="Times New Roman" w:cs="Times New Roman"/>
                      <w:b/>
                      <w:bCs/>
                      <w:szCs w:val="21"/>
                    </w:rPr>
                    <w:t>型号规格</w:t>
                  </w:r>
                </w:p>
              </w:tc>
              <w:tc>
                <w:tcPr>
                  <w:tcW w:w="930" w:type="dxa"/>
                  <w:noWrap w:val="0"/>
                  <w:vAlign w:val="center"/>
                </w:tcPr>
                <w:p w14:paraId="19495CD3">
                  <w:pPr>
                    <w:spacing w:line="300" w:lineRule="exact"/>
                    <w:jc w:val="center"/>
                    <w:rPr>
                      <w:rFonts w:hint="default" w:ascii="Times New Roman" w:hAnsi="Times New Roman" w:cs="Times New Roman"/>
                      <w:b/>
                      <w:bCs/>
                      <w:szCs w:val="21"/>
                    </w:rPr>
                  </w:pPr>
                  <w:r>
                    <w:rPr>
                      <w:rFonts w:hint="default" w:ascii="Times New Roman" w:hAnsi="Times New Roman" w:cs="Times New Roman"/>
                      <w:b/>
                      <w:bCs/>
                      <w:szCs w:val="21"/>
                    </w:rPr>
                    <w:t>数量</w:t>
                  </w:r>
                </w:p>
                <w:p w14:paraId="78B3B21D">
                  <w:pPr>
                    <w:spacing w:line="300" w:lineRule="exact"/>
                    <w:jc w:val="center"/>
                    <w:rPr>
                      <w:rFonts w:hint="default" w:ascii="Times New Roman" w:hAnsi="Times New Roman" w:cs="Times New Roman"/>
                      <w:b/>
                      <w:bCs/>
                      <w:szCs w:val="21"/>
                    </w:rPr>
                  </w:pPr>
                  <w:r>
                    <w:rPr>
                      <w:rFonts w:hint="default" w:ascii="Times New Roman" w:hAnsi="Times New Roman" w:cs="Times New Roman"/>
                      <w:b/>
                      <w:bCs/>
                      <w:szCs w:val="21"/>
                    </w:rPr>
                    <w:t>（套/台）</w:t>
                  </w:r>
                </w:p>
              </w:tc>
              <w:tc>
                <w:tcPr>
                  <w:tcW w:w="1290" w:type="dxa"/>
                  <w:noWrap w:val="0"/>
                  <w:vAlign w:val="center"/>
                </w:tcPr>
                <w:p w14:paraId="13F35836">
                  <w:pPr>
                    <w:spacing w:line="300" w:lineRule="exact"/>
                    <w:jc w:val="center"/>
                    <w:rPr>
                      <w:rFonts w:hint="default" w:ascii="Times New Roman" w:hAnsi="Times New Roman" w:eastAsia="宋体" w:cs="Times New Roman"/>
                      <w:b/>
                      <w:bCs/>
                      <w:szCs w:val="21"/>
                      <w:lang w:val="en-US" w:eastAsia="zh-CN"/>
                    </w:rPr>
                  </w:pPr>
                  <w:r>
                    <w:rPr>
                      <w:rFonts w:hint="default" w:ascii="Times New Roman" w:hAnsi="Times New Roman" w:cs="Times New Roman"/>
                      <w:b/>
                      <w:bCs/>
                      <w:szCs w:val="21"/>
                      <w:lang w:val="en-US" w:eastAsia="zh-CN"/>
                    </w:rPr>
                    <w:t>备注</w:t>
                  </w:r>
                </w:p>
              </w:tc>
            </w:tr>
            <w:tr w14:paraId="7DCD9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2" w:type="dxa"/>
                  <w:vMerge w:val="restart"/>
                  <w:noWrap w:val="0"/>
                  <w:vAlign w:val="center"/>
                </w:tcPr>
                <w:p w14:paraId="4EE29AC4">
                  <w:pPr>
                    <w:spacing w:line="30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LPG灌装</w:t>
                  </w:r>
                </w:p>
              </w:tc>
              <w:tc>
                <w:tcPr>
                  <w:tcW w:w="1781" w:type="dxa"/>
                  <w:noWrap w:val="0"/>
                  <w:vAlign w:val="center"/>
                </w:tcPr>
                <w:p w14:paraId="6ED7C1F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FF"/>
                      <w:szCs w:val="21"/>
                    </w:rPr>
                  </w:pPr>
                  <w:r>
                    <w:rPr>
                      <w:rFonts w:hint="default" w:ascii="Times New Roman" w:hAnsi="Times New Roman" w:cs="Times New Roman"/>
                      <w:color w:val="0000FF"/>
                      <w:lang w:val="en-US" w:eastAsia="zh-CN"/>
                    </w:rPr>
                    <w:t>LPG储罐</w:t>
                  </w:r>
                </w:p>
              </w:tc>
              <w:tc>
                <w:tcPr>
                  <w:tcW w:w="2459" w:type="dxa"/>
                  <w:noWrap w:val="0"/>
                  <w:vAlign w:val="center"/>
                </w:tcPr>
                <w:p w14:paraId="62AD0791">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FF"/>
                      <w:vertAlign w:val="superscript"/>
                      <w:lang w:val="en-US" w:eastAsia="zh-CN"/>
                    </w:rPr>
                  </w:pPr>
                  <w:r>
                    <w:rPr>
                      <w:rFonts w:hint="default" w:ascii="Times New Roman" w:hAnsi="Times New Roman" w:cs="Times New Roman"/>
                      <w:color w:val="0000FF"/>
                      <w:lang w:val="en-US" w:eastAsia="zh-CN"/>
                    </w:rPr>
                    <w:t>V=50m</w:t>
                  </w:r>
                  <w:r>
                    <w:rPr>
                      <w:rFonts w:hint="default" w:ascii="Times New Roman" w:hAnsi="Times New Roman" w:cs="Times New Roman"/>
                      <w:color w:val="0000FF"/>
                      <w:vertAlign w:val="superscript"/>
                      <w:lang w:val="en-US" w:eastAsia="zh-CN"/>
                    </w:rPr>
                    <w:t>3</w:t>
                  </w:r>
                </w:p>
                <w:p w14:paraId="6BF7C12D">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FF"/>
                      <w:szCs w:val="21"/>
                    </w:rPr>
                  </w:pPr>
                  <w:r>
                    <w:rPr>
                      <w:rFonts w:hint="default" w:ascii="Times New Roman" w:hAnsi="Times New Roman" w:cs="Times New Roman"/>
                      <w:color w:val="0000FF"/>
                      <w:lang w:val="en-US" w:eastAsia="zh-CN"/>
                    </w:rPr>
                    <w:t>设计压力1.77MPa</w:t>
                  </w:r>
                </w:p>
              </w:tc>
              <w:tc>
                <w:tcPr>
                  <w:tcW w:w="930" w:type="dxa"/>
                  <w:noWrap w:val="0"/>
                  <w:vAlign w:val="center"/>
                </w:tcPr>
                <w:p w14:paraId="4285424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FF"/>
                      <w:kern w:val="0"/>
                      <w:szCs w:val="21"/>
                      <w:lang w:bidi="ar"/>
                    </w:rPr>
                  </w:pPr>
                  <w:r>
                    <w:rPr>
                      <w:rFonts w:hint="eastAsia" w:cs="Times New Roman"/>
                      <w:color w:val="0000FF"/>
                      <w:lang w:val="en-US" w:eastAsia="zh-CN"/>
                    </w:rPr>
                    <w:t>3</w:t>
                  </w:r>
                </w:p>
              </w:tc>
              <w:tc>
                <w:tcPr>
                  <w:tcW w:w="1290" w:type="dxa"/>
                  <w:noWrap w:val="0"/>
                  <w:vAlign w:val="center"/>
                </w:tcPr>
                <w:p w14:paraId="03258E6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卧式</w:t>
                  </w:r>
                </w:p>
                <w:p w14:paraId="27A8B0B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地下设置</w:t>
                  </w:r>
                </w:p>
                <w:p w14:paraId="0A90B9F6">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FF"/>
                      <w:lang w:val="en-US" w:eastAsia="zh-CN"/>
                    </w:rPr>
                  </w:pPr>
                  <w:r>
                    <w:rPr>
                      <w:rFonts w:hint="eastAsia" w:cs="Times New Roman"/>
                      <w:color w:val="0000FF"/>
                      <w:lang w:val="en-US" w:eastAsia="zh-CN"/>
                    </w:rPr>
                    <w:t>2用1备</w:t>
                  </w:r>
                </w:p>
              </w:tc>
            </w:tr>
            <w:tr w14:paraId="5D713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2" w:type="dxa"/>
                  <w:vMerge w:val="continue"/>
                  <w:noWrap w:val="0"/>
                  <w:vAlign w:val="center"/>
                </w:tcPr>
                <w:p w14:paraId="02842E53">
                  <w:pPr>
                    <w:spacing w:line="300" w:lineRule="exact"/>
                    <w:jc w:val="center"/>
                    <w:rPr>
                      <w:rFonts w:hint="default" w:ascii="Times New Roman" w:hAnsi="Times New Roman" w:cs="Times New Roman"/>
                      <w:color w:val="auto"/>
                      <w:szCs w:val="21"/>
                    </w:rPr>
                  </w:pPr>
                </w:p>
              </w:tc>
              <w:tc>
                <w:tcPr>
                  <w:tcW w:w="1781" w:type="dxa"/>
                  <w:noWrap w:val="0"/>
                  <w:vAlign w:val="center"/>
                </w:tcPr>
                <w:p w14:paraId="3265E38F">
                  <w:pPr>
                    <w:keepNext w:val="0"/>
                    <w:keepLines w:val="0"/>
                    <w:pageBreakBefore w:val="0"/>
                    <w:kinsoku/>
                    <w:wordWrap/>
                    <w:overflowPunct/>
                    <w:topLinePunct w:val="0"/>
                    <w:autoSpaceDE/>
                    <w:autoSpaceDN/>
                    <w:bidi w:val="0"/>
                    <w:adjustRightInd/>
                    <w:snapToGrid/>
                    <w:spacing w:before="60" w:beforeLines="25" w:line="240" w:lineRule="auto"/>
                    <w:jc w:val="center"/>
                    <w:rPr>
                      <w:rFonts w:hint="default" w:ascii="Times New Roman" w:hAnsi="Times New Roman" w:cs="Times New Roman"/>
                      <w:color w:val="auto"/>
                      <w:szCs w:val="21"/>
                    </w:rPr>
                  </w:pPr>
                  <w:r>
                    <w:rPr>
                      <w:rFonts w:hint="default" w:ascii="Times New Roman" w:hAnsi="Times New Roman" w:cs="Times New Roman"/>
                      <w:lang w:val="en-US" w:eastAsia="zh-CN"/>
                    </w:rPr>
                    <w:t>灌装烃泵YQ15-5</w:t>
                  </w:r>
                </w:p>
              </w:tc>
              <w:tc>
                <w:tcPr>
                  <w:tcW w:w="2459" w:type="dxa"/>
                  <w:noWrap w:val="0"/>
                  <w:vAlign w:val="center"/>
                </w:tcPr>
                <w:p w14:paraId="79E1CF5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Q=15.5Nm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/h</w:t>
                  </w:r>
                </w:p>
                <w:p w14:paraId="1F2B3DA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szCs w:val="21"/>
                    </w:rPr>
                  </w:pPr>
                  <w:r>
                    <w:rPr>
                      <w:rFonts w:hint="default" w:ascii="Times New Roman" w:hAnsi="Times New Roman" w:cs="Times New Roman"/>
                      <w:lang w:val="en-US" w:eastAsia="zh-CN"/>
                    </w:rPr>
                    <w:t>设计压力 2.5MPa</w:t>
                  </w:r>
                </w:p>
              </w:tc>
              <w:tc>
                <w:tcPr>
                  <w:tcW w:w="930" w:type="dxa"/>
                  <w:noWrap w:val="0"/>
                  <w:vAlign w:val="center"/>
                </w:tcPr>
                <w:p w14:paraId="6329019D">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kern w:val="0"/>
                      <w:szCs w:val="21"/>
                      <w:lang w:val="en-US" w:eastAsia="zh-CN" w:bidi="ar"/>
                    </w:rPr>
                  </w:pPr>
                  <w:r>
                    <w:rPr>
                      <w:rFonts w:hint="default" w:ascii="Times New Roman" w:hAnsi="Times New Roman" w:cs="Times New Roman"/>
                      <w:kern w:val="0"/>
                      <w:szCs w:val="21"/>
                      <w:lang w:val="en-US" w:eastAsia="zh-CN" w:bidi="ar"/>
                    </w:rPr>
                    <w:t>2</w:t>
                  </w:r>
                </w:p>
              </w:tc>
              <w:tc>
                <w:tcPr>
                  <w:tcW w:w="1290" w:type="dxa"/>
                  <w:noWrap w:val="0"/>
                  <w:vAlign w:val="center"/>
                </w:tcPr>
                <w:p w14:paraId="6954CAE8">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kern w:val="0"/>
                      <w:szCs w:val="21"/>
                      <w:lang w:bidi="ar"/>
                    </w:rPr>
                  </w:pPr>
                  <w:r>
                    <w:rPr>
                      <w:rFonts w:hint="eastAsia" w:cs="Times New Roman"/>
                      <w:lang w:val="en-US" w:eastAsia="zh-CN"/>
                    </w:rPr>
                    <w:t>1</w:t>
                  </w:r>
                  <w:r>
                    <w:rPr>
                      <w:rFonts w:hint="default" w:ascii="Times New Roman" w:hAnsi="Times New Roman" w:cs="Times New Roman"/>
                      <w:lang w:val="en-US" w:eastAsia="zh-CN"/>
                    </w:rPr>
                    <w:t>用</w:t>
                  </w:r>
                  <w:r>
                    <w:rPr>
                      <w:rFonts w:hint="eastAsia" w:cs="Times New Roman"/>
                      <w:lang w:val="en-US" w:eastAsia="zh-CN"/>
                    </w:rPr>
                    <w:t>1</w:t>
                  </w:r>
                  <w:r>
                    <w:rPr>
                      <w:rFonts w:hint="default" w:ascii="Times New Roman" w:hAnsi="Times New Roman" w:cs="Times New Roman"/>
                      <w:lang w:val="en-US" w:eastAsia="zh-CN"/>
                    </w:rPr>
                    <w:t>备</w:t>
                  </w:r>
                </w:p>
              </w:tc>
            </w:tr>
            <w:tr w14:paraId="2EED8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2" w:type="dxa"/>
                  <w:vMerge w:val="continue"/>
                  <w:noWrap w:val="0"/>
                  <w:vAlign w:val="center"/>
                </w:tcPr>
                <w:p w14:paraId="0D0F818E">
                  <w:pPr>
                    <w:spacing w:line="300" w:lineRule="exact"/>
                    <w:jc w:val="center"/>
                    <w:rPr>
                      <w:rFonts w:hint="default" w:ascii="Times New Roman" w:hAnsi="Times New Roman" w:cs="Times New Roman"/>
                      <w:color w:val="auto"/>
                      <w:szCs w:val="21"/>
                    </w:rPr>
                  </w:pPr>
                </w:p>
              </w:tc>
              <w:tc>
                <w:tcPr>
                  <w:tcW w:w="1781" w:type="dxa"/>
                  <w:noWrap w:val="0"/>
                  <w:vAlign w:val="center"/>
                </w:tcPr>
                <w:p w14:paraId="64A442C3">
                  <w:pPr>
                    <w:keepNext w:val="0"/>
                    <w:keepLines w:val="0"/>
                    <w:pageBreakBefore w:val="0"/>
                    <w:kinsoku/>
                    <w:wordWrap/>
                    <w:overflowPunct/>
                    <w:topLinePunct w:val="0"/>
                    <w:autoSpaceDE/>
                    <w:autoSpaceDN/>
                    <w:bidi w:val="0"/>
                    <w:adjustRightInd/>
                    <w:snapToGrid/>
                    <w:spacing w:before="60" w:beforeLines="25" w:line="240" w:lineRule="auto"/>
                    <w:jc w:val="center"/>
                    <w:rPr>
                      <w:rFonts w:hint="default" w:ascii="Times New Roman" w:hAnsi="Times New Roman" w:cs="Times New Roman"/>
                      <w:color w:val="auto"/>
                      <w:szCs w:val="21"/>
                      <w:lang w:val="en-US"/>
                    </w:rPr>
                  </w:pPr>
                  <w:r>
                    <w:rPr>
                      <w:rFonts w:hint="default" w:ascii="Times New Roman" w:hAnsi="Times New Roman" w:cs="Times New Roman"/>
                      <w:lang w:val="en-US" w:eastAsia="zh-CN"/>
                    </w:rPr>
                    <w:t>无油润滑液化石油气专用压缩机</w:t>
                  </w:r>
                </w:p>
              </w:tc>
              <w:tc>
                <w:tcPr>
                  <w:tcW w:w="2459" w:type="dxa"/>
                  <w:noWrap w:val="0"/>
                  <w:vAlign w:val="center"/>
                </w:tcPr>
                <w:p w14:paraId="4D59F1E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szCs w:val="21"/>
                    </w:rPr>
                  </w:pPr>
                  <w:r>
                    <w:rPr>
                      <w:rFonts w:hint="default" w:ascii="Times New Roman" w:hAnsi="Times New Roman" w:cs="Times New Roman"/>
                      <w:color w:val="000000"/>
                      <w:szCs w:val="21"/>
                      <w:lang w:val="en-US" w:eastAsia="zh-CN"/>
                    </w:rPr>
                    <w:t>ZW-1.1/10~16 Q=1.1m</w:t>
                  </w:r>
                  <w:r>
                    <w:rPr>
                      <w:rFonts w:hint="default" w:ascii="Times New Roman" w:hAnsi="Times New Roman" w:cs="Times New Roman"/>
                      <w:color w:val="000000"/>
                      <w:szCs w:val="21"/>
                      <w:vertAlign w:val="superscript"/>
                      <w:lang w:val="en-US" w:eastAsia="zh-CN"/>
                    </w:rPr>
                    <w:t>3</w:t>
                  </w:r>
                  <w:r>
                    <w:rPr>
                      <w:rFonts w:hint="default" w:ascii="Times New Roman" w:hAnsi="Times New Roman" w:cs="Times New Roman"/>
                      <w:color w:val="000000"/>
                      <w:szCs w:val="21"/>
                      <w:lang w:val="en-US" w:eastAsia="zh-CN"/>
                    </w:rPr>
                    <w:t>/min</w:t>
                  </w:r>
                </w:p>
                <w:p w14:paraId="3A3F8693">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szCs w:val="21"/>
                    </w:rPr>
                  </w:pPr>
                  <w:r>
                    <w:rPr>
                      <w:rFonts w:hint="default" w:ascii="Times New Roman" w:hAnsi="Times New Roman" w:cs="Times New Roman"/>
                      <w:color w:val="000000"/>
                      <w:szCs w:val="21"/>
                    </w:rPr>
                    <w:t>设计压力2.5MPa</w:t>
                  </w:r>
                </w:p>
              </w:tc>
              <w:tc>
                <w:tcPr>
                  <w:tcW w:w="930" w:type="dxa"/>
                  <w:noWrap w:val="0"/>
                  <w:vAlign w:val="center"/>
                </w:tcPr>
                <w:p w14:paraId="1B0CCAA4">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kern w:val="0"/>
                      <w:szCs w:val="21"/>
                      <w:lang w:val="en-US" w:eastAsia="zh-CN" w:bidi="ar"/>
                    </w:rPr>
                  </w:pPr>
                  <w:r>
                    <w:rPr>
                      <w:rFonts w:hint="default" w:ascii="Times New Roman" w:hAnsi="Times New Roman" w:cs="Times New Roman"/>
                      <w:kern w:val="0"/>
                      <w:szCs w:val="21"/>
                      <w:lang w:val="en-US" w:eastAsia="zh-CN" w:bidi="ar"/>
                    </w:rPr>
                    <w:t>2</w:t>
                  </w:r>
                </w:p>
              </w:tc>
              <w:tc>
                <w:tcPr>
                  <w:tcW w:w="1290" w:type="dxa"/>
                  <w:noWrap w:val="0"/>
                  <w:vAlign w:val="center"/>
                </w:tcPr>
                <w:p w14:paraId="24999D9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kern w:val="0"/>
                      <w:szCs w:val="21"/>
                      <w:lang w:bidi="ar"/>
                    </w:rPr>
                  </w:pPr>
                  <w:r>
                    <w:rPr>
                      <w:rFonts w:hint="eastAsia" w:cs="Times New Roman"/>
                      <w:lang w:val="en-US" w:eastAsia="zh-CN"/>
                    </w:rPr>
                    <w:t>1</w:t>
                  </w:r>
                  <w:r>
                    <w:rPr>
                      <w:rFonts w:hint="default" w:ascii="Times New Roman" w:hAnsi="Times New Roman" w:cs="Times New Roman"/>
                      <w:lang w:val="en-US" w:eastAsia="zh-CN"/>
                    </w:rPr>
                    <w:t>用</w:t>
                  </w:r>
                  <w:r>
                    <w:rPr>
                      <w:rFonts w:hint="eastAsia" w:cs="Times New Roman"/>
                      <w:lang w:val="en-US" w:eastAsia="zh-CN"/>
                    </w:rPr>
                    <w:t>1</w:t>
                  </w:r>
                  <w:r>
                    <w:rPr>
                      <w:rFonts w:hint="default" w:ascii="Times New Roman" w:hAnsi="Times New Roman" w:cs="Times New Roman"/>
                      <w:lang w:val="en-US" w:eastAsia="zh-CN"/>
                    </w:rPr>
                    <w:t>备</w:t>
                  </w:r>
                </w:p>
              </w:tc>
            </w:tr>
            <w:tr w14:paraId="097B1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2" w:type="dxa"/>
                  <w:vMerge w:val="continue"/>
                  <w:noWrap w:val="0"/>
                  <w:vAlign w:val="center"/>
                </w:tcPr>
                <w:p w14:paraId="40752D48">
                  <w:pPr>
                    <w:spacing w:line="300" w:lineRule="exact"/>
                    <w:jc w:val="center"/>
                    <w:rPr>
                      <w:rFonts w:hint="default" w:ascii="Times New Roman" w:hAnsi="Times New Roman" w:cs="Times New Roman"/>
                      <w:color w:val="auto"/>
                      <w:szCs w:val="21"/>
                    </w:rPr>
                  </w:pPr>
                </w:p>
              </w:tc>
              <w:tc>
                <w:tcPr>
                  <w:tcW w:w="1781" w:type="dxa"/>
                  <w:noWrap w:val="0"/>
                  <w:vAlign w:val="center"/>
                </w:tcPr>
                <w:p w14:paraId="4C06CCD2">
                  <w:pPr>
                    <w:keepNext w:val="0"/>
                    <w:keepLines w:val="0"/>
                    <w:pageBreakBefore w:val="0"/>
                    <w:kinsoku/>
                    <w:wordWrap/>
                    <w:overflowPunct/>
                    <w:topLinePunct w:val="0"/>
                    <w:autoSpaceDE/>
                    <w:autoSpaceDN/>
                    <w:bidi w:val="0"/>
                    <w:adjustRightInd/>
                    <w:snapToGrid/>
                    <w:spacing w:before="60" w:beforeLines="25" w:line="240" w:lineRule="auto"/>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手动LPG灌装秤</w:t>
                  </w:r>
                </w:p>
              </w:tc>
              <w:tc>
                <w:tcPr>
                  <w:tcW w:w="2459" w:type="dxa"/>
                  <w:noWrap w:val="0"/>
                  <w:vAlign w:val="center"/>
                </w:tcPr>
                <w:p w14:paraId="52506613">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cs="Times New Roman"/>
                      <w:color w:val="FF0000"/>
                      <w:szCs w:val="21"/>
                    </w:rPr>
                  </w:pPr>
                  <w:r>
                    <w:rPr>
                      <w:rFonts w:hint="default" w:ascii="Times New Roman" w:hAnsi="Times New Roman" w:eastAsia="CIDFont" w:cs="Times New Roman"/>
                      <w:color w:val="000000"/>
                      <w:kern w:val="0"/>
                      <w:sz w:val="21"/>
                      <w:szCs w:val="21"/>
                      <w:lang w:val="en-US" w:eastAsia="zh-CN" w:bidi="ar"/>
                    </w:rPr>
                    <w:t>15kg-4台/50kg-4台</w:t>
                  </w:r>
                </w:p>
              </w:tc>
              <w:tc>
                <w:tcPr>
                  <w:tcW w:w="930" w:type="dxa"/>
                  <w:noWrap w:val="0"/>
                  <w:vAlign w:val="center"/>
                </w:tcPr>
                <w:p w14:paraId="5D7BC92B">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kern w:val="0"/>
                      <w:szCs w:val="21"/>
                      <w:lang w:val="en-US" w:eastAsia="zh-CN" w:bidi="ar"/>
                    </w:rPr>
                  </w:pPr>
                  <w:r>
                    <w:rPr>
                      <w:rFonts w:hint="default" w:ascii="Times New Roman" w:hAnsi="Times New Roman" w:cs="Times New Roman"/>
                      <w:kern w:val="0"/>
                      <w:szCs w:val="21"/>
                      <w:lang w:val="en-US" w:eastAsia="zh-CN" w:bidi="ar"/>
                    </w:rPr>
                    <w:t>8</w:t>
                  </w:r>
                </w:p>
              </w:tc>
              <w:tc>
                <w:tcPr>
                  <w:tcW w:w="1290" w:type="dxa"/>
                  <w:noWrap w:val="0"/>
                  <w:vAlign w:val="center"/>
                </w:tcPr>
                <w:p w14:paraId="298419D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kern w:val="0"/>
                      <w:szCs w:val="21"/>
                      <w:lang w:bidi="ar"/>
                    </w:rPr>
                  </w:pPr>
                </w:p>
              </w:tc>
            </w:tr>
            <w:tr w14:paraId="036E8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2" w:type="dxa"/>
                  <w:vMerge w:val="continue"/>
                  <w:noWrap w:val="0"/>
                  <w:vAlign w:val="center"/>
                </w:tcPr>
                <w:p w14:paraId="12CE80D3">
                  <w:pPr>
                    <w:spacing w:line="300" w:lineRule="exact"/>
                    <w:jc w:val="center"/>
                    <w:rPr>
                      <w:rFonts w:hint="default" w:ascii="Times New Roman" w:hAnsi="Times New Roman" w:cs="Times New Roman"/>
                      <w:color w:val="auto"/>
                      <w:szCs w:val="21"/>
                    </w:rPr>
                  </w:pPr>
                </w:p>
              </w:tc>
              <w:tc>
                <w:tcPr>
                  <w:tcW w:w="1781" w:type="dxa"/>
                  <w:noWrap w:val="0"/>
                  <w:vAlign w:val="center"/>
                </w:tcPr>
                <w:p w14:paraId="66AFCFCD">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cs="Times New Roman"/>
                      <w:color w:val="auto"/>
                      <w:szCs w:val="21"/>
                      <w:lang w:bidi="zh-CN"/>
                    </w:rPr>
                  </w:pPr>
                  <w:r>
                    <w:rPr>
                      <w:rFonts w:hint="default" w:ascii="Times New Roman" w:hAnsi="Times New Roman" w:eastAsia="CIDFont" w:cs="Times New Roman"/>
                      <w:color w:val="000000"/>
                      <w:kern w:val="0"/>
                      <w:sz w:val="21"/>
                      <w:szCs w:val="21"/>
                      <w:lang w:val="en-US" w:eastAsia="zh-CN" w:bidi="ar"/>
                    </w:rPr>
                    <w:t>倒残架</w:t>
                  </w:r>
                </w:p>
              </w:tc>
              <w:tc>
                <w:tcPr>
                  <w:tcW w:w="2459" w:type="dxa"/>
                  <w:noWrap w:val="0"/>
                  <w:vAlign w:val="center"/>
                </w:tcPr>
                <w:p w14:paraId="354A29AE">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cs="Times New Roman"/>
                      <w:color w:val="FF0000"/>
                      <w:szCs w:val="21"/>
                    </w:rPr>
                  </w:pPr>
                  <w:r>
                    <w:rPr>
                      <w:rFonts w:hint="default" w:ascii="Times New Roman" w:hAnsi="Times New Roman" w:eastAsia="CIDFont" w:cs="Times New Roman"/>
                      <w:color w:val="000000"/>
                      <w:kern w:val="0"/>
                      <w:sz w:val="21"/>
                      <w:szCs w:val="21"/>
                      <w:lang w:val="en-US" w:eastAsia="zh-CN" w:bidi="ar"/>
                    </w:rPr>
                    <w:t>设计压力2.5MPa</w:t>
                  </w:r>
                </w:p>
              </w:tc>
              <w:tc>
                <w:tcPr>
                  <w:tcW w:w="930" w:type="dxa"/>
                  <w:noWrap w:val="0"/>
                  <w:vAlign w:val="center"/>
                </w:tcPr>
                <w:p w14:paraId="43A5E704">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cs="Times New Roman"/>
                      <w:kern w:val="0"/>
                      <w:szCs w:val="21"/>
                      <w:lang w:bidi="ar"/>
                    </w:rPr>
                  </w:pPr>
                  <w:r>
                    <w:rPr>
                      <w:rFonts w:hint="default" w:ascii="Times New Roman" w:hAnsi="Times New Roman" w:eastAsia="CIDFont" w:cs="Times New Roman"/>
                      <w:color w:val="000000"/>
                      <w:kern w:val="0"/>
                      <w:sz w:val="21"/>
                      <w:szCs w:val="21"/>
                      <w:lang w:val="en-US" w:eastAsia="zh-CN" w:bidi="ar"/>
                    </w:rPr>
                    <w:t>2</w:t>
                  </w:r>
                </w:p>
              </w:tc>
              <w:tc>
                <w:tcPr>
                  <w:tcW w:w="1290" w:type="dxa"/>
                  <w:noWrap w:val="0"/>
                  <w:vAlign w:val="center"/>
                </w:tcPr>
                <w:p w14:paraId="02CFDE80">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kern w:val="0"/>
                      <w:szCs w:val="21"/>
                      <w:lang w:bidi="ar"/>
                    </w:rPr>
                  </w:pPr>
                </w:p>
              </w:tc>
            </w:tr>
            <w:tr w14:paraId="4D5D2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2" w:type="dxa"/>
                  <w:vMerge w:val="continue"/>
                  <w:noWrap w:val="0"/>
                  <w:vAlign w:val="center"/>
                </w:tcPr>
                <w:p w14:paraId="5E62FCC5">
                  <w:pPr>
                    <w:spacing w:line="300" w:lineRule="exact"/>
                    <w:jc w:val="center"/>
                    <w:rPr>
                      <w:rFonts w:hint="default" w:ascii="Times New Roman" w:hAnsi="Times New Roman" w:cs="Times New Roman"/>
                      <w:color w:val="auto"/>
                      <w:szCs w:val="21"/>
                    </w:rPr>
                  </w:pPr>
                </w:p>
              </w:tc>
              <w:tc>
                <w:tcPr>
                  <w:tcW w:w="1781" w:type="dxa"/>
                  <w:noWrap w:val="0"/>
                  <w:vAlign w:val="center"/>
                </w:tcPr>
                <w:p w14:paraId="0D8D4E19">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卸车臂AL2543</w:t>
                  </w:r>
                </w:p>
              </w:tc>
              <w:tc>
                <w:tcPr>
                  <w:tcW w:w="2459" w:type="dxa"/>
                  <w:noWrap w:val="0"/>
                  <w:vAlign w:val="center"/>
                </w:tcPr>
                <w:p w14:paraId="4CE318BB">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设计压力2.5MPa</w:t>
                  </w:r>
                </w:p>
              </w:tc>
              <w:tc>
                <w:tcPr>
                  <w:tcW w:w="930" w:type="dxa"/>
                  <w:noWrap w:val="0"/>
                  <w:vAlign w:val="center"/>
                </w:tcPr>
                <w:p w14:paraId="667FD12A">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1</w:t>
                  </w:r>
                </w:p>
              </w:tc>
              <w:tc>
                <w:tcPr>
                  <w:tcW w:w="1290" w:type="dxa"/>
                  <w:noWrap w:val="0"/>
                  <w:vAlign w:val="center"/>
                </w:tcPr>
                <w:p w14:paraId="360C61CD">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p>
              </w:tc>
            </w:tr>
            <w:tr w14:paraId="688D0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2" w:type="dxa"/>
                  <w:vMerge w:val="continue"/>
                  <w:noWrap w:val="0"/>
                  <w:vAlign w:val="center"/>
                </w:tcPr>
                <w:p w14:paraId="17AA9390">
                  <w:pPr>
                    <w:spacing w:line="300" w:lineRule="exact"/>
                    <w:jc w:val="center"/>
                    <w:rPr>
                      <w:rFonts w:hint="default" w:ascii="Times New Roman" w:hAnsi="Times New Roman" w:cs="Times New Roman"/>
                      <w:color w:val="auto"/>
                      <w:szCs w:val="21"/>
                    </w:rPr>
                  </w:pPr>
                </w:p>
              </w:tc>
              <w:tc>
                <w:tcPr>
                  <w:tcW w:w="1781" w:type="dxa"/>
                  <w:noWrap w:val="0"/>
                  <w:vAlign w:val="center"/>
                </w:tcPr>
                <w:p w14:paraId="6EB73B8C">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仪表风系统</w:t>
                  </w:r>
                </w:p>
              </w:tc>
              <w:tc>
                <w:tcPr>
                  <w:tcW w:w="2459" w:type="dxa"/>
                  <w:noWrap w:val="0"/>
                  <w:vAlign w:val="center"/>
                </w:tcPr>
                <w:p w14:paraId="61FC4912">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空压机：流量不小于 0.2m</w:t>
                  </w:r>
                  <w:r>
                    <w:rPr>
                      <w:rFonts w:hint="default" w:ascii="Times New Roman" w:hAnsi="Times New Roman" w:eastAsia="CIDFont" w:cs="Times New Roman"/>
                      <w:color w:val="000000"/>
                      <w:kern w:val="0"/>
                      <w:sz w:val="21"/>
                      <w:szCs w:val="21"/>
                      <w:vertAlign w:val="superscript"/>
                      <w:lang w:val="en-US" w:eastAsia="zh-CN" w:bidi="ar"/>
                    </w:rPr>
                    <w:t>3</w:t>
                  </w:r>
                  <w:r>
                    <w:rPr>
                      <w:rFonts w:hint="default" w:ascii="Times New Roman" w:hAnsi="Times New Roman" w:eastAsia="CIDFont" w:cs="Times New Roman"/>
                      <w:color w:val="000000"/>
                      <w:kern w:val="0"/>
                      <w:sz w:val="21"/>
                      <w:szCs w:val="21"/>
                      <w:lang w:val="en-US" w:eastAsia="zh-CN" w:bidi="ar"/>
                    </w:rPr>
                    <w:t xml:space="preserve"> /min，排气压力 0.8MPa，设计压力1.0MPa </w:t>
                  </w:r>
                </w:p>
                <w:p w14:paraId="3ABD293F">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干燥器：与空压机配套压力露点-20℃ Q=0.2m</w:t>
                  </w:r>
                  <w:r>
                    <w:rPr>
                      <w:rFonts w:hint="default" w:ascii="Times New Roman" w:hAnsi="Times New Roman" w:eastAsia="CIDFont" w:cs="Times New Roman"/>
                      <w:color w:val="000000"/>
                      <w:kern w:val="0"/>
                      <w:sz w:val="21"/>
                      <w:szCs w:val="21"/>
                      <w:vertAlign w:val="superscript"/>
                      <w:lang w:val="en-US" w:eastAsia="zh-CN" w:bidi="ar"/>
                    </w:rPr>
                    <w:t>3</w:t>
                  </w:r>
                  <w:r>
                    <w:rPr>
                      <w:rFonts w:hint="default" w:ascii="Times New Roman" w:hAnsi="Times New Roman" w:eastAsia="CIDFont" w:cs="Times New Roman"/>
                      <w:color w:val="000000"/>
                      <w:kern w:val="0"/>
                      <w:sz w:val="21"/>
                      <w:szCs w:val="21"/>
                      <w:lang w:val="en-US" w:eastAsia="zh-CN" w:bidi="ar"/>
                    </w:rPr>
                    <w:t xml:space="preserve"> /min </w:t>
                  </w:r>
                </w:p>
                <w:p w14:paraId="20586BC5">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 xml:space="preserve">设计压力 1.0MPa </w:t>
                  </w:r>
                </w:p>
                <w:p w14:paraId="5B5A7A4B">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储气罐：V=1m</w:t>
                  </w:r>
                  <w:r>
                    <w:rPr>
                      <w:rFonts w:hint="default" w:ascii="Times New Roman" w:hAnsi="Times New Roman" w:eastAsia="CIDFont" w:cs="Times New Roman"/>
                      <w:color w:val="000000"/>
                      <w:kern w:val="0"/>
                      <w:sz w:val="21"/>
                      <w:szCs w:val="21"/>
                      <w:vertAlign w:val="superscript"/>
                      <w:lang w:val="en-US" w:eastAsia="zh-CN" w:bidi="ar"/>
                    </w:rPr>
                    <w:t>3</w:t>
                  </w:r>
                  <w:r>
                    <w:rPr>
                      <w:rFonts w:hint="default" w:ascii="Times New Roman" w:hAnsi="Times New Roman" w:eastAsia="CIDFont" w:cs="Times New Roman"/>
                      <w:color w:val="000000"/>
                      <w:kern w:val="0"/>
                      <w:sz w:val="21"/>
                      <w:szCs w:val="21"/>
                      <w:lang w:val="en-US" w:eastAsia="zh-CN" w:bidi="ar"/>
                    </w:rPr>
                    <w:t>压力 1.0MPa</w:t>
                  </w:r>
                </w:p>
              </w:tc>
              <w:tc>
                <w:tcPr>
                  <w:tcW w:w="930" w:type="dxa"/>
                  <w:noWrap w:val="0"/>
                  <w:vAlign w:val="center"/>
                </w:tcPr>
                <w:p w14:paraId="0E2C55A9">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1</w:t>
                  </w:r>
                </w:p>
              </w:tc>
              <w:tc>
                <w:tcPr>
                  <w:tcW w:w="1290" w:type="dxa"/>
                  <w:noWrap w:val="0"/>
                  <w:vAlign w:val="center"/>
                </w:tcPr>
                <w:p w14:paraId="1F1AD4CD">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包括:空压机、干燥器、</w:t>
                  </w:r>
                </w:p>
                <w:p w14:paraId="2B347B33">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储气罐</w:t>
                  </w:r>
                </w:p>
                <w:p w14:paraId="536B4719">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p>
              </w:tc>
            </w:tr>
            <w:tr w14:paraId="43511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472" w:type="dxa"/>
                  <w:vMerge w:val="continue"/>
                  <w:noWrap w:val="0"/>
                  <w:vAlign w:val="center"/>
                </w:tcPr>
                <w:p w14:paraId="6C5F8B0B">
                  <w:pPr>
                    <w:spacing w:line="300" w:lineRule="exact"/>
                    <w:jc w:val="center"/>
                    <w:rPr>
                      <w:rFonts w:hint="default" w:ascii="Times New Roman" w:hAnsi="Times New Roman" w:cs="Times New Roman"/>
                      <w:color w:val="FF0000"/>
                      <w:szCs w:val="21"/>
                    </w:rPr>
                  </w:pPr>
                </w:p>
              </w:tc>
              <w:tc>
                <w:tcPr>
                  <w:tcW w:w="1781" w:type="dxa"/>
                  <w:noWrap w:val="0"/>
                  <w:vAlign w:val="center"/>
                </w:tcPr>
                <w:p w14:paraId="02955FD3">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地磅</w:t>
                  </w:r>
                </w:p>
              </w:tc>
              <w:tc>
                <w:tcPr>
                  <w:tcW w:w="2459" w:type="dxa"/>
                  <w:noWrap w:val="0"/>
                  <w:vAlign w:val="center"/>
                </w:tcPr>
                <w:p w14:paraId="04153743">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w:t>
                  </w:r>
                </w:p>
              </w:tc>
              <w:tc>
                <w:tcPr>
                  <w:tcW w:w="930" w:type="dxa"/>
                  <w:noWrap w:val="0"/>
                  <w:vAlign w:val="center"/>
                </w:tcPr>
                <w:p w14:paraId="4D7EAE22">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1</w:t>
                  </w:r>
                </w:p>
              </w:tc>
              <w:tc>
                <w:tcPr>
                  <w:tcW w:w="1290" w:type="dxa"/>
                  <w:noWrap w:val="0"/>
                  <w:vAlign w:val="center"/>
                </w:tcPr>
                <w:p w14:paraId="6B36C3E9">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p>
              </w:tc>
            </w:tr>
            <w:tr w14:paraId="1F609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restart"/>
                  <w:noWrap w:val="0"/>
                  <w:vAlign w:val="center"/>
                </w:tcPr>
                <w:p w14:paraId="26DF34D1">
                  <w:pPr>
                    <w:spacing w:line="300" w:lineRule="exact"/>
                    <w:jc w:val="center"/>
                    <w:rPr>
                      <w:rFonts w:hint="default" w:ascii="Times New Roman" w:hAnsi="Times New Roman" w:eastAsia="宋体" w:cs="Times New Roman"/>
                      <w:color w:val="000000"/>
                      <w:szCs w:val="21"/>
                      <w:lang w:val="en-US" w:eastAsia="zh-CN"/>
                    </w:rPr>
                  </w:pPr>
                  <w:r>
                    <w:rPr>
                      <w:rFonts w:hint="default" w:ascii="Times New Roman" w:hAnsi="Times New Roman" w:cs="Times New Roman"/>
                      <w:color w:val="000000"/>
                      <w:szCs w:val="21"/>
                      <w:lang w:val="en-US" w:eastAsia="zh-CN"/>
                    </w:rPr>
                    <w:t>改性丙烷罐装</w:t>
                  </w:r>
                </w:p>
              </w:tc>
              <w:tc>
                <w:tcPr>
                  <w:tcW w:w="1781" w:type="dxa"/>
                  <w:noWrap w:val="0"/>
                  <w:vAlign w:val="center"/>
                </w:tcPr>
                <w:p w14:paraId="2C650631">
                  <w:pPr>
                    <w:keepNext w:val="0"/>
                    <w:keepLines w:val="0"/>
                    <w:widowControl/>
                    <w:suppressLineNumbers w:val="0"/>
                    <w:jc w:val="center"/>
                    <w:rPr>
                      <w:rFonts w:hint="default" w:ascii="Times New Roman" w:hAnsi="Times New Roman" w:cs="Times New Roman"/>
                      <w:szCs w:val="21"/>
                    </w:rPr>
                  </w:pPr>
                  <w:r>
                    <w:rPr>
                      <w:rFonts w:hint="default" w:ascii="Times New Roman" w:hAnsi="Times New Roman" w:eastAsia="CIDFont" w:cs="Times New Roman"/>
                      <w:color w:val="000000"/>
                      <w:kern w:val="0"/>
                      <w:sz w:val="21"/>
                      <w:szCs w:val="21"/>
                      <w:lang w:val="en-US" w:eastAsia="zh-CN" w:bidi="ar"/>
                    </w:rPr>
                    <w:t>改性丙烷储罐</w:t>
                  </w:r>
                </w:p>
              </w:tc>
              <w:tc>
                <w:tcPr>
                  <w:tcW w:w="2459" w:type="dxa"/>
                  <w:noWrap w:val="0"/>
                  <w:vAlign w:val="center"/>
                </w:tcPr>
                <w:p w14:paraId="220F6CB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vertAlign w:val="superscript"/>
                      <w:lang w:val="en-US" w:eastAsia="zh-CN"/>
                    </w:rPr>
                  </w:pPr>
                  <w:r>
                    <w:rPr>
                      <w:rFonts w:hint="default" w:ascii="Times New Roman" w:hAnsi="Times New Roman" w:cs="Times New Roman"/>
                      <w:lang w:val="en-US" w:eastAsia="zh-CN"/>
                    </w:rPr>
                    <w:t>V=50m</w:t>
                  </w:r>
                  <w:r>
                    <w:rPr>
                      <w:rFonts w:hint="default" w:ascii="Times New Roman" w:hAnsi="Times New Roman" w:cs="Times New Roman"/>
                      <w:vertAlign w:val="superscript"/>
                      <w:lang w:val="en-US" w:eastAsia="zh-CN"/>
                    </w:rPr>
                    <w:t>3</w:t>
                  </w:r>
                </w:p>
                <w:p w14:paraId="537CD68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szCs w:val="21"/>
                    </w:rPr>
                  </w:pPr>
                  <w:r>
                    <w:rPr>
                      <w:rFonts w:hint="default" w:ascii="Times New Roman" w:hAnsi="Times New Roman" w:cs="Times New Roman"/>
                      <w:lang w:val="en-US" w:eastAsia="zh-CN"/>
                    </w:rPr>
                    <w:t>设计压力1.77MPa</w:t>
                  </w:r>
                </w:p>
              </w:tc>
              <w:tc>
                <w:tcPr>
                  <w:tcW w:w="930" w:type="dxa"/>
                  <w:noWrap w:val="0"/>
                  <w:vAlign w:val="center"/>
                </w:tcPr>
                <w:p w14:paraId="5818645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szCs w:val="21"/>
                    </w:rPr>
                  </w:pPr>
                  <w:r>
                    <w:rPr>
                      <w:rFonts w:hint="default" w:ascii="Times New Roman" w:hAnsi="Times New Roman" w:cs="Times New Roman"/>
                      <w:lang w:val="en-US" w:eastAsia="zh-CN"/>
                    </w:rPr>
                    <w:t>3</w:t>
                  </w:r>
                </w:p>
              </w:tc>
              <w:tc>
                <w:tcPr>
                  <w:tcW w:w="1290" w:type="dxa"/>
                  <w:noWrap w:val="0"/>
                  <w:vAlign w:val="center"/>
                </w:tcPr>
                <w:p w14:paraId="696ED5D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卧式</w:t>
                  </w:r>
                </w:p>
                <w:p w14:paraId="2E44B12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地下设置</w:t>
                  </w:r>
                </w:p>
                <w:p w14:paraId="3BC7B3B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szCs w:val="21"/>
                      <w:lang w:val="en-US"/>
                    </w:rPr>
                  </w:pPr>
                  <w:r>
                    <w:rPr>
                      <w:rFonts w:hint="default" w:ascii="Times New Roman" w:hAnsi="Times New Roman" w:cs="Times New Roman"/>
                      <w:color w:val="0000FF"/>
                      <w:lang w:val="en-US" w:eastAsia="zh-CN"/>
                    </w:rPr>
                    <w:t>2用1备</w:t>
                  </w:r>
                </w:p>
              </w:tc>
            </w:tr>
            <w:tr w14:paraId="4BD6F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72704F3A">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41B0A776">
                  <w:pPr>
                    <w:keepNext w:val="0"/>
                    <w:keepLines w:val="0"/>
                    <w:pageBreakBefore w:val="0"/>
                    <w:kinsoku/>
                    <w:wordWrap/>
                    <w:overflowPunct/>
                    <w:topLinePunct w:val="0"/>
                    <w:autoSpaceDE/>
                    <w:autoSpaceDN/>
                    <w:bidi w:val="0"/>
                    <w:adjustRightInd/>
                    <w:snapToGrid/>
                    <w:spacing w:before="60" w:beforeLines="25" w:line="240" w:lineRule="auto"/>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lang w:val="en-US" w:eastAsia="zh-CN"/>
                    </w:rPr>
                    <w:t>灌装烃泵YQ15-5</w:t>
                  </w:r>
                </w:p>
              </w:tc>
              <w:tc>
                <w:tcPr>
                  <w:tcW w:w="2459" w:type="dxa"/>
                  <w:shd w:val="clear" w:color="auto" w:fill="auto"/>
                  <w:noWrap w:val="0"/>
                  <w:vAlign w:val="center"/>
                </w:tcPr>
                <w:p w14:paraId="745C5A12">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Q=15.5Nm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/h</w:t>
                  </w:r>
                </w:p>
                <w:p w14:paraId="5050EE37">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lang w:val="en-US" w:eastAsia="zh-CN"/>
                    </w:rPr>
                    <w:t>设计压力 2.5MPa</w:t>
                  </w:r>
                </w:p>
              </w:tc>
              <w:tc>
                <w:tcPr>
                  <w:tcW w:w="930" w:type="dxa"/>
                  <w:shd w:val="clear" w:color="auto" w:fill="auto"/>
                  <w:noWrap w:val="0"/>
                  <w:vAlign w:val="center"/>
                </w:tcPr>
                <w:p w14:paraId="79E3BAD7">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kern w:val="0"/>
                      <w:sz w:val="21"/>
                      <w:szCs w:val="21"/>
                      <w:lang w:val="en-US" w:eastAsia="zh-CN" w:bidi="ar"/>
                    </w:rPr>
                  </w:pPr>
                  <w:r>
                    <w:rPr>
                      <w:rFonts w:hint="default" w:ascii="Times New Roman" w:hAnsi="Times New Roman" w:cs="Times New Roman"/>
                      <w:kern w:val="0"/>
                      <w:szCs w:val="21"/>
                      <w:lang w:val="en-US" w:eastAsia="zh-CN" w:bidi="ar"/>
                    </w:rPr>
                    <w:t>2</w:t>
                  </w:r>
                </w:p>
              </w:tc>
              <w:tc>
                <w:tcPr>
                  <w:tcW w:w="1290" w:type="dxa"/>
                  <w:shd w:val="clear" w:color="auto" w:fill="auto"/>
                  <w:noWrap w:val="0"/>
                  <w:vAlign w:val="center"/>
                </w:tcPr>
                <w:p w14:paraId="5E9AC919">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kern w:val="0"/>
                      <w:sz w:val="21"/>
                      <w:szCs w:val="21"/>
                      <w:lang w:val="en-US" w:eastAsia="zh-CN" w:bidi="ar"/>
                    </w:rPr>
                  </w:pPr>
                  <w:r>
                    <w:rPr>
                      <w:rFonts w:hint="eastAsia" w:cs="Times New Roman"/>
                      <w:lang w:val="en-US" w:eastAsia="zh-CN"/>
                    </w:rPr>
                    <w:t>1</w:t>
                  </w:r>
                  <w:r>
                    <w:rPr>
                      <w:rFonts w:hint="default" w:ascii="Times New Roman" w:hAnsi="Times New Roman" w:cs="Times New Roman"/>
                      <w:lang w:val="en-US" w:eastAsia="zh-CN"/>
                    </w:rPr>
                    <w:t>用</w:t>
                  </w:r>
                  <w:r>
                    <w:rPr>
                      <w:rFonts w:hint="eastAsia" w:cs="Times New Roman"/>
                      <w:lang w:val="en-US" w:eastAsia="zh-CN"/>
                    </w:rPr>
                    <w:t>1</w:t>
                  </w:r>
                  <w:r>
                    <w:rPr>
                      <w:rFonts w:hint="default" w:ascii="Times New Roman" w:hAnsi="Times New Roman" w:cs="Times New Roman"/>
                      <w:lang w:val="en-US" w:eastAsia="zh-CN"/>
                    </w:rPr>
                    <w:t>备</w:t>
                  </w:r>
                </w:p>
              </w:tc>
            </w:tr>
            <w:tr w14:paraId="66AF6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3573C12C">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5CA50076">
                  <w:pPr>
                    <w:keepNext w:val="0"/>
                    <w:keepLines w:val="0"/>
                    <w:pageBreakBefore w:val="0"/>
                    <w:kinsoku/>
                    <w:wordWrap/>
                    <w:overflowPunct/>
                    <w:topLinePunct w:val="0"/>
                    <w:autoSpaceDE/>
                    <w:autoSpaceDN/>
                    <w:bidi w:val="0"/>
                    <w:adjustRightInd/>
                    <w:snapToGrid/>
                    <w:spacing w:before="60" w:beforeLines="25"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增效剂注塞器</w:t>
                  </w:r>
                </w:p>
                <w:p w14:paraId="7D9E19C2">
                  <w:pPr>
                    <w:keepNext w:val="0"/>
                    <w:keepLines w:val="0"/>
                    <w:pageBreakBefore w:val="0"/>
                    <w:kinsoku/>
                    <w:wordWrap/>
                    <w:overflowPunct/>
                    <w:topLinePunct w:val="0"/>
                    <w:autoSpaceDE/>
                    <w:autoSpaceDN/>
                    <w:bidi w:val="0"/>
                    <w:adjustRightInd/>
                    <w:snapToGrid/>
                    <w:spacing w:before="60" w:beforeLines="25"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（含泵）</w:t>
                  </w:r>
                </w:p>
              </w:tc>
              <w:tc>
                <w:tcPr>
                  <w:tcW w:w="2459" w:type="dxa"/>
                  <w:shd w:val="clear" w:color="auto" w:fill="auto"/>
                  <w:noWrap w:val="0"/>
                  <w:vAlign w:val="center"/>
                </w:tcPr>
                <w:p w14:paraId="2D531D8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kern w:val="2"/>
                      <w:sz w:val="21"/>
                      <w:szCs w:val="24"/>
                      <w:lang w:val="en-US" w:eastAsia="zh-CN" w:bidi="ar-SA"/>
                    </w:rPr>
                  </w:pPr>
                  <w:r>
                    <w:rPr>
                      <w:rFonts w:hint="default" w:ascii="Times New Roman" w:hAnsi="Times New Roman" w:cs="Times New Roman"/>
                      <w:lang w:val="en-US" w:eastAsia="zh-CN"/>
                    </w:rPr>
                    <w:t>/</w:t>
                  </w:r>
                </w:p>
              </w:tc>
              <w:tc>
                <w:tcPr>
                  <w:tcW w:w="930" w:type="dxa"/>
                  <w:shd w:val="clear" w:color="auto" w:fill="auto"/>
                  <w:noWrap w:val="0"/>
                  <w:vAlign w:val="center"/>
                </w:tcPr>
                <w:p w14:paraId="5CA6E76A">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kern w:val="0"/>
                      <w:sz w:val="21"/>
                      <w:szCs w:val="21"/>
                      <w:lang w:val="en-US" w:eastAsia="zh-CN" w:bidi="ar"/>
                    </w:rPr>
                  </w:pPr>
                  <w:r>
                    <w:rPr>
                      <w:rFonts w:hint="default" w:ascii="Times New Roman" w:hAnsi="Times New Roman" w:cs="Times New Roman"/>
                      <w:kern w:val="0"/>
                      <w:szCs w:val="21"/>
                      <w:lang w:val="en-US" w:eastAsia="zh-CN" w:bidi="ar"/>
                    </w:rPr>
                    <w:t>1</w:t>
                  </w:r>
                </w:p>
              </w:tc>
              <w:tc>
                <w:tcPr>
                  <w:tcW w:w="1290" w:type="dxa"/>
                  <w:shd w:val="clear" w:color="auto" w:fill="auto"/>
                  <w:noWrap w:val="0"/>
                  <w:vAlign w:val="center"/>
                </w:tcPr>
                <w:p w14:paraId="74DC677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lang w:val="en-US" w:eastAsia="zh-CN"/>
                    </w:rPr>
                  </w:pPr>
                </w:p>
              </w:tc>
            </w:tr>
            <w:tr w14:paraId="672EE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5CBA4940">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2209A811">
                  <w:pPr>
                    <w:keepNext w:val="0"/>
                    <w:keepLines w:val="0"/>
                    <w:pageBreakBefore w:val="0"/>
                    <w:kinsoku/>
                    <w:wordWrap/>
                    <w:overflowPunct/>
                    <w:topLinePunct w:val="0"/>
                    <w:autoSpaceDE/>
                    <w:autoSpaceDN/>
                    <w:bidi w:val="0"/>
                    <w:adjustRightInd/>
                    <w:snapToGrid/>
                    <w:spacing w:before="60" w:beforeLines="25"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液态气体混合器（含泵）</w:t>
                  </w:r>
                </w:p>
              </w:tc>
              <w:tc>
                <w:tcPr>
                  <w:tcW w:w="2459" w:type="dxa"/>
                  <w:shd w:val="clear" w:color="auto" w:fill="auto"/>
                  <w:noWrap w:val="0"/>
                  <w:vAlign w:val="center"/>
                </w:tcPr>
                <w:p w14:paraId="2A32AF8E">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930" w:type="dxa"/>
                  <w:shd w:val="clear" w:color="auto" w:fill="auto"/>
                  <w:noWrap w:val="0"/>
                  <w:vAlign w:val="center"/>
                </w:tcPr>
                <w:p w14:paraId="21399822">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kern w:val="0"/>
                      <w:szCs w:val="21"/>
                      <w:lang w:val="en-US" w:eastAsia="zh-CN" w:bidi="ar"/>
                    </w:rPr>
                  </w:pPr>
                  <w:r>
                    <w:rPr>
                      <w:rFonts w:hint="default" w:ascii="Times New Roman" w:hAnsi="Times New Roman" w:cs="Times New Roman"/>
                      <w:kern w:val="0"/>
                      <w:szCs w:val="21"/>
                      <w:lang w:val="en-US" w:eastAsia="zh-CN" w:bidi="ar"/>
                    </w:rPr>
                    <w:t>1</w:t>
                  </w:r>
                </w:p>
              </w:tc>
              <w:tc>
                <w:tcPr>
                  <w:tcW w:w="1290" w:type="dxa"/>
                  <w:shd w:val="clear" w:color="auto" w:fill="auto"/>
                  <w:noWrap w:val="0"/>
                  <w:vAlign w:val="center"/>
                </w:tcPr>
                <w:p w14:paraId="3C2753AF">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lang w:val="en-US" w:eastAsia="zh-CN"/>
                    </w:rPr>
                  </w:pPr>
                </w:p>
              </w:tc>
            </w:tr>
            <w:tr w14:paraId="1A50F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73467FBE">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263F8207">
                  <w:pPr>
                    <w:keepNext w:val="0"/>
                    <w:keepLines w:val="0"/>
                    <w:pageBreakBefore w:val="0"/>
                    <w:kinsoku/>
                    <w:wordWrap/>
                    <w:overflowPunct/>
                    <w:topLinePunct w:val="0"/>
                    <w:autoSpaceDE/>
                    <w:autoSpaceDN/>
                    <w:bidi w:val="0"/>
                    <w:adjustRightInd/>
                    <w:snapToGrid/>
                    <w:spacing w:before="60" w:beforeLines="25" w:line="240" w:lineRule="auto"/>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lang w:val="en-US" w:eastAsia="zh-CN"/>
                    </w:rPr>
                    <w:t>无油润滑液化石油气专用压缩机</w:t>
                  </w:r>
                </w:p>
              </w:tc>
              <w:tc>
                <w:tcPr>
                  <w:tcW w:w="2459" w:type="dxa"/>
                  <w:shd w:val="clear" w:color="auto" w:fill="auto"/>
                  <w:noWrap w:val="0"/>
                  <w:vAlign w:val="center"/>
                </w:tcPr>
                <w:p w14:paraId="51ECBA5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szCs w:val="21"/>
                    </w:rPr>
                  </w:pPr>
                  <w:r>
                    <w:rPr>
                      <w:rFonts w:hint="default" w:ascii="Times New Roman" w:hAnsi="Times New Roman" w:cs="Times New Roman"/>
                      <w:color w:val="000000"/>
                      <w:szCs w:val="21"/>
                      <w:lang w:val="en-US" w:eastAsia="zh-CN"/>
                    </w:rPr>
                    <w:t>ZW-1.1/10~16 Q=1.1m</w:t>
                  </w:r>
                  <w:r>
                    <w:rPr>
                      <w:rFonts w:hint="default" w:ascii="Times New Roman" w:hAnsi="Times New Roman" w:cs="Times New Roman"/>
                      <w:color w:val="000000"/>
                      <w:szCs w:val="21"/>
                      <w:vertAlign w:val="superscript"/>
                      <w:lang w:val="en-US" w:eastAsia="zh-CN"/>
                    </w:rPr>
                    <w:t>3</w:t>
                  </w:r>
                  <w:r>
                    <w:rPr>
                      <w:rFonts w:hint="default" w:ascii="Times New Roman" w:hAnsi="Times New Roman" w:cs="Times New Roman"/>
                      <w:color w:val="000000"/>
                      <w:szCs w:val="21"/>
                      <w:lang w:val="en-US" w:eastAsia="zh-CN"/>
                    </w:rPr>
                    <w:t>/min</w:t>
                  </w:r>
                </w:p>
                <w:p w14:paraId="3386C95F">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color w:val="000000"/>
                      <w:kern w:val="2"/>
                      <w:sz w:val="21"/>
                      <w:szCs w:val="21"/>
                      <w:lang w:val="en-US" w:eastAsia="zh-CN" w:bidi="ar-SA"/>
                    </w:rPr>
                  </w:pPr>
                  <w:r>
                    <w:rPr>
                      <w:rFonts w:hint="default" w:ascii="Times New Roman" w:hAnsi="Times New Roman" w:cs="Times New Roman"/>
                      <w:color w:val="000000"/>
                      <w:szCs w:val="21"/>
                    </w:rPr>
                    <w:t>设计压力 2.5MPa</w:t>
                  </w:r>
                </w:p>
              </w:tc>
              <w:tc>
                <w:tcPr>
                  <w:tcW w:w="930" w:type="dxa"/>
                  <w:shd w:val="clear" w:color="auto" w:fill="auto"/>
                  <w:noWrap w:val="0"/>
                  <w:vAlign w:val="center"/>
                </w:tcPr>
                <w:p w14:paraId="17E7999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kern w:val="0"/>
                      <w:sz w:val="21"/>
                      <w:szCs w:val="21"/>
                      <w:lang w:val="en-US" w:eastAsia="zh-CN" w:bidi="ar"/>
                    </w:rPr>
                  </w:pPr>
                  <w:r>
                    <w:rPr>
                      <w:rFonts w:hint="default" w:ascii="Times New Roman" w:hAnsi="Times New Roman" w:cs="Times New Roman"/>
                      <w:kern w:val="0"/>
                      <w:szCs w:val="21"/>
                      <w:lang w:val="en-US" w:eastAsia="zh-CN" w:bidi="ar"/>
                    </w:rPr>
                    <w:t>2</w:t>
                  </w:r>
                </w:p>
              </w:tc>
              <w:tc>
                <w:tcPr>
                  <w:tcW w:w="1290" w:type="dxa"/>
                  <w:shd w:val="clear" w:color="auto" w:fill="auto"/>
                  <w:noWrap w:val="0"/>
                  <w:vAlign w:val="center"/>
                </w:tcPr>
                <w:p w14:paraId="11B4630E">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kern w:val="0"/>
                      <w:sz w:val="21"/>
                      <w:szCs w:val="21"/>
                      <w:lang w:val="en-US" w:eastAsia="zh-CN" w:bidi="ar"/>
                    </w:rPr>
                  </w:pPr>
                  <w:r>
                    <w:rPr>
                      <w:rFonts w:hint="eastAsia" w:cs="Times New Roman"/>
                      <w:lang w:val="en-US" w:eastAsia="zh-CN"/>
                    </w:rPr>
                    <w:t>1</w:t>
                  </w:r>
                  <w:r>
                    <w:rPr>
                      <w:rFonts w:hint="default" w:ascii="Times New Roman" w:hAnsi="Times New Roman" w:cs="Times New Roman"/>
                      <w:lang w:val="en-US" w:eastAsia="zh-CN"/>
                    </w:rPr>
                    <w:t>用</w:t>
                  </w:r>
                  <w:r>
                    <w:rPr>
                      <w:rFonts w:hint="eastAsia" w:cs="Times New Roman"/>
                      <w:lang w:val="en-US" w:eastAsia="zh-CN"/>
                    </w:rPr>
                    <w:t>1</w:t>
                  </w:r>
                  <w:r>
                    <w:rPr>
                      <w:rFonts w:hint="default" w:ascii="Times New Roman" w:hAnsi="Times New Roman" w:cs="Times New Roman"/>
                      <w:lang w:val="en-US" w:eastAsia="zh-CN"/>
                    </w:rPr>
                    <w:t>备</w:t>
                  </w:r>
                </w:p>
              </w:tc>
            </w:tr>
            <w:tr w14:paraId="27A37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70365FE4">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24314B1A">
                  <w:pPr>
                    <w:keepNext w:val="0"/>
                    <w:keepLines w:val="0"/>
                    <w:widowControl/>
                    <w:suppressLineNumbers w:val="0"/>
                    <w:jc w:val="center"/>
                    <w:rPr>
                      <w:rFonts w:hint="default" w:ascii="Times New Roman" w:hAnsi="Times New Roman" w:cs="Times New Roman"/>
                      <w:szCs w:val="21"/>
                    </w:rPr>
                  </w:pPr>
                  <w:r>
                    <w:rPr>
                      <w:rFonts w:hint="default" w:ascii="Times New Roman" w:hAnsi="Times New Roman" w:eastAsia="CIDFont" w:cs="Times New Roman"/>
                      <w:color w:val="000000"/>
                      <w:kern w:val="0"/>
                      <w:sz w:val="21"/>
                      <w:szCs w:val="21"/>
                      <w:lang w:val="en-US" w:eastAsia="zh-CN" w:bidi="ar"/>
                    </w:rPr>
                    <w:t>手动丙烷灌装秤</w:t>
                  </w:r>
                </w:p>
              </w:tc>
              <w:tc>
                <w:tcPr>
                  <w:tcW w:w="2459" w:type="dxa"/>
                  <w:shd w:val="clear" w:color="auto" w:fill="auto"/>
                  <w:noWrap w:val="0"/>
                  <w:vAlign w:val="center"/>
                </w:tcPr>
                <w:p w14:paraId="03A3A8F3">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cs="Times New Roman"/>
                      <w:color w:val="FF0000"/>
                      <w:kern w:val="2"/>
                      <w:sz w:val="21"/>
                      <w:szCs w:val="21"/>
                      <w:lang w:val="en-US" w:eastAsia="zh-CN" w:bidi="ar-SA"/>
                    </w:rPr>
                  </w:pPr>
                  <w:r>
                    <w:rPr>
                      <w:rFonts w:hint="default" w:ascii="Times New Roman" w:hAnsi="Times New Roman" w:eastAsia="CIDFont" w:cs="Times New Roman"/>
                      <w:color w:val="000000"/>
                      <w:kern w:val="0"/>
                      <w:sz w:val="21"/>
                      <w:szCs w:val="21"/>
                      <w:lang w:val="en-US" w:eastAsia="zh-CN" w:bidi="ar"/>
                    </w:rPr>
                    <w:t>15kg-4台/50kg-4 台</w:t>
                  </w:r>
                </w:p>
              </w:tc>
              <w:tc>
                <w:tcPr>
                  <w:tcW w:w="930" w:type="dxa"/>
                  <w:shd w:val="clear" w:color="auto" w:fill="auto"/>
                  <w:noWrap w:val="0"/>
                  <w:vAlign w:val="center"/>
                </w:tcPr>
                <w:p w14:paraId="3EF6C071">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kern w:val="0"/>
                      <w:sz w:val="21"/>
                      <w:szCs w:val="21"/>
                      <w:lang w:val="en-US" w:eastAsia="zh-CN" w:bidi="ar"/>
                    </w:rPr>
                  </w:pPr>
                  <w:r>
                    <w:rPr>
                      <w:rFonts w:hint="default" w:ascii="Times New Roman" w:hAnsi="Times New Roman" w:cs="Times New Roman"/>
                      <w:kern w:val="0"/>
                      <w:szCs w:val="21"/>
                      <w:lang w:val="en-US" w:eastAsia="zh-CN" w:bidi="ar"/>
                    </w:rPr>
                    <w:t>8</w:t>
                  </w:r>
                </w:p>
              </w:tc>
              <w:tc>
                <w:tcPr>
                  <w:tcW w:w="1290" w:type="dxa"/>
                  <w:noWrap w:val="0"/>
                  <w:vAlign w:val="center"/>
                </w:tcPr>
                <w:p w14:paraId="0DD24F45">
                  <w:pPr>
                    <w:jc w:val="center"/>
                    <w:rPr>
                      <w:rFonts w:hint="default" w:ascii="Times New Roman" w:hAnsi="Times New Roman" w:cs="Times New Roman"/>
                      <w:szCs w:val="21"/>
                    </w:rPr>
                  </w:pPr>
                </w:p>
              </w:tc>
            </w:tr>
            <w:tr w14:paraId="4503D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7AD0B169">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6E324172">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卸车臂AL2543</w:t>
                  </w:r>
                </w:p>
              </w:tc>
              <w:tc>
                <w:tcPr>
                  <w:tcW w:w="2459" w:type="dxa"/>
                  <w:shd w:val="clear" w:color="auto" w:fill="auto"/>
                  <w:noWrap w:val="0"/>
                  <w:vAlign w:val="center"/>
                </w:tcPr>
                <w:p w14:paraId="5E8F216F">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设计压力 2.5MPa</w:t>
                  </w:r>
                </w:p>
              </w:tc>
              <w:tc>
                <w:tcPr>
                  <w:tcW w:w="930" w:type="dxa"/>
                  <w:shd w:val="clear" w:color="auto" w:fill="auto"/>
                  <w:noWrap w:val="0"/>
                  <w:vAlign w:val="center"/>
                </w:tcPr>
                <w:p w14:paraId="0255CF5D">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r>
                    <w:rPr>
                      <w:rFonts w:hint="default" w:ascii="Times New Roman" w:hAnsi="Times New Roman" w:eastAsia="CIDFont" w:cs="Times New Roman"/>
                      <w:color w:val="000000"/>
                      <w:kern w:val="0"/>
                      <w:sz w:val="21"/>
                      <w:szCs w:val="21"/>
                      <w:lang w:val="en-US" w:eastAsia="zh-CN" w:bidi="ar"/>
                    </w:rPr>
                    <w:t>1</w:t>
                  </w:r>
                </w:p>
              </w:tc>
              <w:tc>
                <w:tcPr>
                  <w:tcW w:w="1290" w:type="dxa"/>
                  <w:shd w:val="clear" w:color="auto" w:fill="auto"/>
                  <w:noWrap w:val="0"/>
                  <w:vAlign w:val="center"/>
                </w:tcPr>
                <w:p w14:paraId="3F060A00">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eastAsia="CIDFont" w:cs="Times New Roman"/>
                      <w:color w:val="000000"/>
                      <w:kern w:val="0"/>
                      <w:sz w:val="21"/>
                      <w:szCs w:val="21"/>
                      <w:lang w:val="en-US" w:eastAsia="zh-CN" w:bidi="ar"/>
                    </w:rPr>
                  </w:pPr>
                </w:p>
              </w:tc>
            </w:tr>
            <w:tr w14:paraId="597A9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restart"/>
                  <w:noWrap w:val="0"/>
                  <w:vAlign w:val="center"/>
                </w:tcPr>
                <w:p w14:paraId="3265B51D">
                  <w:pPr>
                    <w:spacing w:line="300" w:lineRule="exact"/>
                    <w:jc w:val="center"/>
                    <w:rPr>
                      <w:rFonts w:hint="default" w:ascii="Times New Roman" w:hAnsi="Times New Roman" w:cs="Times New Roman"/>
                      <w:color w:val="000000"/>
                      <w:szCs w:val="21"/>
                      <w:lang w:val="en-US" w:eastAsia="zh-CN"/>
                    </w:rPr>
                  </w:pPr>
                  <w:r>
                    <w:rPr>
                      <w:rFonts w:hint="default" w:ascii="Times New Roman" w:hAnsi="Times New Roman" w:cs="Times New Roman"/>
                      <w:color w:val="000000"/>
                      <w:szCs w:val="21"/>
                      <w:lang w:val="en-US" w:eastAsia="zh-CN"/>
                    </w:rPr>
                    <w:t>其他气体充装</w:t>
                  </w:r>
                </w:p>
              </w:tc>
              <w:tc>
                <w:tcPr>
                  <w:tcW w:w="1781" w:type="dxa"/>
                  <w:noWrap w:val="0"/>
                  <w:vAlign w:val="center"/>
                </w:tcPr>
                <w:p w14:paraId="0E0CF262">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工业液氧储罐</w:t>
                  </w:r>
                </w:p>
              </w:tc>
              <w:tc>
                <w:tcPr>
                  <w:tcW w:w="2459" w:type="dxa"/>
                  <w:noWrap w:val="0"/>
                  <w:vAlign w:val="center"/>
                </w:tcPr>
                <w:p w14:paraId="5795FD5B">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vertAlign w:val="superscript"/>
                      <w:lang w:val="en-US" w:eastAsia="zh-CN"/>
                    </w:rPr>
                  </w:pPr>
                  <w:r>
                    <w:rPr>
                      <w:rFonts w:hint="default" w:ascii="Times New Roman" w:hAnsi="Times New Roman" w:cs="Times New Roman"/>
                      <w:lang w:val="en-US" w:eastAsia="zh-CN"/>
                    </w:rPr>
                    <w:t>V=50m</w:t>
                  </w:r>
                  <w:r>
                    <w:rPr>
                      <w:rFonts w:hint="default" w:ascii="Times New Roman" w:hAnsi="Times New Roman" w:cs="Times New Roman"/>
                      <w:vertAlign w:val="superscript"/>
                      <w:lang w:val="en-US" w:eastAsia="zh-CN"/>
                    </w:rPr>
                    <w:t>3</w:t>
                  </w:r>
                </w:p>
                <w:p w14:paraId="62E3EC99">
                  <w:pPr>
                    <w:jc w:val="center"/>
                    <w:rPr>
                      <w:rFonts w:hint="default" w:ascii="Times New Roman" w:hAnsi="Times New Roman" w:cs="Times New Roman"/>
                      <w:szCs w:val="21"/>
                    </w:rPr>
                  </w:pPr>
                  <w:r>
                    <w:rPr>
                      <w:rFonts w:hint="default" w:ascii="Times New Roman" w:hAnsi="Times New Roman" w:cs="Times New Roman"/>
                      <w:lang w:val="en-US" w:eastAsia="zh-CN"/>
                    </w:rPr>
                    <w:t>设计压力0.84MPa</w:t>
                  </w:r>
                </w:p>
              </w:tc>
              <w:tc>
                <w:tcPr>
                  <w:tcW w:w="930" w:type="dxa"/>
                  <w:noWrap w:val="0"/>
                  <w:vAlign w:val="center"/>
                </w:tcPr>
                <w:p w14:paraId="0B5ECCC2">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290800E6">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立式</w:t>
                  </w:r>
                </w:p>
              </w:tc>
            </w:tr>
            <w:tr w14:paraId="1B0641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1B0B4C54">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28D2C90B">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医用液氧储罐</w:t>
                  </w:r>
                </w:p>
              </w:tc>
              <w:tc>
                <w:tcPr>
                  <w:tcW w:w="2459" w:type="dxa"/>
                  <w:shd w:val="clear" w:color="auto" w:fill="auto"/>
                  <w:noWrap w:val="0"/>
                  <w:vAlign w:val="center"/>
                </w:tcPr>
                <w:p w14:paraId="3A924AB6">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vertAlign w:val="superscript"/>
                      <w:lang w:val="en-US" w:eastAsia="zh-CN"/>
                    </w:rPr>
                  </w:pPr>
                  <w:r>
                    <w:rPr>
                      <w:rFonts w:hint="default" w:ascii="Times New Roman" w:hAnsi="Times New Roman" w:cs="Times New Roman"/>
                      <w:lang w:val="en-US" w:eastAsia="zh-CN"/>
                    </w:rPr>
                    <w:t>V=50m</w:t>
                  </w:r>
                  <w:r>
                    <w:rPr>
                      <w:rFonts w:hint="default" w:ascii="Times New Roman" w:hAnsi="Times New Roman" w:cs="Times New Roman"/>
                      <w:vertAlign w:val="superscript"/>
                      <w:lang w:val="en-US" w:eastAsia="zh-CN"/>
                    </w:rPr>
                    <w:t>3</w:t>
                  </w:r>
                </w:p>
                <w:p w14:paraId="54983E9F">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lang w:val="en-US" w:eastAsia="zh-CN"/>
                    </w:rPr>
                    <w:t>设计压力0.84MPa</w:t>
                  </w:r>
                </w:p>
              </w:tc>
              <w:tc>
                <w:tcPr>
                  <w:tcW w:w="930" w:type="dxa"/>
                  <w:shd w:val="clear" w:color="auto" w:fill="auto"/>
                  <w:noWrap w:val="0"/>
                  <w:vAlign w:val="center"/>
                </w:tcPr>
                <w:p w14:paraId="3F66A7B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1</w:t>
                  </w:r>
                </w:p>
              </w:tc>
              <w:tc>
                <w:tcPr>
                  <w:tcW w:w="1290" w:type="dxa"/>
                  <w:shd w:val="clear" w:color="auto" w:fill="auto"/>
                  <w:noWrap w:val="0"/>
                  <w:vAlign w:val="center"/>
                </w:tcPr>
                <w:p w14:paraId="72EC7DE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立式</w:t>
                  </w:r>
                </w:p>
              </w:tc>
            </w:tr>
            <w:tr w14:paraId="20220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2F5C8CD1">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0B6D50C6">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液氮储罐</w:t>
                  </w:r>
                </w:p>
              </w:tc>
              <w:tc>
                <w:tcPr>
                  <w:tcW w:w="2459" w:type="dxa"/>
                  <w:noWrap w:val="0"/>
                  <w:vAlign w:val="center"/>
                </w:tcPr>
                <w:p w14:paraId="09E732A9">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vertAlign w:val="superscript"/>
                      <w:lang w:val="en-US" w:eastAsia="zh-CN"/>
                    </w:rPr>
                  </w:pPr>
                  <w:r>
                    <w:rPr>
                      <w:rFonts w:hint="default" w:ascii="Times New Roman" w:hAnsi="Times New Roman" w:cs="Times New Roman"/>
                      <w:lang w:val="en-US" w:eastAsia="zh-CN"/>
                    </w:rPr>
                    <w:t>V=50m</w:t>
                  </w:r>
                  <w:r>
                    <w:rPr>
                      <w:rFonts w:hint="default" w:ascii="Times New Roman" w:hAnsi="Times New Roman" w:cs="Times New Roman"/>
                      <w:vertAlign w:val="superscript"/>
                      <w:lang w:val="en-US" w:eastAsia="zh-CN"/>
                    </w:rPr>
                    <w:t>3</w:t>
                  </w:r>
                </w:p>
                <w:p w14:paraId="606078F2">
                  <w:pPr>
                    <w:jc w:val="center"/>
                    <w:rPr>
                      <w:rFonts w:hint="default" w:ascii="Times New Roman" w:hAnsi="Times New Roman" w:cs="Times New Roman"/>
                      <w:szCs w:val="21"/>
                    </w:rPr>
                  </w:pPr>
                  <w:r>
                    <w:rPr>
                      <w:rFonts w:hint="default" w:ascii="Times New Roman" w:hAnsi="Times New Roman" w:cs="Times New Roman"/>
                      <w:lang w:val="en-US" w:eastAsia="zh-CN"/>
                    </w:rPr>
                    <w:t>设计压力0.84MPa</w:t>
                  </w:r>
                </w:p>
              </w:tc>
              <w:tc>
                <w:tcPr>
                  <w:tcW w:w="930" w:type="dxa"/>
                  <w:noWrap w:val="0"/>
                  <w:vAlign w:val="center"/>
                </w:tcPr>
                <w:p w14:paraId="6F878DAD">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250F19FD">
                  <w:pPr>
                    <w:jc w:val="center"/>
                    <w:rPr>
                      <w:rFonts w:hint="default" w:ascii="Times New Roman" w:hAnsi="Times New Roman" w:cs="Times New Roman"/>
                      <w:szCs w:val="21"/>
                    </w:rPr>
                  </w:pPr>
                  <w:r>
                    <w:rPr>
                      <w:rFonts w:hint="default" w:ascii="Times New Roman" w:hAnsi="Times New Roman" w:cs="Times New Roman"/>
                      <w:szCs w:val="21"/>
                      <w:lang w:val="en-US" w:eastAsia="zh-CN"/>
                    </w:rPr>
                    <w:t>立式</w:t>
                  </w:r>
                </w:p>
              </w:tc>
            </w:tr>
            <w:tr w14:paraId="2DD46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21018145">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5BCE9A4B">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液氩储罐</w:t>
                  </w:r>
                </w:p>
              </w:tc>
              <w:tc>
                <w:tcPr>
                  <w:tcW w:w="2459" w:type="dxa"/>
                  <w:noWrap w:val="0"/>
                  <w:vAlign w:val="center"/>
                </w:tcPr>
                <w:p w14:paraId="4E8D3CCA">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vertAlign w:val="superscript"/>
                      <w:lang w:val="en-US" w:eastAsia="zh-CN"/>
                    </w:rPr>
                  </w:pPr>
                  <w:r>
                    <w:rPr>
                      <w:rFonts w:hint="default" w:ascii="Times New Roman" w:hAnsi="Times New Roman" w:cs="Times New Roman"/>
                      <w:lang w:val="en-US" w:eastAsia="zh-CN"/>
                    </w:rPr>
                    <w:t>V=50m</w:t>
                  </w:r>
                  <w:r>
                    <w:rPr>
                      <w:rFonts w:hint="default" w:ascii="Times New Roman" w:hAnsi="Times New Roman" w:cs="Times New Roman"/>
                      <w:vertAlign w:val="superscript"/>
                      <w:lang w:val="en-US" w:eastAsia="zh-CN"/>
                    </w:rPr>
                    <w:t>3</w:t>
                  </w:r>
                </w:p>
                <w:p w14:paraId="2CAFDD76">
                  <w:pPr>
                    <w:jc w:val="center"/>
                    <w:rPr>
                      <w:rFonts w:hint="default" w:ascii="Times New Roman" w:hAnsi="Times New Roman" w:cs="Times New Roman"/>
                      <w:szCs w:val="21"/>
                    </w:rPr>
                  </w:pPr>
                  <w:r>
                    <w:rPr>
                      <w:rFonts w:hint="default" w:ascii="Times New Roman" w:hAnsi="Times New Roman" w:cs="Times New Roman"/>
                      <w:lang w:val="en-US" w:eastAsia="zh-CN"/>
                    </w:rPr>
                    <w:t>设计压力0.84MPa</w:t>
                  </w:r>
                </w:p>
              </w:tc>
              <w:tc>
                <w:tcPr>
                  <w:tcW w:w="930" w:type="dxa"/>
                  <w:noWrap w:val="0"/>
                  <w:vAlign w:val="center"/>
                </w:tcPr>
                <w:p w14:paraId="6D2A8C94">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7EA7124B">
                  <w:pPr>
                    <w:jc w:val="center"/>
                    <w:rPr>
                      <w:rFonts w:hint="default" w:ascii="Times New Roman" w:hAnsi="Times New Roman" w:cs="Times New Roman"/>
                      <w:szCs w:val="21"/>
                    </w:rPr>
                  </w:pPr>
                  <w:r>
                    <w:rPr>
                      <w:rFonts w:hint="default" w:ascii="Times New Roman" w:hAnsi="Times New Roman" w:cs="Times New Roman"/>
                      <w:szCs w:val="21"/>
                      <w:lang w:val="en-US" w:eastAsia="zh-CN"/>
                    </w:rPr>
                    <w:t>立式</w:t>
                  </w:r>
                </w:p>
              </w:tc>
            </w:tr>
            <w:tr w14:paraId="7B15A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7B2699E2">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1930D16B">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液二氧化碳储罐</w:t>
                  </w:r>
                </w:p>
              </w:tc>
              <w:tc>
                <w:tcPr>
                  <w:tcW w:w="2459" w:type="dxa"/>
                  <w:noWrap w:val="0"/>
                  <w:vAlign w:val="center"/>
                </w:tcPr>
                <w:p w14:paraId="6C0C2F38">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cs="Times New Roman"/>
                      <w:vertAlign w:val="superscript"/>
                      <w:lang w:val="en-US" w:eastAsia="zh-CN"/>
                    </w:rPr>
                  </w:pPr>
                  <w:r>
                    <w:rPr>
                      <w:rFonts w:hint="default" w:ascii="Times New Roman" w:hAnsi="Times New Roman" w:cs="Times New Roman"/>
                      <w:lang w:val="en-US" w:eastAsia="zh-CN"/>
                    </w:rPr>
                    <w:t>V=50m</w:t>
                  </w:r>
                  <w:r>
                    <w:rPr>
                      <w:rFonts w:hint="default" w:ascii="Times New Roman" w:hAnsi="Times New Roman" w:cs="Times New Roman"/>
                      <w:vertAlign w:val="superscript"/>
                      <w:lang w:val="en-US" w:eastAsia="zh-CN"/>
                    </w:rPr>
                    <w:t>3</w:t>
                  </w:r>
                </w:p>
                <w:p w14:paraId="42A1C790">
                  <w:pPr>
                    <w:jc w:val="center"/>
                    <w:rPr>
                      <w:rFonts w:hint="default" w:ascii="Times New Roman" w:hAnsi="Times New Roman" w:cs="Times New Roman"/>
                      <w:szCs w:val="21"/>
                    </w:rPr>
                  </w:pPr>
                  <w:r>
                    <w:rPr>
                      <w:rFonts w:hint="default" w:ascii="Times New Roman" w:hAnsi="Times New Roman" w:cs="Times New Roman"/>
                      <w:lang w:val="en-US" w:eastAsia="zh-CN"/>
                    </w:rPr>
                    <w:t>设计压力2.2MPa</w:t>
                  </w:r>
                </w:p>
              </w:tc>
              <w:tc>
                <w:tcPr>
                  <w:tcW w:w="930" w:type="dxa"/>
                  <w:noWrap w:val="0"/>
                  <w:vAlign w:val="center"/>
                </w:tcPr>
                <w:p w14:paraId="4AA922E9">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01161F4E">
                  <w:pPr>
                    <w:jc w:val="center"/>
                    <w:rPr>
                      <w:rFonts w:hint="default" w:ascii="Times New Roman" w:hAnsi="Times New Roman" w:cs="Times New Roman"/>
                      <w:szCs w:val="21"/>
                    </w:rPr>
                  </w:pPr>
                  <w:r>
                    <w:rPr>
                      <w:rFonts w:hint="default" w:ascii="Times New Roman" w:hAnsi="Times New Roman" w:cs="Times New Roman"/>
                      <w:szCs w:val="21"/>
                      <w:lang w:val="en-US" w:eastAsia="zh-CN"/>
                    </w:rPr>
                    <w:t>立式</w:t>
                  </w:r>
                </w:p>
              </w:tc>
            </w:tr>
            <w:tr w14:paraId="0C848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4C478688">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2C403806">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工业液氧泵</w:t>
                  </w:r>
                </w:p>
              </w:tc>
              <w:tc>
                <w:tcPr>
                  <w:tcW w:w="2459" w:type="dxa"/>
                  <w:noWrap w:val="0"/>
                  <w:vAlign w:val="center"/>
                </w:tcPr>
                <w:p w14:paraId="249F51D5">
                  <w:pPr>
                    <w:jc w:val="center"/>
                    <w:rPr>
                      <w:rFonts w:hint="default" w:ascii="Times New Roman" w:hAnsi="Times New Roman" w:cs="Times New Roman"/>
                      <w:szCs w:val="21"/>
                    </w:rPr>
                  </w:pPr>
                  <w:r>
                    <w:rPr>
                      <w:rFonts w:hint="default" w:ascii="Times New Roman" w:hAnsi="Times New Roman" w:cs="Times New Roman"/>
                      <w:szCs w:val="21"/>
                    </w:rPr>
                    <w:t>流量Q=0.5m</w:t>
                  </w:r>
                  <w:r>
                    <w:rPr>
                      <w:rFonts w:hint="default" w:ascii="Times New Roman" w:hAnsi="Times New Roman" w:cs="Times New Roman"/>
                      <w:szCs w:val="21"/>
                      <w:vertAlign w:val="superscript"/>
                    </w:rPr>
                    <w:t>3</w:t>
                  </w:r>
                  <w:r>
                    <w:rPr>
                      <w:rFonts w:hint="default" w:ascii="Times New Roman" w:hAnsi="Times New Roman" w:cs="Times New Roman"/>
                      <w:szCs w:val="21"/>
                    </w:rPr>
                    <w:t xml:space="preserve">/h </w:t>
                  </w:r>
                </w:p>
                <w:p w14:paraId="79611DD8">
                  <w:pPr>
                    <w:jc w:val="center"/>
                    <w:rPr>
                      <w:rFonts w:hint="default" w:ascii="Times New Roman" w:hAnsi="Times New Roman" w:cs="Times New Roman"/>
                      <w:szCs w:val="21"/>
                    </w:rPr>
                  </w:pPr>
                  <w:r>
                    <w:rPr>
                      <w:rFonts w:hint="default" w:ascii="Times New Roman" w:hAnsi="Times New Roman" w:cs="Times New Roman"/>
                      <w:szCs w:val="21"/>
                    </w:rPr>
                    <w:t>低温柱塞泵</w:t>
                  </w:r>
                </w:p>
              </w:tc>
              <w:tc>
                <w:tcPr>
                  <w:tcW w:w="930" w:type="dxa"/>
                  <w:noWrap w:val="0"/>
                  <w:vAlign w:val="center"/>
                </w:tcPr>
                <w:p w14:paraId="244F5E2D">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2</w:t>
                  </w:r>
                </w:p>
              </w:tc>
              <w:tc>
                <w:tcPr>
                  <w:tcW w:w="1290" w:type="dxa"/>
                  <w:noWrap w:val="0"/>
                  <w:vAlign w:val="center"/>
                </w:tcPr>
                <w:p w14:paraId="60C12899">
                  <w:pPr>
                    <w:jc w:val="center"/>
                    <w:rPr>
                      <w:rFonts w:hint="default" w:ascii="Times New Roman" w:hAnsi="Times New Roman" w:cs="Times New Roman"/>
                      <w:szCs w:val="21"/>
                    </w:rPr>
                  </w:pPr>
                </w:p>
              </w:tc>
            </w:tr>
            <w:tr w14:paraId="5E156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2F2CD7E8">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26ABE1EA">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医用液氧泵</w:t>
                  </w:r>
                </w:p>
              </w:tc>
              <w:tc>
                <w:tcPr>
                  <w:tcW w:w="2459" w:type="dxa"/>
                  <w:shd w:val="clear" w:color="auto" w:fill="auto"/>
                  <w:noWrap w:val="0"/>
                  <w:vAlign w:val="center"/>
                </w:tcPr>
                <w:p w14:paraId="23581134">
                  <w:pPr>
                    <w:jc w:val="center"/>
                    <w:rPr>
                      <w:rFonts w:hint="default" w:ascii="Times New Roman" w:hAnsi="Times New Roman" w:cs="Times New Roman"/>
                      <w:szCs w:val="21"/>
                    </w:rPr>
                  </w:pPr>
                  <w:r>
                    <w:rPr>
                      <w:rFonts w:hint="default" w:ascii="Times New Roman" w:hAnsi="Times New Roman" w:cs="Times New Roman"/>
                      <w:szCs w:val="21"/>
                    </w:rPr>
                    <w:t>流量Q=0.5m</w:t>
                  </w:r>
                  <w:r>
                    <w:rPr>
                      <w:rFonts w:hint="default" w:ascii="Times New Roman" w:hAnsi="Times New Roman" w:cs="Times New Roman"/>
                      <w:szCs w:val="21"/>
                      <w:vertAlign w:val="superscript"/>
                    </w:rPr>
                    <w:t>3</w:t>
                  </w:r>
                  <w:r>
                    <w:rPr>
                      <w:rFonts w:hint="default" w:ascii="Times New Roman" w:hAnsi="Times New Roman" w:cs="Times New Roman"/>
                      <w:szCs w:val="21"/>
                    </w:rPr>
                    <w:t xml:space="preserve">/h </w:t>
                  </w:r>
                </w:p>
                <w:p w14:paraId="1FE3E73D">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rPr>
                    <w:t>低温柱塞泵</w:t>
                  </w:r>
                </w:p>
              </w:tc>
              <w:tc>
                <w:tcPr>
                  <w:tcW w:w="930" w:type="dxa"/>
                  <w:shd w:val="clear" w:color="auto" w:fill="auto"/>
                  <w:noWrap w:val="0"/>
                  <w:vAlign w:val="center"/>
                </w:tcPr>
                <w:p w14:paraId="65246D06">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2</w:t>
                  </w:r>
                </w:p>
              </w:tc>
              <w:tc>
                <w:tcPr>
                  <w:tcW w:w="1290" w:type="dxa"/>
                  <w:shd w:val="clear" w:color="auto" w:fill="auto"/>
                  <w:noWrap w:val="0"/>
                  <w:vAlign w:val="center"/>
                </w:tcPr>
                <w:p w14:paraId="766EBC99">
                  <w:pPr>
                    <w:jc w:val="center"/>
                    <w:rPr>
                      <w:rFonts w:hint="default" w:ascii="Times New Roman" w:hAnsi="Times New Roman" w:eastAsia="宋体" w:cs="Times New Roman"/>
                      <w:kern w:val="2"/>
                      <w:sz w:val="21"/>
                      <w:szCs w:val="21"/>
                      <w:lang w:val="en-US" w:eastAsia="zh-CN" w:bidi="ar-SA"/>
                    </w:rPr>
                  </w:pPr>
                </w:p>
              </w:tc>
            </w:tr>
            <w:tr w14:paraId="47225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6D8D65B2">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1A4FD752">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液氮泵</w:t>
                  </w:r>
                </w:p>
              </w:tc>
              <w:tc>
                <w:tcPr>
                  <w:tcW w:w="2459" w:type="dxa"/>
                  <w:shd w:val="clear" w:color="auto" w:fill="auto"/>
                  <w:noWrap w:val="0"/>
                  <w:vAlign w:val="center"/>
                </w:tcPr>
                <w:p w14:paraId="6F5C5E32">
                  <w:pPr>
                    <w:jc w:val="center"/>
                    <w:rPr>
                      <w:rFonts w:hint="default" w:ascii="Times New Roman" w:hAnsi="Times New Roman" w:cs="Times New Roman"/>
                      <w:szCs w:val="21"/>
                    </w:rPr>
                  </w:pPr>
                  <w:r>
                    <w:rPr>
                      <w:rFonts w:hint="default" w:ascii="Times New Roman" w:hAnsi="Times New Roman" w:cs="Times New Roman"/>
                      <w:szCs w:val="21"/>
                    </w:rPr>
                    <w:t>流量Q=0.5m</w:t>
                  </w:r>
                  <w:r>
                    <w:rPr>
                      <w:rFonts w:hint="default" w:ascii="Times New Roman" w:hAnsi="Times New Roman" w:cs="Times New Roman"/>
                      <w:szCs w:val="21"/>
                      <w:vertAlign w:val="superscript"/>
                    </w:rPr>
                    <w:t>3</w:t>
                  </w:r>
                  <w:r>
                    <w:rPr>
                      <w:rFonts w:hint="default" w:ascii="Times New Roman" w:hAnsi="Times New Roman" w:cs="Times New Roman"/>
                      <w:szCs w:val="21"/>
                    </w:rPr>
                    <w:t xml:space="preserve">/h </w:t>
                  </w:r>
                </w:p>
                <w:p w14:paraId="6671574A">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rPr>
                    <w:t>低温柱塞泵</w:t>
                  </w:r>
                </w:p>
              </w:tc>
              <w:tc>
                <w:tcPr>
                  <w:tcW w:w="930" w:type="dxa"/>
                  <w:shd w:val="clear" w:color="auto" w:fill="auto"/>
                  <w:noWrap w:val="0"/>
                  <w:vAlign w:val="center"/>
                </w:tcPr>
                <w:p w14:paraId="76B2170D">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2</w:t>
                  </w:r>
                </w:p>
              </w:tc>
              <w:tc>
                <w:tcPr>
                  <w:tcW w:w="1290" w:type="dxa"/>
                  <w:noWrap w:val="0"/>
                  <w:vAlign w:val="center"/>
                </w:tcPr>
                <w:p w14:paraId="3C5A9344">
                  <w:pPr>
                    <w:jc w:val="center"/>
                    <w:rPr>
                      <w:rFonts w:hint="default" w:ascii="Times New Roman" w:hAnsi="Times New Roman" w:cs="Times New Roman"/>
                      <w:szCs w:val="21"/>
                    </w:rPr>
                  </w:pPr>
                </w:p>
              </w:tc>
            </w:tr>
            <w:tr w14:paraId="477C8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09A09C3A">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618B8139">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液氩泵</w:t>
                  </w:r>
                </w:p>
              </w:tc>
              <w:tc>
                <w:tcPr>
                  <w:tcW w:w="2459" w:type="dxa"/>
                  <w:shd w:val="clear" w:color="auto" w:fill="auto"/>
                  <w:noWrap w:val="0"/>
                  <w:vAlign w:val="center"/>
                </w:tcPr>
                <w:p w14:paraId="6A666DB5">
                  <w:pPr>
                    <w:jc w:val="center"/>
                    <w:rPr>
                      <w:rFonts w:hint="default" w:ascii="Times New Roman" w:hAnsi="Times New Roman" w:cs="Times New Roman"/>
                      <w:szCs w:val="21"/>
                    </w:rPr>
                  </w:pPr>
                  <w:r>
                    <w:rPr>
                      <w:rFonts w:hint="default" w:ascii="Times New Roman" w:hAnsi="Times New Roman" w:cs="Times New Roman"/>
                      <w:szCs w:val="21"/>
                    </w:rPr>
                    <w:t>流量Q=0.5m</w:t>
                  </w:r>
                  <w:r>
                    <w:rPr>
                      <w:rFonts w:hint="default" w:ascii="Times New Roman" w:hAnsi="Times New Roman" w:cs="Times New Roman"/>
                      <w:szCs w:val="21"/>
                      <w:vertAlign w:val="superscript"/>
                    </w:rPr>
                    <w:t>3</w:t>
                  </w:r>
                  <w:r>
                    <w:rPr>
                      <w:rFonts w:hint="default" w:ascii="Times New Roman" w:hAnsi="Times New Roman" w:cs="Times New Roman"/>
                      <w:szCs w:val="21"/>
                    </w:rPr>
                    <w:t xml:space="preserve">/h </w:t>
                  </w:r>
                </w:p>
                <w:p w14:paraId="5D7888F4">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rPr>
                    <w:t>低温柱塞泵</w:t>
                  </w:r>
                </w:p>
              </w:tc>
              <w:tc>
                <w:tcPr>
                  <w:tcW w:w="930" w:type="dxa"/>
                  <w:shd w:val="clear" w:color="auto" w:fill="auto"/>
                  <w:noWrap w:val="0"/>
                  <w:vAlign w:val="center"/>
                </w:tcPr>
                <w:p w14:paraId="1B529805">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2</w:t>
                  </w:r>
                </w:p>
              </w:tc>
              <w:tc>
                <w:tcPr>
                  <w:tcW w:w="1290" w:type="dxa"/>
                  <w:noWrap w:val="0"/>
                  <w:vAlign w:val="center"/>
                </w:tcPr>
                <w:p w14:paraId="4FD071EF">
                  <w:pPr>
                    <w:jc w:val="center"/>
                    <w:rPr>
                      <w:rFonts w:hint="default" w:ascii="Times New Roman" w:hAnsi="Times New Roman" w:cs="Times New Roman"/>
                      <w:szCs w:val="21"/>
                    </w:rPr>
                  </w:pPr>
                </w:p>
              </w:tc>
            </w:tr>
            <w:tr w14:paraId="4E710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06E46DAE">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04165532">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液二氧化碳泵</w:t>
                  </w:r>
                </w:p>
              </w:tc>
              <w:tc>
                <w:tcPr>
                  <w:tcW w:w="2459" w:type="dxa"/>
                  <w:noWrap w:val="0"/>
                  <w:vAlign w:val="center"/>
                </w:tcPr>
                <w:p w14:paraId="414E6255">
                  <w:pPr>
                    <w:jc w:val="center"/>
                    <w:rPr>
                      <w:rFonts w:hint="default" w:ascii="Times New Roman" w:hAnsi="Times New Roman" w:cs="Times New Roman"/>
                      <w:szCs w:val="21"/>
                    </w:rPr>
                  </w:pPr>
                  <w:r>
                    <w:rPr>
                      <w:rFonts w:hint="default" w:ascii="Times New Roman" w:hAnsi="Times New Roman" w:cs="Times New Roman"/>
                      <w:szCs w:val="21"/>
                    </w:rPr>
                    <w:t>流量Q=</w:t>
                  </w:r>
                  <w:r>
                    <w:rPr>
                      <w:rFonts w:hint="default" w:ascii="Times New Roman" w:hAnsi="Times New Roman" w:cs="Times New Roman"/>
                      <w:szCs w:val="21"/>
                      <w:lang w:val="en-US" w:eastAsia="zh-CN"/>
                    </w:rPr>
                    <w:t>1</w:t>
                  </w:r>
                  <w:r>
                    <w:rPr>
                      <w:rFonts w:hint="default" w:ascii="Times New Roman" w:hAnsi="Times New Roman" w:cs="Times New Roman"/>
                      <w:szCs w:val="21"/>
                    </w:rPr>
                    <w:t>m</w:t>
                  </w:r>
                  <w:r>
                    <w:rPr>
                      <w:rFonts w:hint="default" w:ascii="Times New Roman" w:hAnsi="Times New Roman" w:cs="Times New Roman"/>
                      <w:szCs w:val="21"/>
                      <w:vertAlign w:val="superscript"/>
                    </w:rPr>
                    <w:t>3</w:t>
                  </w:r>
                  <w:r>
                    <w:rPr>
                      <w:rFonts w:hint="default" w:ascii="Times New Roman" w:hAnsi="Times New Roman" w:cs="Times New Roman"/>
                      <w:szCs w:val="21"/>
                    </w:rPr>
                    <w:t xml:space="preserve">/h </w:t>
                  </w:r>
                </w:p>
                <w:p w14:paraId="7CDE21F9">
                  <w:pPr>
                    <w:jc w:val="center"/>
                    <w:rPr>
                      <w:rFonts w:hint="default" w:ascii="Times New Roman" w:hAnsi="Times New Roman" w:cs="Times New Roman"/>
                      <w:szCs w:val="21"/>
                    </w:rPr>
                  </w:pPr>
                  <w:r>
                    <w:rPr>
                      <w:rFonts w:hint="default" w:ascii="Times New Roman" w:hAnsi="Times New Roman" w:cs="Times New Roman"/>
                      <w:szCs w:val="21"/>
                    </w:rPr>
                    <w:t>低温柱塞泵</w:t>
                  </w:r>
                </w:p>
              </w:tc>
              <w:tc>
                <w:tcPr>
                  <w:tcW w:w="930" w:type="dxa"/>
                  <w:noWrap w:val="0"/>
                  <w:vAlign w:val="center"/>
                </w:tcPr>
                <w:p w14:paraId="72176236">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3807A4DF">
                  <w:pPr>
                    <w:jc w:val="center"/>
                    <w:rPr>
                      <w:rFonts w:hint="default" w:ascii="Times New Roman" w:hAnsi="Times New Roman" w:cs="Times New Roman"/>
                      <w:szCs w:val="21"/>
                    </w:rPr>
                  </w:pPr>
                </w:p>
              </w:tc>
            </w:tr>
            <w:tr w14:paraId="365A5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5CF9F5FF">
                  <w:pPr>
                    <w:spacing w:line="300" w:lineRule="exact"/>
                    <w:jc w:val="center"/>
                    <w:rPr>
                      <w:rFonts w:hint="default" w:ascii="Times New Roman" w:hAnsi="Times New Roman" w:cs="Times New Roman"/>
                      <w:color w:val="000000"/>
                      <w:szCs w:val="21"/>
                      <w:lang w:val="en-US" w:eastAsia="zh-CN"/>
                    </w:rPr>
                  </w:pPr>
                </w:p>
              </w:tc>
              <w:tc>
                <w:tcPr>
                  <w:tcW w:w="1781" w:type="dxa"/>
                  <w:noWrap w:val="0"/>
                  <w:vAlign w:val="center"/>
                </w:tcPr>
                <w:p w14:paraId="5BC6DEFF">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工业液氧空温汽化器</w:t>
                  </w:r>
                </w:p>
              </w:tc>
              <w:tc>
                <w:tcPr>
                  <w:tcW w:w="2459" w:type="dxa"/>
                  <w:noWrap w:val="0"/>
                  <w:vAlign w:val="center"/>
                </w:tcPr>
                <w:p w14:paraId="0DD3F3FF">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Q=800Nm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7ABF89D1">
                  <w:pPr>
                    <w:jc w:val="center"/>
                    <w:rPr>
                      <w:rFonts w:hint="default" w:ascii="Times New Roman" w:hAnsi="Times New Roman" w:cs="Times New Roman"/>
                      <w:szCs w:val="21"/>
                    </w:rPr>
                  </w:pPr>
                  <w:r>
                    <w:rPr>
                      <w:rFonts w:hint="default" w:ascii="Times New Roman" w:hAnsi="Times New Roman" w:cs="Times New Roman"/>
                      <w:szCs w:val="21"/>
                      <w:lang w:val="en-US" w:eastAsia="zh-CN"/>
                    </w:rPr>
                    <w:t>工作压力15MPa</w:t>
                  </w:r>
                </w:p>
              </w:tc>
              <w:tc>
                <w:tcPr>
                  <w:tcW w:w="930" w:type="dxa"/>
                  <w:noWrap w:val="0"/>
                  <w:vAlign w:val="center"/>
                </w:tcPr>
                <w:p w14:paraId="0DB88E1C">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w:t>
                  </w:r>
                </w:p>
              </w:tc>
              <w:tc>
                <w:tcPr>
                  <w:tcW w:w="1290" w:type="dxa"/>
                  <w:noWrap w:val="0"/>
                  <w:vAlign w:val="center"/>
                </w:tcPr>
                <w:p w14:paraId="5035AE7F">
                  <w:pPr>
                    <w:jc w:val="center"/>
                    <w:rPr>
                      <w:rFonts w:hint="default" w:ascii="Times New Roman" w:hAnsi="Times New Roman" w:cs="Times New Roman"/>
                      <w:szCs w:val="21"/>
                    </w:rPr>
                  </w:pPr>
                </w:p>
              </w:tc>
            </w:tr>
            <w:tr w14:paraId="69507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6B18C2A3">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5120A10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医用液氧空温汽化器</w:t>
                  </w:r>
                </w:p>
              </w:tc>
              <w:tc>
                <w:tcPr>
                  <w:tcW w:w="2459" w:type="dxa"/>
                  <w:shd w:val="clear" w:color="auto" w:fill="auto"/>
                  <w:noWrap w:val="0"/>
                  <w:vAlign w:val="center"/>
                </w:tcPr>
                <w:p w14:paraId="0EF0B39A">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Q=800Nm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7674B7F2">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工作压力15MPa</w:t>
                  </w:r>
                </w:p>
              </w:tc>
              <w:tc>
                <w:tcPr>
                  <w:tcW w:w="930" w:type="dxa"/>
                  <w:shd w:val="clear" w:color="auto" w:fill="auto"/>
                  <w:noWrap w:val="0"/>
                  <w:vAlign w:val="center"/>
                </w:tcPr>
                <w:p w14:paraId="3B017E9C">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2</w:t>
                  </w:r>
                </w:p>
              </w:tc>
              <w:tc>
                <w:tcPr>
                  <w:tcW w:w="1290" w:type="dxa"/>
                  <w:shd w:val="clear" w:color="auto" w:fill="auto"/>
                  <w:noWrap w:val="0"/>
                  <w:vAlign w:val="center"/>
                </w:tcPr>
                <w:p w14:paraId="118C24B5">
                  <w:pPr>
                    <w:jc w:val="center"/>
                    <w:rPr>
                      <w:rFonts w:hint="default" w:ascii="Times New Roman" w:hAnsi="Times New Roman" w:eastAsia="宋体" w:cs="Times New Roman"/>
                      <w:kern w:val="2"/>
                      <w:sz w:val="21"/>
                      <w:szCs w:val="21"/>
                      <w:lang w:val="en-US" w:eastAsia="zh-CN" w:bidi="ar-SA"/>
                    </w:rPr>
                  </w:pPr>
                </w:p>
              </w:tc>
            </w:tr>
            <w:tr w14:paraId="739D4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5979E526">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74981D71">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lang w:val="en-US" w:eastAsia="zh-CN"/>
                    </w:rPr>
                    <w:t>液氮空温汽化器</w:t>
                  </w:r>
                </w:p>
              </w:tc>
              <w:tc>
                <w:tcPr>
                  <w:tcW w:w="2459" w:type="dxa"/>
                  <w:noWrap w:val="0"/>
                  <w:vAlign w:val="center"/>
                </w:tcPr>
                <w:p w14:paraId="7AA1D494">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Q=800Nm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760A3F0C">
                  <w:pPr>
                    <w:jc w:val="center"/>
                    <w:rPr>
                      <w:rFonts w:hint="default" w:ascii="Times New Roman" w:hAnsi="Times New Roman" w:cs="Times New Roman"/>
                      <w:szCs w:val="21"/>
                    </w:rPr>
                  </w:pPr>
                  <w:r>
                    <w:rPr>
                      <w:rFonts w:hint="default" w:ascii="Times New Roman" w:hAnsi="Times New Roman" w:cs="Times New Roman"/>
                      <w:szCs w:val="21"/>
                      <w:lang w:val="en-US" w:eastAsia="zh-CN"/>
                    </w:rPr>
                    <w:t>工作压力15MPa</w:t>
                  </w:r>
                </w:p>
              </w:tc>
              <w:tc>
                <w:tcPr>
                  <w:tcW w:w="930" w:type="dxa"/>
                  <w:noWrap w:val="0"/>
                  <w:vAlign w:val="center"/>
                </w:tcPr>
                <w:p w14:paraId="3C372607">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w:t>
                  </w:r>
                </w:p>
              </w:tc>
              <w:tc>
                <w:tcPr>
                  <w:tcW w:w="1290" w:type="dxa"/>
                  <w:noWrap w:val="0"/>
                  <w:vAlign w:val="center"/>
                </w:tcPr>
                <w:p w14:paraId="2B98B25A">
                  <w:pPr>
                    <w:jc w:val="center"/>
                    <w:rPr>
                      <w:rFonts w:hint="default" w:ascii="Times New Roman" w:hAnsi="Times New Roman" w:cs="Times New Roman"/>
                      <w:szCs w:val="21"/>
                    </w:rPr>
                  </w:pPr>
                </w:p>
              </w:tc>
            </w:tr>
            <w:tr w14:paraId="7694A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3E72ECC1">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2EAA4EA7">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lang w:val="en-US" w:eastAsia="zh-CN"/>
                    </w:rPr>
                    <w:t>液氩空温汽化器</w:t>
                  </w:r>
                </w:p>
              </w:tc>
              <w:tc>
                <w:tcPr>
                  <w:tcW w:w="2459" w:type="dxa"/>
                  <w:noWrap w:val="0"/>
                  <w:vAlign w:val="center"/>
                </w:tcPr>
                <w:p w14:paraId="51EE3DE4">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Q=800Nm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6EDDF15F">
                  <w:pPr>
                    <w:jc w:val="center"/>
                    <w:rPr>
                      <w:rFonts w:hint="default" w:ascii="Times New Roman" w:hAnsi="Times New Roman" w:cs="Times New Roman"/>
                      <w:szCs w:val="21"/>
                    </w:rPr>
                  </w:pPr>
                  <w:r>
                    <w:rPr>
                      <w:rFonts w:hint="default" w:ascii="Times New Roman" w:hAnsi="Times New Roman" w:cs="Times New Roman"/>
                      <w:szCs w:val="21"/>
                      <w:lang w:val="en-US" w:eastAsia="zh-CN"/>
                    </w:rPr>
                    <w:t>工作压力15MPa</w:t>
                  </w:r>
                </w:p>
              </w:tc>
              <w:tc>
                <w:tcPr>
                  <w:tcW w:w="930" w:type="dxa"/>
                  <w:noWrap w:val="0"/>
                  <w:vAlign w:val="center"/>
                </w:tcPr>
                <w:p w14:paraId="3A4BDCA1">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w:t>
                  </w:r>
                </w:p>
              </w:tc>
              <w:tc>
                <w:tcPr>
                  <w:tcW w:w="1290" w:type="dxa"/>
                  <w:noWrap w:val="0"/>
                  <w:vAlign w:val="center"/>
                </w:tcPr>
                <w:p w14:paraId="3D62BF91">
                  <w:pPr>
                    <w:jc w:val="center"/>
                    <w:rPr>
                      <w:rFonts w:hint="default" w:ascii="Times New Roman" w:hAnsi="Times New Roman" w:cs="Times New Roman"/>
                      <w:szCs w:val="21"/>
                    </w:rPr>
                  </w:pPr>
                </w:p>
              </w:tc>
            </w:tr>
            <w:tr w14:paraId="7CF42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65740651">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1ED20F24">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lang w:val="en-US" w:eastAsia="zh-CN"/>
                    </w:rPr>
                    <w:t>液二氧化碳空温汽化器</w:t>
                  </w:r>
                </w:p>
              </w:tc>
              <w:tc>
                <w:tcPr>
                  <w:tcW w:w="2459" w:type="dxa"/>
                  <w:noWrap w:val="0"/>
                  <w:vAlign w:val="center"/>
                </w:tcPr>
                <w:p w14:paraId="43125FE4">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Q=800Nm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2BA65146">
                  <w:pPr>
                    <w:jc w:val="center"/>
                    <w:rPr>
                      <w:rFonts w:hint="default" w:ascii="Times New Roman" w:hAnsi="Times New Roman" w:cs="Times New Roman"/>
                      <w:szCs w:val="21"/>
                    </w:rPr>
                  </w:pPr>
                  <w:r>
                    <w:rPr>
                      <w:rFonts w:hint="default" w:ascii="Times New Roman" w:hAnsi="Times New Roman" w:cs="Times New Roman"/>
                      <w:szCs w:val="21"/>
                      <w:lang w:val="en-US" w:eastAsia="zh-CN"/>
                    </w:rPr>
                    <w:t>工作压力15MPa</w:t>
                  </w:r>
                </w:p>
              </w:tc>
              <w:tc>
                <w:tcPr>
                  <w:tcW w:w="930" w:type="dxa"/>
                  <w:noWrap w:val="0"/>
                  <w:vAlign w:val="center"/>
                </w:tcPr>
                <w:p w14:paraId="64724198">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2</w:t>
                  </w:r>
                </w:p>
              </w:tc>
              <w:tc>
                <w:tcPr>
                  <w:tcW w:w="1290" w:type="dxa"/>
                  <w:noWrap w:val="0"/>
                  <w:vAlign w:val="center"/>
                </w:tcPr>
                <w:p w14:paraId="40DCDE5A">
                  <w:pPr>
                    <w:jc w:val="center"/>
                    <w:rPr>
                      <w:rFonts w:hint="default" w:ascii="Times New Roman" w:hAnsi="Times New Roman" w:cs="Times New Roman"/>
                      <w:szCs w:val="21"/>
                    </w:rPr>
                  </w:pPr>
                </w:p>
              </w:tc>
            </w:tr>
            <w:tr w14:paraId="4ED86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665769D8">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1252162F">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工业氧气汇流排</w:t>
                  </w:r>
                </w:p>
              </w:tc>
              <w:tc>
                <w:tcPr>
                  <w:tcW w:w="2459" w:type="dxa"/>
                  <w:noWrap w:val="0"/>
                  <w:vAlign w:val="center"/>
                </w:tcPr>
                <w:p w14:paraId="3926F434">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Q=500Nm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77ED879C">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工作压力15MPa</w:t>
                  </w:r>
                </w:p>
              </w:tc>
              <w:tc>
                <w:tcPr>
                  <w:tcW w:w="930" w:type="dxa"/>
                  <w:noWrap w:val="0"/>
                  <w:vAlign w:val="center"/>
                </w:tcPr>
                <w:p w14:paraId="794A1E93">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248C5229">
                  <w:pPr>
                    <w:jc w:val="center"/>
                    <w:rPr>
                      <w:rFonts w:hint="default" w:ascii="Times New Roman" w:hAnsi="Times New Roman" w:cs="Times New Roman"/>
                      <w:szCs w:val="21"/>
                    </w:rPr>
                  </w:pPr>
                </w:p>
              </w:tc>
            </w:tr>
            <w:tr w14:paraId="67BC2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2C9368A6">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195D5208">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kern w:val="2"/>
                      <w:sz w:val="21"/>
                      <w:szCs w:val="21"/>
                      <w:lang w:val="en-US" w:eastAsia="zh-CN" w:bidi="ar-SA"/>
                    </w:rPr>
                    <w:t>医用氧气汇流排</w:t>
                  </w:r>
                </w:p>
              </w:tc>
              <w:tc>
                <w:tcPr>
                  <w:tcW w:w="2459" w:type="dxa"/>
                  <w:shd w:val="clear" w:color="auto" w:fill="auto"/>
                  <w:noWrap w:val="0"/>
                  <w:vAlign w:val="center"/>
                </w:tcPr>
                <w:p w14:paraId="6392C493">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Q=500Nm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321F1610">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工作压力15MPa</w:t>
                  </w:r>
                </w:p>
              </w:tc>
              <w:tc>
                <w:tcPr>
                  <w:tcW w:w="930" w:type="dxa"/>
                  <w:shd w:val="clear" w:color="auto" w:fill="auto"/>
                  <w:noWrap w:val="0"/>
                  <w:vAlign w:val="center"/>
                </w:tcPr>
                <w:p w14:paraId="391A9BFB">
                  <w:pPr>
                    <w:jc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szCs w:val="21"/>
                      <w:lang w:val="en-US" w:eastAsia="zh-CN"/>
                    </w:rPr>
                    <w:t>1</w:t>
                  </w:r>
                </w:p>
              </w:tc>
              <w:tc>
                <w:tcPr>
                  <w:tcW w:w="1290" w:type="dxa"/>
                  <w:noWrap w:val="0"/>
                  <w:vAlign w:val="center"/>
                </w:tcPr>
                <w:p w14:paraId="09BEB1FF">
                  <w:pPr>
                    <w:jc w:val="center"/>
                    <w:rPr>
                      <w:rFonts w:hint="default" w:ascii="Times New Roman" w:hAnsi="Times New Roman" w:cs="Times New Roman"/>
                      <w:szCs w:val="21"/>
                    </w:rPr>
                  </w:pPr>
                </w:p>
              </w:tc>
            </w:tr>
            <w:tr w14:paraId="16695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668F20B1">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6CC43878">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lang w:val="en-US" w:eastAsia="zh-CN"/>
                    </w:rPr>
                    <w:t>氮</w:t>
                  </w:r>
                  <w:r>
                    <w:rPr>
                      <w:rFonts w:hint="default" w:ascii="Times New Roman" w:hAnsi="Times New Roman" w:cs="Times New Roman"/>
                      <w:kern w:val="2"/>
                      <w:sz w:val="21"/>
                      <w:szCs w:val="21"/>
                      <w:lang w:val="en-US" w:eastAsia="zh-CN" w:bidi="ar-SA"/>
                    </w:rPr>
                    <w:t>气汇流排</w:t>
                  </w:r>
                </w:p>
              </w:tc>
              <w:tc>
                <w:tcPr>
                  <w:tcW w:w="2459" w:type="dxa"/>
                  <w:noWrap w:val="0"/>
                  <w:vAlign w:val="center"/>
                </w:tcPr>
                <w:p w14:paraId="753547A3">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Q=500Nm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581F3FE9">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工作压力 5MPa</w:t>
                  </w:r>
                </w:p>
              </w:tc>
              <w:tc>
                <w:tcPr>
                  <w:tcW w:w="930" w:type="dxa"/>
                  <w:noWrap w:val="0"/>
                  <w:vAlign w:val="center"/>
                </w:tcPr>
                <w:p w14:paraId="2DA9553C">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1C27E067">
                  <w:pPr>
                    <w:jc w:val="center"/>
                    <w:rPr>
                      <w:rFonts w:hint="default" w:ascii="Times New Roman" w:hAnsi="Times New Roman" w:cs="Times New Roman"/>
                      <w:szCs w:val="21"/>
                    </w:rPr>
                  </w:pPr>
                </w:p>
              </w:tc>
            </w:tr>
            <w:tr w14:paraId="0A6AA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5F5C21C0">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465278F8">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lang w:val="en-US" w:eastAsia="zh-CN"/>
                    </w:rPr>
                    <w:t>氩</w:t>
                  </w:r>
                  <w:r>
                    <w:rPr>
                      <w:rFonts w:hint="default" w:ascii="Times New Roman" w:hAnsi="Times New Roman" w:cs="Times New Roman"/>
                      <w:kern w:val="2"/>
                      <w:sz w:val="21"/>
                      <w:szCs w:val="21"/>
                      <w:lang w:val="en-US" w:eastAsia="zh-CN" w:bidi="ar-SA"/>
                    </w:rPr>
                    <w:t>气汇流排</w:t>
                  </w:r>
                </w:p>
              </w:tc>
              <w:tc>
                <w:tcPr>
                  <w:tcW w:w="2459" w:type="dxa"/>
                  <w:noWrap w:val="0"/>
                  <w:vAlign w:val="center"/>
                </w:tcPr>
                <w:p w14:paraId="61977F8E">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Q=500Nm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31C884C0">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工作压力15MPa</w:t>
                  </w:r>
                </w:p>
              </w:tc>
              <w:tc>
                <w:tcPr>
                  <w:tcW w:w="930" w:type="dxa"/>
                  <w:noWrap w:val="0"/>
                  <w:vAlign w:val="center"/>
                </w:tcPr>
                <w:p w14:paraId="708A9F9E">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6B096388">
                  <w:pPr>
                    <w:jc w:val="center"/>
                    <w:rPr>
                      <w:rFonts w:hint="default" w:ascii="Times New Roman" w:hAnsi="Times New Roman" w:cs="Times New Roman"/>
                      <w:szCs w:val="21"/>
                    </w:rPr>
                  </w:pPr>
                </w:p>
              </w:tc>
            </w:tr>
            <w:tr w14:paraId="7CE817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1472" w:type="dxa"/>
                  <w:vMerge w:val="continue"/>
                  <w:noWrap w:val="0"/>
                  <w:vAlign w:val="center"/>
                </w:tcPr>
                <w:p w14:paraId="4A6C00DD">
                  <w:pPr>
                    <w:spacing w:line="300" w:lineRule="exact"/>
                    <w:jc w:val="center"/>
                    <w:rPr>
                      <w:rFonts w:hint="default" w:ascii="Times New Roman" w:hAnsi="Times New Roman" w:cs="Times New Roman"/>
                      <w:color w:val="000000"/>
                      <w:szCs w:val="21"/>
                      <w:lang w:val="en-US" w:eastAsia="zh-CN"/>
                    </w:rPr>
                  </w:pPr>
                </w:p>
              </w:tc>
              <w:tc>
                <w:tcPr>
                  <w:tcW w:w="1781" w:type="dxa"/>
                  <w:shd w:val="clear" w:color="auto" w:fill="auto"/>
                  <w:noWrap w:val="0"/>
                  <w:vAlign w:val="center"/>
                </w:tcPr>
                <w:p w14:paraId="2B9C6FBE">
                  <w:pPr>
                    <w:jc w:val="center"/>
                    <w:rPr>
                      <w:rFonts w:hint="default" w:ascii="Times New Roman" w:hAnsi="Times New Roman" w:cs="Times New Roman"/>
                      <w:kern w:val="2"/>
                      <w:sz w:val="21"/>
                      <w:szCs w:val="21"/>
                      <w:lang w:val="en-US" w:eastAsia="zh-CN" w:bidi="ar-SA"/>
                    </w:rPr>
                  </w:pPr>
                  <w:r>
                    <w:rPr>
                      <w:rFonts w:hint="default" w:ascii="Times New Roman" w:hAnsi="Times New Roman" w:cs="Times New Roman"/>
                      <w:szCs w:val="21"/>
                      <w:lang w:val="en-US" w:eastAsia="zh-CN"/>
                    </w:rPr>
                    <w:t>二氧化碳</w:t>
                  </w:r>
                  <w:r>
                    <w:rPr>
                      <w:rFonts w:hint="default" w:ascii="Times New Roman" w:hAnsi="Times New Roman" w:cs="Times New Roman"/>
                      <w:kern w:val="2"/>
                      <w:sz w:val="21"/>
                      <w:szCs w:val="21"/>
                      <w:lang w:val="en-US" w:eastAsia="zh-CN" w:bidi="ar-SA"/>
                    </w:rPr>
                    <w:t>汇流排</w:t>
                  </w:r>
                </w:p>
              </w:tc>
              <w:tc>
                <w:tcPr>
                  <w:tcW w:w="2459" w:type="dxa"/>
                  <w:noWrap w:val="0"/>
                  <w:vAlign w:val="center"/>
                </w:tcPr>
                <w:p w14:paraId="134D2483">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Q=500Nm</w:t>
                  </w:r>
                  <w:r>
                    <w:rPr>
                      <w:rFonts w:hint="default" w:ascii="Times New Roman" w:hAnsi="Times New Roman" w:cs="Times New Roman"/>
                      <w:szCs w:val="21"/>
                      <w:vertAlign w:val="superscript"/>
                      <w:lang w:val="en-US" w:eastAsia="zh-CN"/>
                    </w:rPr>
                    <w:t>3</w:t>
                  </w:r>
                  <w:r>
                    <w:rPr>
                      <w:rFonts w:hint="default" w:ascii="Times New Roman" w:hAnsi="Times New Roman" w:cs="Times New Roman"/>
                      <w:szCs w:val="21"/>
                      <w:lang w:val="en-US" w:eastAsia="zh-CN"/>
                    </w:rPr>
                    <w:t xml:space="preserve">/H </w:t>
                  </w:r>
                </w:p>
                <w:p w14:paraId="62089F33">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工作压力15MPa</w:t>
                  </w:r>
                </w:p>
              </w:tc>
              <w:tc>
                <w:tcPr>
                  <w:tcW w:w="930" w:type="dxa"/>
                  <w:noWrap w:val="0"/>
                  <w:vAlign w:val="center"/>
                </w:tcPr>
                <w:p w14:paraId="51AF6775">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1</w:t>
                  </w:r>
                </w:p>
              </w:tc>
              <w:tc>
                <w:tcPr>
                  <w:tcW w:w="1290" w:type="dxa"/>
                  <w:noWrap w:val="0"/>
                  <w:vAlign w:val="center"/>
                </w:tcPr>
                <w:p w14:paraId="7C80663C">
                  <w:pPr>
                    <w:jc w:val="center"/>
                    <w:rPr>
                      <w:rFonts w:hint="default" w:ascii="Times New Roman" w:hAnsi="Times New Roman" w:cs="Times New Roman"/>
                      <w:szCs w:val="21"/>
                    </w:rPr>
                  </w:pPr>
                </w:p>
              </w:tc>
            </w:tr>
          </w:tbl>
          <w:p w14:paraId="6A88AE6E">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6.2 气瓶检验站主要生产设备</w:t>
            </w:r>
          </w:p>
          <w:p w14:paraId="10F688D7">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cs="Times New Roman"/>
                <w:color w:val="auto"/>
                <w:highlight w:val="none"/>
                <w:lang w:val="en-US" w:eastAsia="zh-CN"/>
              </w:rPr>
              <w:t>气瓶检验站</w:t>
            </w:r>
            <w:r>
              <w:rPr>
                <w:rFonts w:hint="default" w:ascii="Times New Roman" w:hAnsi="Times New Roman" w:eastAsia="宋体" w:cs="Times New Roman"/>
                <w:color w:val="auto"/>
                <w:highlight w:val="none"/>
                <w:lang w:val="en-US" w:eastAsia="zh-CN"/>
              </w:rPr>
              <w:t>主要生产设备如下表所示：</w:t>
            </w:r>
          </w:p>
          <w:p w14:paraId="017A20D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2.6-2   项目灌（充）装站主要生产设备</w:t>
            </w:r>
            <w:r>
              <w:rPr>
                <w:rFonts w:hint="default" w:ascii="Times New Roman" w:hAnsi="Times New Roman" w:cs="Times New Roman"/>
                <w:b/>
                <w:bCs/>
                <w:color w:val="auto"/>
                <w:sz w:val="21"/>
                <w:szCs w:val="21"/>
                <w:highlight w:val="none"/>
              </w:rPr>
              <w:t>一览表</w:t>
            </w:r>
          </w:p>
          <w:tbl>
            <w:tblPr>
              <w:tblStyle w:val="33"/>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2"/>
              <w:gridCol w:w="631"/>
              <w:gridCol w:w="1772"/>
              <w:gridCol w:w="1446"/>
              <w:gridCol w:w="838"/>
              <w:gridCol w:w="777"/>
              <w:gridCol w:w="1531"/>
            </w:tblGrid>
            <w:tr w14:paraId="3506D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615" w:type="pct"/>
                  <w:vAlign w:val="center"/>
                </w:tcPr>
                <w:p w14:paraId="2122021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生产线</w:t>
                  </w:r>
                </w:p>
              </w:tc>
              <w:tc>
                <w:tcPr>
                  <w:tcW w:w="395" w:type="pct"/>
                  <w:vAlign w:val="center"/>
                </w:tcPr>
                <w:p w14:paraId="4E99894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序号</w:t>
                  </w:r>
                </w:p>
              </w:tc>
              <w:tc>
                <w:tcPr>
                  <w:tcW w:w="1110" w:type="pct"/>
                  <w:vAlign w:val="center"/>
                </w:tcPr>
                <w:p w14:paraId="5A7F13F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名称</w:t>
                  </w:r>
                </w:p>
              </w:tc>
              <w:tc>
                <w:tcPr>
                  <w:tcW w:w="906" w:type="pct"/>
                  <w:vAlign w:val="center"/>
                </w:tcPr>
                <w:p w14:paraId="2E27A1E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型号</w:t>
                  </w:r>
                </w:p>
              </w:tc>
              <w:tc>
                <w:tcPr>
                  <w:tcW w:w="525" w:type="pct"/>
                  <w:vAlign w:val="center"/>
                </w:tcPr>
                <w:p w14:paraId="3BDFE0C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单位</w:t>
                  </w:r>
                </w:p>
              </w:tc>
              <w:tc>
                <w:tcPr>
                  <w:tcW w:w="487" w:type="pct"/>
                  <w:vAlign w:val="center"/>
                </w:tcPr>
                <w:p w14:paraId="1DD80CB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数量</w:t>
                  </w:r>
                </w:p>
              </w:tc>
              <w:tc>
                <w:tcPr>
                  <w:tcW w:w="959" w:type="pct"/>
                  <w:vAlign w:val="center"/>
                </w:tcPr>
                <w:p w14:paraId="62FAC42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备注</w:t>
                  </w:r>
                </w:p>
              </w:tc>
            </w:tr>
            <w:tr w14:paraId="61E87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restart"/>
                  <w:shd w:val="clear" w:color="auto" w:fill="auto"/>
                  <w:vAlign w:val="center"/>
                </w:tcPr>
                <w:p w14:paraId="60095C3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LPG/丙烷钢瓶检测线</w:t>
                  </w:r>
                </w:p>
                <w:p w14:paraId="3EAD947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后附</w:t>
                  </w:r>
                </w:p>
              </w:tc>
              <w:tc>
                <w:tcPr>
                  <w:tcW w:w="395" w:type="pct"/>
                  <w:vAlign w:val="center"/>
                </w:tcPr>
                <w:p w14:paraId="700936F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1110" w:type="pct"/>
                  <w:vAlign w:val="center"/>
                </w:tcPr>
                <w:p w14:paraId="3071E484">
                  <w:pPr>
                    <w:pStyle w:val="40"/>
                    <w:bidi w:val="0"/>
                    <w:jc w:val="center"/>
                    <w:rPr>
                      <w:rFonts w:hint="default" w:ascii="Times New Roman" w:hAnsi="Times New Roman" w:cs="Times New Roman"/>
                      <w:lang w:val="en-US" w:eastAsia="zh-CN"/>
                    </w:rPr>
                  </w:pPr>
                  <w:r>
                    <w:rPr>
                      <w:rFonts w:hint="default" w:ascii="Times New Roman" w:hAnsi="Times New Roman" w:cs="Times New Roman"/>
                    </w:rPr>
                    <w:t>残液回收器</w:t>
                  </w:r>
                </w:p>
              </w:tc>
              <w:tc>
                <w:tcPr>
                  <w:tcW w:w="906" w:type="pct"/>
                  <w:vAlign w:val="center"/>
                </w:tcPr>
                <w:p w14:paraId="7BDBBB44">
                  <w:pPr>
                    <w:pStyle w:val="40"/>
                    <w:bidi w:val="0"/>
                    <w:jc w:val="center"/>
                    <w:rPr>
                      <w:rFonts w:hint="default" w:ascii="Times New Roman" w:hAnsi="Times New Roman" w:cs="Times New Roman"/>
                      <w:lang w:val="en-US" w:eastAsia="zh-CN"/>
                    </w:rPr>
                  </w:pPr>
                  <w:r>
                    <w:rPr>
                      <w:rFonts w:hint="default" w:ascii="Times New Roman" w:hAnsi="Times New Roman" w:cs="Times New Roman"/>
                    </w:rPr>
                    <w:t>YCH-1</w:t>
                  </w:r>
                </w:p>
              </w:tc>
              <w:tc>
                <w:tcPr>
                  <w:tcW w:w="525" w:type="pct"/>
                  <w:vAlign w:val="center"/>
                </w:tcPr>
                <w:p w14:paraId="095FBE4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0EEA761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661103BD">
                  <w:pPr>
                    <w:pStyle w:val="40"/>
                    <w:bidi w:val="0"/>
                    <w:jc w:val="center"/>
                    <w:rPr>
                      <w:rFonts w:hint="default" w:ascii="Times New Roman" w:hAnsi="Times New Roman" w:cs="Times New Roman"/>
                      <w:lang w:val="en-US" w:eastAsia="zh-CN"/>
                    </w:rPr>
                  </w:pPr>
                </w:p>
              </w:tc>
            </w:tr>
            <w:tr w14:paraId="40DAF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shd w:val="clear" w:color="auto" w:fill="auto"/>
                  <w:vAlign w:val="center"/>
                </w:tcPr>
                <w:p w14:paraId="0729872C">
                  <w:pPr>
                    <w:pStyle w:val="40"/>
                    <w:bidi w:val="0"/>
                    <w:jc w:val="center"/>
                    <w:rPr>
                      <w:rFonts w:hint="default" w:ascii="Times New Roman" w:hAnsi="Times New Roman" w:cs="Times New Roman"/>
                      <w:lang w:val="en-US" w:eastAsia="zh-CN"/>
                    </w:rPr>
                  </w:pPr>
                </w:p>
              </w:tc>
              <w:tc>
                <w:tcPr>
                  <w:tcW w:w="395" w:type="pct"/>
                  <w:vAlign w:val="center"/>
                </w:tcPr>
                <w:p w14:paraId="759962B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w:t>
                  </w:r>
                </w:p>
              </w:tc>
              <w:tc>
                <w:tcPr>
                  <w:tcW w:w="1110" w:type="pct"/>
                  <w:vAlign w:val="center"/>
                </w:tcPr>
                <w:p w14:paraId="65CB8DEA">
                  <w:pPr>
                    <w:pStyle w:val="40"/>
                    <w:bidi w:val="0"/>
                    <w:jc w:val="center"/>
                    <w:rPr>
                      <w:rFonts w:hint="default" w:ascii="Times New Roman" w:hAnsi="Times New Roman" w:cs="Times New Roman"/>
                      <w:lang w:val="en-US" w:eastAsia="zh-CN"/>
                    </w:rPr>
                  </w:pPr>
                  <w:r>
                    <w:rPr>
                      <w:rFonts w:hint="default" w:ascii="Times New Roman" w:hAnsi="Times New Roman" w:cs="Times New Roman"/>
                    </w:rPr>
                    <w:t>型瓶阀装卸机</w:t>
                  </w:r>
                </w:p>
              </w:tc>
              <w:tc>
                <w:tcPr>
                  <w:tcW w:w="906" w:type="pct"/>
                  <w:vAlign w:val="center"/>
                </w:tcPr>
                <w:p w14:paraId="7449728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QFL</w:t>
                  </w:r>
                  <w:r>
                    <w:rPr>
                      <w:rFonts w:hint="default" w:ascii="Times New Roman" w:hAnsi="Times New Roman" w:cs="Times New Roman"/>
                    </w:rPr>
                    <w:t>-</w:t>
                  </w:r>
                  <w:r>
                    <w:rPr>
                      <w:rFonts w:hint="default" w:ascii="Times New Roman" w:hAnsi="Times New Roman" w:cs="Times New Roman"/>
                      <w:lang w:val="en-US" w:eastAsia="zh-CN"/>
                    </w:rPr>
                    <w:t>3</w:t>
                  </w:r>
                </w:p>
              </w:tc>
              <w:tc>
                <w:tcPr>
                  <w:tcW w:w="525" w:type="pct"/>
                  <w:vAlign w:val="center"/>
                </w:tcPr>
                <w:p w14:paraId="7A783F9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400BEB4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7880C648">
                  <w:pPr>
                    <w:pStyle w:val="40"/>
                    <w:bidi w:val="0"/>
                    <w:jc w:val="center"/>
                    <w:rPr>
                      <w:rFonts w:hint="default" w:ascii="Times New Roman" w:hAnsi="Times New Roman" w:cs="Times New Roman"/>
                      <w:lang w:val="en-US" w:eastAsia="zh-CN"/>
                    </w:rPr>
                  </w:pPr>
                </w:p>
              </w:tc>
            </w:tr>
            <w:tr w14:paraId="1C423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26EEB7D1">
                  <w:pPr>
                    <w:pStyle w:val="40"/>
                    <w:bidi w:val="0"/>
                    <w:jc w:val="center"/>
                    <w:rPr>
                      <w:rFonts w:hint="default" w:ascii="Times New Roman" w:hAnsi="Times New Roman" w:cs="Times New Roman"/>
                      <w:lang w:val="en-US" w:eastAsia="zh-CN"/>
                    </w:rPr>
                  </w:pPr>
                </w:p>
              </w:tc>
              <w:tc>
                <w:tcPr>
                  <w:tcW w:w="395" w:type="pct"/>
                  <w:vAlign w:val="center"/>
                </w:tcPr>
                <w:p w14:paraId="06F8931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3</w:t>
                  </w:r>
                </w:p>
              </w:tc>
              <w:tc>
                <w:tcPr>
                  <w:tcW w:w="1110" w:type="pct"/>
                  <w:vAlign w:val="center"/>
                </w:tcPr>
                <w:p w14:paraId="250E4549">
                  <w:pPr>
                    <w:pStyle w:val="40"/>
                    <w:bidi w:val="0"/>
                    <w:jc w:val="center"/>
                    <w:rPr>
                      <w:rFonts w:hint="default" w:ascii="Times New Roman" w:hAnsi="Times New Roman" w:cs="Times New Roman"/>
                      <w:lang w:val="en-US" w:eastAsia="zh-CN"/>
                    </w:rPr>
                  </w:pPr>
                  <w:r>
                    <w:rPr>
                      <w:rFonts w:hint="default" w:ascii="Times New Roman" w:hAnsi="Times New Roman" w:cs="Times New Roman"/>
                    </w:rPr>
                    <w:t>型瓶阀装卸机</w:t>
                  </w:r>
                </w:p>
              </w:tc>
              <w:tc>
                <w:tcPr>
                  <w:tcW w:w="906" w:type="pct"/>
                  <w:vAlign w:val="center"/>
                </w:tcPr>
                <w:p w14:paraId="1A27DE7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QFL</w:t>
                  </w:r>
                  <w:r>
                    <w:rPr>
                      <w:rFonts w:hint="default" w:ascii="Times New Roman" w:hAnsi="Times New Roman" w:cs="Times New Roman"/>
                    </w:rPr>
                    <w:t>-</w:t>
                  </w:r>
                  <w:r>
                    <w:rPr>
                      <w:rFonts w:hint="default" w:ascii="Times New Roman" w:hAnsi="Times New Roman" w:cs="Times New Roman"/>
                      <w:lang w:val="en-US" w:eastAsia="zh-CN"/>
                    </w:rPr>
                    <w:t>3S</w:t>
                  </w:r>
                </w:p>
              </w:tc>
              <w:tc>
                <w:tcPr>
                  <w:tcW w:w="525" w:type="pct"/>
                  <w:vAlign w:val="center"/>
                </w:tcPr>
                <w:p w14:paraId="1A71338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080E6E4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45AC40F4">
                  <w:pPr>
                    <w:pStyle w:val="40"/>
                    <w:bidi w:val="0"/>
                    <w:jc w:val="center"/>
                    <w:rPr>
                      <w:rFonts w:hint="default" w:ascii="Times New Roman" w:hAnsi="Times New Roman" w:cs="Times New Roman"/>
                      <w:lang w:val="en-US" w:eastAsia="zh-CN"/>
                    </w:rPr>
                  </w:pPr>
                </w:p>
              </w:tc>
            </w:tr>
            <w:tr w14:paraId="09B49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6E41F5E8">
                  <w:pPr>
                    <w:pStyle w:val="40"/>
                    <w:bidi w:val="0"/>
                    <w:jc w:val="center"/>
                    <w:rPr>
                      <w:rFonts w:hint="default" w:ascii="Times New Roman" w:hAnsi="Times New Roman" w:cs="Times New Roman"/>
                      <w:lang w:val="en-US" w:eastAsia="zh-CN"/>
                    </w:rPr>
                  </w:pPr>
                </w:p>
              </w:tc>
              <w:tc>
                <w:tcPr>
                  <w:tcW w:w="395" w:type="pct"/>
                  <w:vAlign w:val="center"/>
                </w:tcPr>
                <w:p w14:paraId="43D03F1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4</w:t>
                  </w:r>
                </w:p>
              </w:tc>
              <w:tc>
                <w:tcPr>
                  <w:tcW w:w="1110" w:type="pct"/>
                  <w:vAlign w:val="center"/>
                </w:tcPr>
                <w:p w14:paraId="33BC608E">
                  <w:pPr>
                    <w:pStyle w:val="40"/>
                    <w:bidi w:val="0"/>
                    <w:jc w:val="center"/>
                    <w:rPr>
                      <w:rFonts w:hint="default" w:ascii="Times New Roman" w:hAnsi="Times New Roman" w:cs="Times New Roman"/>
                      <w:lang w:val="en-US" w:eastAsia="zh-CN"/>
                    </w:rPr>
                  </w:pPr>
                  <w:r>
                    <w:rPr>
                      <w:rFonts w:hint="default" w:ascii="Times New Roman" w:hAnsi="Times New Roman" w:cs="Times New Roman"/>
                    </w:rPr>
                    <w:t>链式焚烧炉</w:t>
                  </w:r>
                </w:p>
              </w:tc>
              <w:tc>
                <w:tcPr>
                  <w:tcW w:w="906" w:type="pct"/>
                  <w:vAlign w:val="center"/>
                </w:tcPr>
                <w:p w14:paraId="32B1C6D7">
                  <w:pPr>
                    <w:pStyle w:val="40"/>
                    <w:bidi w:val="0"/>
                    <w:jc w:val="center"/>
                    <w:rPr>
                      <w:rFonts w:hint="default" w:ascii="Times New Roman" w:hAnsi="Times New Roman" w:cs="Times New Roman"/>
                      <w:lang w:val="en-US" w:eastAsia="zh-CN"/>
                    </w:rPr>
                  </w:pPr>
                  <w:r>
                    <w:rPr>
                      <w:rFonts w:hint="default" w:ascii="Times New Roman" w:hAnsi="Times New Roman" w:cs="Times New Roman"/>
                    </w:rPr>
                    <w:t>YFL</w:t>
                  </w:r>
                  <w:r>
                    <w:rPr>
                      <w:rFonts w:hint="default" w:ascii="Times New Roman" w:hAnsi="Times New Roman" w:cs="Times New Roman"/>
                      <w:lang w:val="en-US" w:eastAsia="zh-CN"/>
                    </w:rPr>
                    <w:t>-1</w:t>
                  </w:r>
                </w:p>
              </w:tc>
              <w:tc>
                <w:tcPr>
                  <w:tcW w:w="525" w:type="pct"/>
                  <w:vAlign w:val="center"/>
                </w:tcPr>
                <w:p w14:paraId="1A56209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6FC2F0E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51D73D53">
                  <w:pPr>
                    <w:pStyle w:val="40"/>
                    <w:bidi w:val="0"/>
                    <w:jc w:val="center"/>
                    <w:rPr>
                      <w:rFonts w:hint="default" w:ascii="Times New Roman" w:hAnsi="Times New Roman" w:cs="Times New Roman"/>
                      <w:lang w:val="en-US" w:eastAsia="zh-CN"/>
                    </w:rPr>
                  </w:pPr>
                </w:p>
              </w:tc>
            </w:tr>
            <w:tr w14:paraId="00C86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3E0F5BC6">
                  <w:pPr>
                    <w:pStyle w:val="40"/>
                    <w:bidi w:val="0"/>
                    <w:jc w:val="center"/>
                    <w:rPr>
                      <w:rFonts w:hint="default" w:ascii="Times New Roman" w:hAnsi="Times New Roman" w:cs="Times New Roman"/>
                      <w:lang w:val="en-US" w:eastAsia="zh-CN"/>
                    </w:rPr>
                  </w:pPr>
                </w:p>
              </w:tc>
              <w:tc>
                <w:tcPr>
                  <w:tcW w:w="395" w:type="pct"/>
                  <w:vAlign w:val="center"/>
                </w:tcPr>
                <w:p w14:paraId="289F469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5</w:t>
                  </w:r>
                </w:p>
              </w:tc>
              <w:tc>
                <w:tcPr>
                  <w:tcW w:w="1110" w:type="pct"/>
                  <w:vAlign w:val="center"/>
                </w:tcPr>
                <w:p w14:paraId="17861D86">
                  <w:pPr>
                    <w:pStyle w:val="40"/>
                    <w:bidi w:val="0"/>
                    <w:jc w:val="center"/>
                    <w:rPr>
                      <w:rFonts w:hint="default" w:ascii="Times New Roman" w:hAnsi="Times New Roman" w:cs="Times New Roman"/>
                      <w:color w:val="0000FF"/>
                    </w:rPr>
                  </w:pPr>
                  <w:r>
                    <w:rPr>
                      <w:rFonts w:hint="default" w:ascii="Times New Roman" w:hAnsi="Times New Roman" w:cs="Times New Roman"/>
                      <w:color w:val="0000FF"/>
                    </w:rPr>
                    <w:t>焚烧炉除尘</w:t>
                  </w:r>
                </w:p>
                <w:p w14:paraId="6E4AB513">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rPr>
                    <w:t>（单塔</w:t>
                  </w:r>
                  <w:r>
                    <w:rPr>
                      <w:rFonts w:hint="eastAsia" w:cs="Times New Roman"/>
                      <w:color w:val="0000FF"/>
                      <w:lang w:val="en-US" w:eastAsia="zh-CN"/>
                    </w:rPr>
                    <w:t>喷淋</w:t>
                  </w:r>
                  <w:r>
                    <w:rPr>
                      <w:rFonts w:hint="default" w:ascii="Times New Roman" w:hAnsi="Times New Roman" w:cs="Times New Roman"/>
                      <w:color w:val="0000FF"/>
                    </w:rPr>
                    <w:t>）</w:t>
                  </w:r>
                </w:p>
              </w:tc>
              <w:tc>
                <w:tcPr>
                  <w:tcW w:w="906" w:type="pct"/>
                  <w:vAlign w:val="center"/>
                </w:tcPr>
                <w:p w14:paraId="1FA8617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rPr>
                    <w:t>TL-1</w:t>
                  </w:r>
                </w:p>
              </w:tc>
              <w:tc>
                <w:tcPr>
                  <w:tcW w:w="525" w:type="pct"/>
                  <w:vAlign w:val="center"/>
                </w:tcPr>
                <w:p w14:paraId="0D4B5535">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台</w:t>
                  </w:r>
                </w:p>
              </w:tc>
              <w:tc>
                <w:tcPr>
                  <w:tcW w:w="487" w:type="pct"/>
                  <w:vAlign w:val="center"/>
                </w:tcPr>
                <w:p w14:paraId="177F48B3">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c>
                <w:tcPr>
                  <w:tcW w:w="959" w:type="pct"/>
                  <w:vAlign w:val="center"/>
                </w:tcPr>
                <w:p w14:paraId="03105129">
                  <w:pPr>
                    <w:pStyle w:val="40"/>
                    <w:bidi w:val="0"/>
                    <w:jc w:val="center"/>
                    <w:rPr>
                      <w:rFonts w:hint="default" w:ascii="Times New Roman" w:hAnsi="Times New Roman" w:cs="Times New Roman"/>
                      <w:color w:val="0000FF"/>
                      <w:lang w:val="en-US" w:eastAsia="zh-CN"/>
                    </w:rPr>
                  </w:pPr>
                </w:p>
              </w:tc>
            </w:tr>
            <w:tr w14:paraId="2209A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11A59B97">
                  <w:pPr>
                    <w:pStyle w:val="40"/>
                    <w:bidi w:val="0"/>
                    <w:jc w:val="center"/>
                    <w:rPr>
                      <w:rFonts w:hint="default" w:ascii="Times New Roman" w:hAnsi="Times New Roman" w:cs="Times New Roman"/>
                      <w:lang w:val="en-US" w:eastAsia="zh-CN"/>
                    </w:rPr>
                  </w:pPr>
                </w:p>
              </w:tc>
              <w:tc>
                <w:tcPr>
                  <w:tcW w:w="395" w:type="pct"/>
                  <w:vAlign w:val="center"/>
                </w:tcPr>
                <w:p w14:paraId="34E16F3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6</w:t>
                  </w:r>
                </w:p>
              </w:tc>
              <w:tc>
                <w:tcPr>
                  <w:tcW w:w="1110" w:type="pct"/>
                  <w:vAlign w:val="center"/>
                </w:tcPr>
                <w:p w14:paraId="6FBF5677">
                  <w:pPr>
                    <w:pStyle w:val="40"/>
                    <w:bidi w:val="0"/>
                    <w:jc w:val="center"/>
                    <w:rPr>
                      <w:rFonts w:hint="default" w:ascii="Times New Roman" w:hAnsi="Times New Roman" w:cs="Times New Roman"/>
                      <w:lang w:val="en-US" w:eastAsia="zh-CN"/>
                    </w:rPr>
                  </w:pPr>
                  <w:r>
                    <w:rPr>
                      <w:rFonts w:hint="default" w:ascii="Times New Roman" w:hAnsi="Times New Roman" w:cs="Times New Roman"/>
                    </w:rPr>
                    <w:t>钢瓶除锈机</w:t>
                  </w:r>
                </w:p>
              </w:tc>
              <w:tc>
                <w:tcPr>
                  <w:tcW w:w="906" w:type="pct"/>
                  <w:vAlign w:val="center"/>
                </w:tcPr>
                <w:p w14:paraId="517C2617">
                  <w:pPr>
                    <w:pStyle w:val="40"/>
                    <w:bidi w:val="0"/>
                    <w:jc w:val="center"/>
                    <w:rPr>
                      <w:rFonts w:hint="default" w:ascii="Times New Roman" w:hAnsi="Times New Roman" w:cs="Times New Roman"/>
                      <w:lang w:val="en-US" w:eastAsia="zh-CN"/>
                    </w:rPr>
                  </w:pPr>
                  <w:r>
                    <w:rPr>
                      <w:rFonts w:hint="default" w:ascii="Times New Roman" w:hAnsi="Times New Roman" w:cs="Times New Roman"/>
                    </w:rPr>
                    <w:t>YC-6</w:t>
                  </w:r>
                  <w:r>
                    <w:rPr>
                      <w:rFonts w:hint="default" w:ascii="Times New Roman" w:hAnsi="Times New Roman" w:cs="Times New Roman"/>
                      <w:lang w:val="en-US" w:eastAsia="zh-CN"/>
                    </w:rPr>
                    <w:t>T</w:t>
                  </w:r>
                </w:p>
              </w:tc>
              <w:tc>
                <w:tcPr>
                  <w:tcW w:w="525" w:type="pct"/>
                  <w:vAlign w:val="center"/>
                </w:tcPr>
                <w:p w14:paraId="2C6A276D">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319C9D0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6E052B4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与无缝钢瓶</w:t>
                  </w:r>
                </w:p>
                <w:p w14:paraId="04BA55C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共用</w:t>
                  </w:r>
                </w:p>
              </w:tc>
            </w:tr>
            <w:tr w14:paraId="54A1E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275DD415">
                  <w:pPr>
                    <w:pStyle w:val="40"/>
                    <w:bidi w:val="0"/>
                    <w:jc w:val="center"/>
                    <w:rPr>
                      <w:rFonts w:hint="default" w:ascii="Times New Roman" w:hAnsi="Times New Roman" w:cs="Times New Roman"/>
                      <w:lang w:val="en-US" w:eastAsia="zh-CN"/>
                    </w:rPr>
                  </w:pPr>
                </w:p>
              </w:tc>
              <w:tc>
                <w:tcPr>
                  <w:tcW w:w="395" w:type="pct"/>
                  <w:vAlign w:val="center"/>
                </w:tcPr>
                <w:p w14:paraId="2E227D1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7</w:t>
                  </w:r>
                </w:p>
              </w:tc>
              <w:tc>
                <w:tcPr>
                  <w:tcW w:w="1110" w:type="pct"/>
                  <w:vAlign w:val="center"/>
                </w:tcPr>
                <w:p w14:paraId="539743AB">
                  <w:pPr>
                    <w:pStyle w:val="40"/>
                    <w:bidi w:val="0"/>
                    <w:jc w:val="center"/>
                    <w:rPr>
                      <w:rFonts w:hint="default" w:ascii="Times New Roman" w:hAnsi="Times New Roman" w:cs="Times New Roman"/>
                      <w:lang w:val="en-US" w:eastAsia="zh-CN"/>
                    </w:rPr>
                  </w:pPr>
                  <w:r>
                    <w:rPr>
                      <w:rFonts w:hint="default" w:ascii="Times New Roman" w:hAnsi="Times New Roman" w:cs="Times New Roman"/>
                    </w:rPr>
                    <w:t>滤筒除尘器</w:t>
                  </w:r>
                </w:p>
              </w:tc>
              <w:tc>
                <w:tcPr>
                  <w:tcW w:w="906" w:type="pct"/>
                  <w:vAlign w:val="center"/>
                </w:tcPr>
                <w:p w14:paraId="6589691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DH-1</w:t>
                  </w:r>
                </w:p>
              </w:tc>
              <w:tc>
                <w:tcPr>
                  <w:tcW w:w="525" w:type="pct"/>
                  <w:vAlign w:val="center"/>
                </w:tcPr>
                <w:p w14:paraId="20294FC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3EE1E9B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3822FAC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与无缝钢瓶</w:t>
                  </w:r>
                </w:p>
                <w:p w14:paraId="2D0D84F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共用</w:t>
                  </w:r>
                </w:p>
              </w:tc>
            </w:tr>
            <w:tr w14:paraId="6C1D66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55DFAD37">
                  <w:pPr>
                    <w:pStyle w:val="40"/>
                    <w:bidi w:val="0"/>
                    <w:jc w:val="center"/>
                    <w:rPr>
                      <w:rFonts w:hint="default" w:ascii="Times New Roman" w:hAnsi="Times New Roman" w:cs="Times New Roman"/>
                      <w:lang w:val="en-US" w:eastAsia="zh-CN"/>
                    </w:rPr>
                  </w:pPr>
                </w:p>
              </w:tc>
              <w:tc>
                <w:tcPr>
                  <w:tcW w:w="395" w:type="pct"/>
                  <w:vAlign w:val="center"/>
                </w:tcPr>
                <w:p w14:paraId="5147916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8</w:t>
                  </w:r>
                </w:p>
              </w:tc>
              <w:tc>
                <w:tcPr>
                  <w:tcW w:w="1110" w:type="pct"/>
                  <w:vAlign w:val="center"/>
                </w:tcPr>
                <w:p w14:paraId="6BCE1C56">
                  <w:pPr>
                    <w:pStyle w:val="40"/>
                    <w:bidi w:val="0"/>
                    <w:jc w:val="center"/>
                    <w:rPr>
                      <w:rFonts w:hint="default" w:ascii="Times New Roman" w:hAnsi="Times New Roman" w:cs="Times New Roman"/>
                      <w:lang w:val="en-US" w:eastAsia="zh-CN"/>
                    </w:rPr>
                  </w:pPr>
                  <w:r>
                    <w:rPr>
                      <w:rFonts w:hint="default" w:ascii="Times New Roman" w:hAnsi="Times New Roman" w:cs="Times New Roman"/>
                    </w:rPr>
                    <w:t>水压测试机</w:t>
                  </w:r>
                </w:p>
              </w:tc>
              <w:tc>
                <w:tcPr>
                  <w:tcW w:w="906" w:type="pct"/>
                  <w:vAlign w:val="center"/>
                </w:tcPr>
                <w:p w14:paraId="16AA9643">
                  <w:pPr>
                    <w:pStyle w:val="40"/>
                    <w:bidi w:val="0"/>
                    <w:jc w:val="center"/>
                    <w:rPr>
                      <w:rFonts w:hint="default" w:ascii="Times New Roman" w:hAnsi="Times New Roman" w:cs="Times New Roman"/>
                      <w:lang w:val="en-US" w:eastAsia="zh-CN"/>
                    </w:rPr>
                  </w:pPr>
                  <w:r>
                    <w:rPr>
                      <w:rFonts w:hint="default" w:ascii="Times New Roman" w:hAnsi="Times New Roman" w:cs="Times New Roman"/>
                    </w:rPr>
                    <w:t>YS-4B</w:t>
                  </w:r>
                  <w:r>
                    <w:rPr>
                      <w:rFonts w:hint="default" w:ascii="Times New Roman" w:hAnsi="Times New Roman" w:cs="Times New Roman"/>
                      <w:lang w:val="en-US" w:eastAsia="zh-CN"/>
                    </w:rPr>
                    <w:t>Z</w:t>
                  </w:r>
                </w:p>
              </w:tc>
              <w:tc>
                <w:tcPr>
                  <w:tcW w:w="525" w:type="pct"/>
                  <w:vAlign w:val="center"/>
                </w:tcPr>
                <w:p w14:paraId="66495B2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套</w:t>
                  </w:r>
                </w:p>
              </w:tc>
              <w:tc>
                <w:tcPr>
                  <w:tcW w:w="487" w:type="pct"/>
                  <w:vAlign w:val="center"/>
                </w:tcPr>
                <w:p w14:paraId="2E0DB7D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1BA1CD3F">
                  <w:pPr>
                    <w:pStyle w:val="40"/>
                    <w:bidi w:val="0"/>
                    <w:jc w:val="center"/>
                    <w:rPr>
                      <w:rFonts w:hint="default" w:ascii="Times New Roman" w:hAnsi="Times New Roman" w:cs="Times New Roman"/>
                      <w:lang w:val="en-US" w:eastAsia="zh-CN"/>
                    </w:rPr>
                  </w:pPr>
                </w:p>
              </w:tc>
            </w:tr>
            <w:tr w14:paraId="4CFD9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013C7A15">
                  <w:pPr>
                    <w:pStyle w:val="40"/>
                    <w:bidi w:val="0"/>
                    <w:jc w:val="center"/>
                    <w:rPr>
                      <w:rFonts w:hint="default" w:ascii="Times New Roman" w:hAnsi="Times New Roman" w:cs="Times New Roman"/>
                      <w:lang w:val="en-US" w:eastAsia="zh-CN"/>
                    </w:rPr>
                  </w:pPr>
                </w:p>
              </w:tc>
              <w:tc>
                <w:tcPr>
                  <w:tcW w:w="395" w:type="pct"/>
                  <w:vAlign w:val="center"/>
                </w:tcPr>
                <w:p w14:paraId="3D85D2B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9</w:t>
                  </w:r>
                </w:p>
              </w:tc>
              <w:tc>
                <w:tcPr>
                  <w:tcW w:w="1110" w:type="pct"/>
                  <w:vAlign w:val="center"/>
                </w:tcPr>
                <w:p w14:paraId="0D2E9BAF">
                  <w:pPr>
                    <w:pStyle w:val="40"/>
                    <w:bidi w:val="0"/>
                    <w:jc w:val="center"/>
                    <w:rPr>
                      <w:rFonts w:hint="default" w:ascii="Times New Roman" w:hAnsi="Times New Roman" w:cs="Times New Roman"/>
                      <w:lang w:val="en-US" w:eastAsia="zh-CN"/>
                    </w:rPr>
                  </w:pPr>
                  <w:r>
                    <w:rPr>
                      <w:rFonts w:hint="default" w:ascii="Times New Roman" w:hAnsi="Times New Roman" w:cs="Times New Roman"/>
                    </w:rPr>
                    <w:t>小车烘箱式静电喷涂设备</w:t>
                  </w:r>
                </w:p>
              </w:tc>
              <w:tc>
                <w:tcPr>
                  <w:tcW w:w="906" w:type="pct"/>
                  <w:vAlign w:val="center"/>
                </w:tcPr>
                <w:p w14:paraId="66AA7AA5">
                  <w:pPr>
                    <w:pStyle w:val="40"/>
                    <w:bidi w:val="0"/>
                    <w:jc w:val="center"/>
                    <w:rPr>
                      <w:rFonts w:hint="default" w:ascii="Times New Roman" w:hAnsi="Times New Roman" w:cs="Times New Roman"/>
                      <w:lang w:val="en-US" w:eastAsia="zh-CN"/>
                    </w:rPr>
                  </w:pPr>
                  <w:r>
                    <w:rPr>
                      <w:rFonts w:hint="default" w:ascii="Times New Roman" w:hAnsi="Times New Roman" w:cs="Times New Roman"/>
                    </w:rPr>
                    <w:t>YJP-1</w:t>
                  </w:r>
                </w:p>
              </w:tc>
              <w:tc>
                <w:tcPr>
                  <w:tcW w:w="525" w:type="pct"/>
                  <w:vAlign w:val="center"/>
                </w:tcPr>
                <w:p w14:paraId="68BD172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48C758D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24BA45D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与无缝钢瓶</w:t>
                  </w:r>
                </w:p>
                <w:p w14:paraId="2CCE5BE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共用</w:t>
                  </w:r>
                </w:p>
              </w:tc>
            </w:tr>
            <w:tr w14:paraId="4DFEF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3FE5B903">
                  <w:pPr>
                    <w:pStyle w:val="40"/>
                    <w:bidi w:val="0"/>
                    <w:jc w:val="center"/>
                    <w:rPr>
                      <w:rFonts w:hint="default" w:ascii="Times New Roman" w:hAnsi="Times New Roman" w:cs="Times New Roman"/>
                      <w:lang w:val="en-US" w:eastAsia="zh-CN"/>
                    </w:rPr>
                  </w:pPr>
                </w:p>
              </w:tc>
              <w:tc>
                <w:tcPr>
                  <w:tcW w:w="395" w:type="pct"/>
                  <w:vAlign w:val="center"/>
                </w:tcPr>
                <w:p w14:paraId="3E8A307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10</w:t>
                  </w:r>
                </w:p>
              </w:tc>
              <w:tc>
                <w:tcPr>
                  <w:tcW w:w="1110" w:type="pct"/>
                  <w:vAlign w:val="center"/>
                </w:tcPr>
                <w:p w14:paraId="23318BA6">
                  <w:pPr>
                    <w:pStyle w:val="40"/>
                    <w:bidi w:val="0"/>
                    <w:jc w:val="center"/>
                    <w:rPr>
                      <w:rFonts w:hint="default" w:ascii="Times New Roman" w:hAnsi="Times New Roman" w:cs="Times New Roman"/>
                      <w:lang w:val="en-US" w:eastAsia="zh-CN"/>
                    </w:rPr>
                  </w:pPr>
                  <w:r>
                    <w:rPr>
                      <w:rFonts w:hint="default" w:ascii="Times New Roman" w:hAnsi="Times New Roman" w:cs="Times New Roman"/>
                    </w:rPr>
                    <w:t>液化气瓶气密测试机</w:t>
                  </w:r>
                </w:p>
              </w:tc>
              <w:tc>
                <w:tcPr>
                  <w:tcW w:w="906" w:type="pct"/>
                  <w:vAlign w:val="center"/>
                </w:tcPr>
                <w:p w14:paraId="02F800DB">
                  <w:pPr>
                    <w:pStyle w:val="40"/>
                    <w:bidi w:val="0"/>
                    <w:jc w:val="center"/>
                    <w:rPr>
                      <w:rFonts w:hint="default" w:ascii="Times New Roman" w:hAnsi="Times New Roman" w:cs="Times New Roman"/>
                      <w:lang w:val="en-US" w:eastAsia="zh-CN"/>
                    </w:rPr>
                  </w:pPr>
                  <w:r>
                    <w:rPr>
                      <w:rFonts w:hint="default" w:ascii="Times New Roman" w:hAnsi="Times New Roman" w:cs="Times New Roman"/>
                    </w:rPr>
                    <w:t>YQ-2D</w:t>
                  </w:r>
                </w:p>
              </w:tc>
              <w:tc>
                <w:tcPr>
                  <w:tcW w:w="525" w:type="pct"/>
                  <w:vAlign w:val="center"/>
                </w:tcPr>
                <w:p w14:paraId="6FBCCD1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套</w:t>
                  </w:r>
                </w:p>
              </w:tc>
              <w:tc>
                <w:tcPr>
                  <w:tcW w:w="487" w:type="pct"/>
                  <w:vAlign w:val="center"/>
                </w:tcPr>
                <w:p w14:paraId="323079B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23CD1E53">
                  <w:pPr>
                    <w:pStyle w:val="40"/>
                    <w:bidi w:val="0"/>
                    <w:jc w:val="center"/>
                    <w:rPr>
                      <w:rFonts w:hint="default" w:ascii="Times New Roman" w:hAnsi="Times New Roman" w:cs="Times New Roman"/>
                      <w:lang w:val="en-US" w:eastAsia="zh-CN"/>
                    </w:rPr>
                  </w:pPr>
                </w:p>
              </w:tc>
            </w:tr>
            <w:tr w14:paraId="0C0BB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3F3C07DE">
                  <w:pPr>
                    <w:pStyle w:val="40"/>
                    <w:bidi w:val="0"/>
                    <w:jc w:val="center"/>
                    <w:rPr>
                      <w:rFonts w:hint="default" w:ascii="Times New Roman" w:hAnsi="Times New Roman" w:cs="Times New Roman"/>
                      <w:lang w:val="en-US" w:eastAsia="zh-CN"/>
                    </w:rPr>
                  </w:pPr>
                </w:p>
              </w:tc>
              <w:tc>
                <w:tcPr>
                  <w:tcW w:w="395" w:type="pct"/>
                  <w:vAlign w:val="center"/>
                </w:tcPr>
                <w:p w14:paraId="0D4780B5">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11</w:t>
                  </w:r>
                </w:p>
              </w:tc>
              <w:tc>
                <w:tcPr>
                  <w:tcW w:w="1110" w:type="pct"/>
                  <w:vAlign w:val="center"/>
                </w:tcPr>
                <w:p w14:paraId="3E2C6940">
                  <w:pPr>
                    <w:pStyle w:val="40"/>
                    <w:bidi w:val="0"/>
                    <w:jc w:val="center"/>
                    <w:rPr>
                      <w:rFonts w:hint="default" w:ascii="Times New Roman" w:hAnsi="Times New Roman" w:cs="Times New Roman"/>
                      <w:color w:val="0000FF"/>
                      <w:lang w:val="en-US" w:eastAsia="zh-CN"/>
                    </w:rPr>
                  </w:pPr>
                  <w:r>
                    <w:rPr>
                      <w:rFonts w:hint="eastAsia" w:cs="Times New Roman"/>
                      <w:color w:val="0000FF"/>
                      <w:lang w:val="en-US" w:eastAsia="zh-CN"/>
                    </w:rPr>
                    <w:t>旋片干式</w:t>
                  </w:r>
                  <w:r>
                    <w:rPr>
                      <w:rFonts w:hint="default" w:ascii="Times New Roman" w:hAnsi="Times New Roman" w:cs="Times New Roman"/>
                      <w:color w:val="0000FF"/>
                    </w:rPr>
                    <w:t>真空泵</w:t>
                  </w:r>
                </w:p>
              </w:tc>
              <w:tc>
                <w:tcPr>
                  <w:tcW w:w="906" w:type="pct"/>
                  <w:vAlign w:val="center"/>
                </w:tcPr>
                <w:p w14:paraId="72B6C88F">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rPr>
                    <w:t>2X-15</w:t>
                  </w:r>
                </w:p>
              </w:tc>
              <w:tc>
                <w:tcPr>
                  <w:tcW w:w="525" w:type="pct"/>
                  <w:vAlign w:val="center"/>
                </w:tcPr>
                <w:p w14:paraId="37F6D1EF">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台</w:t>
                  </w:r>
                </w:p>
              </w:tc>
              <w:tc>
                <w:tcPr>
                  <w:tcW w:w="487" w:type="pct"/>
                  <w:vAlign w:val="center"/>
                </w:tcPr>
                <w:p w14:paraId="2B0EB18B">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c>
                <w:tcPr>
                  <w:tcW w:w="959" w:type="pct"/>
                  <w:vAlign w:val="center"/>
                </w:tcPr>
                <w:p w14:paraId="686F7EB1">
                  <w:pPr>
                    <w:pStyle w:val="40"/>
                    <w:bidi w:val="0"/>
                    <w:jc w:val="center"/>
                    <w:rPr>
                      <w:rFonts w:hint="default" w:ascii="Times New Roman" w:hAnsi="Times New Roman" w:cs="Times New Roman"/>
                      <w:color w:val="0000FF"/>
                      <w:lang w:val="en-US" w:eastAsia="zh-CN"/>
                    </w:rPr>
                  </w:pPr>
                </w:p>
              </w:tc>
            </w:tr>
            <w:tr w14:paraId="60F07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59FEB9FD">
                  <w:pPr>
                    <w:pStyle w:val="40"/>
                    <w:bidi w:val="0"/>
                    <w:jc w:val="center"/>
                    <w:rPr>
                      <w:rFonts w:hint="default" w:ascii="Times New Roman" w:hAnsi="Times New Roman" w:cs="Times New Roman"/>
                      <w:lang w:val="en-US" w:eastAsia="zh-CN"/>
                    </w:rPr>
                  </w:pPr>
                </w:p>
              </w:tc>
              <w:tc>
                <w:tcPr>
                  <w:tcW w:w="395" w:type="pct"/>
                  <w:vAlign w:val="center"/>
                </w:tcPr>
                <w:p w14:paraId="59A50A7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12</w:t>
                  </w:r>
                </w:p>
              </w:tc>
              <w:tc>
                <w:tcPr>
                  <w:tcW w:w="1110" w:type="pct"/>
                  <w:vAlign w:val="center"/>
                </w:tcPr>
                <w:p w14:paraId="585FB103">
                  <w:pPr>
                    <w:pStyle w:val="40"/>
                    <w:bidi w:val="0"/>
                    <w:jc w:val="center"/>
                    <w:rPr>
                      <w:rFonts w:hint="default" w:ascii="Times New Roman" w:hAnsi="Times New Roman" w:cs="Times New Roman"/>
                      <w:lang w:val="en-US" w:eastAsia="zh-CN"/>
                    </w:rPr>
                  </w:pPr>
                  <w:r>
                    <w:rPr>
                      <w:rFonts w:hint="default" w:ascii="Times New Roman" w:hAnsi="Times New Roman" w:cs="Times New Roman"/>
                    </w:rPr>
                    <w:t>印字机</w:t>
                  </w:r>
                </w:p>
              </w:tc>
              <w:tc>
                <w:tcPr>
                  <w:tcW w:w="906" w:type="pct"/>
                  <w:vAlign w:val="center"/>
                </w:tcPr>
                <w:p w14:paraId="4C139C75">
                  <w:pPr>
                    <w:pStyle w:val="40"/>
                    <w:bidi w:val="0"/>
                    <w:jc w:val="center"/>
                    <w:rPr>
                      <w:rFonts w:hint="default" w:ascii="Times New Roman" w:hAnsi="Times New Roman" w:cs="Times New Roman"/>
                      <w:lang w:val="en-US" w:eastAsia="zh-CN"/>
                    </w:rPr>
                  </w:pPr>
                  <w:r>
                    <w:rPr>
                      <w:rFonts w:hint="default" w:ascii="Times New Roman" w:hAnsi="Times New Roman" w:cs="Times New Roman"/>
                    </w:rPr>
                    <w:t>YZ-1</w:t>
                  </w:r>
                  <w:r>
                    <w:rPr>
                      <w:rFonts w:hint="default" w:ascii="Times New Roman" w:hAnsi="Times New Roman" w:cs="Times New Roman"/>
                      <w:lang w:val="en-US" w:eastAsia="zh-CN"/>
                    </w:rPr>
                    <w:t>S</w:t>
                  </w:r>
                </w:p>
              </w:tc>
              <w:tc>
                <w:tcPr>
                  <w:tcW w:w="525" w:type="pct"/>
                  <w:vAlign w:val="center"/>
                </w:tcPr>
                <w:p w14:paraId="49F1519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3FCBDCC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23FC395B">
                  <w:pPr>
                    <w:pStyle w:val="40"/>
                    <w:bidi w:val="0"/>
                    <w:jc w:val="center"/>
                    <w:rPr>
                      <w:rFonts w:hint="default" w:ascii="Times New Roman" w:hAnsi="Times New Roman" w:cs="Times New Roman"/>
                      <w:lang w:val="en-US" w:eastAsia="zh-CN"/>
                    </w:rPr>
                  </w:pPr>
                </w:p>
              </w:tc>
            </w:tr>
            <w:tr w14:paraId="31C38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15" w:type="pct"/>
                  <w:vMerge w:val="continue"/>
                  <w:vAlign w:val="center"/>
                </w:tcPr>
                <w:p w14:paraId="20309662">
                  <w:pPr>
                    <w:pStyle w:val="40"/>
                    <w:bidi w:val="0"/>
                    <w:jc w:val="center"/>
                    <w:rPr>
                      <w:rFonts w:hint="default" w:ascii="Times New Roman" w:hAnsi="Times New Roman" w:cs="Times New Roman"/>
                      <w:lang w:val="en-US" w:eastAsia="zh-CN"/>
                    </w:rPr>
                  </w:pPr>
                </w:p>
              </w:tc>
              <w:tc>
                <w:tcPr>
                  <w:tcW w:w="395" w:type="pct"/>
                  <w:vAlign w:val="center"/>
                </w:tcPr>
                <w:p w14:paraId="0740C82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13</w:t>
                  </w:r>
                </w:p>
              </w:tc>
              <w:tc>
                <w:tcPr>
                  <w:tcW w:w="1110" w:type="pct"/>
                  <w:vAlign w:val="center"/>
                </w:tcPr>
                <w:p w14:paraId="6441D66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手动印字机</w:t>
                  </w:r>
                </w:p>
              </w:tc>
              <w:tc>
                <w:tcPr>
                  <w:tcW w:w="906" w:type="pct"/>
                  <w:vAlign w:val="center"/>
                </w:tcPr>
                <w:p w14:paraId="05CCC56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YZ-1/50</w:t>
                  </w:r>
                </w:p>
              </w:tc>
              <w:tc>
                <w:tcPr>
                  <w:tcW w:w="525" w:type="pct"/>
                  <w:vAlign w:val="center"/>
                </w:tcPr>
                <w:p w14:paraId="40F1FAB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0DEDF68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7F305665">
                  <w:pPr>
                    <w:pStyle w:val="40"/>
                    <w:bidi w:val="0"/>
                    <w:jc w:val="center"/>
                    <w:rPr>
                      <w:rFonts w:hint="default" w:ascii="Times New Roman" w:hAnsi="Times New Roman" w:cs="Times New Roman"/>
                      <w:lang w:val="en-US" w:eastAsia="zh-CN"/>
                    </w:rPr>
                  </w:pPr>
                </w:p>
              </w:tc>
            </w:tr>
            <w:tr w14:paraId="0EBD7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2840787D">
                  <w:pPr>
                    <w:pStyle w:val="40"/>
                    <w:bidi w:val="0"/>
                    <w:jc w:val="center"/>
                    <w:rPr>
                      <w:rFonts w:hint="default" w:ascii="Times New Roman" w:hAnsi="Times New Roman" w:cs="Times New Roman"/>
                      <w:lang w:val="en-US" w:eastAsia="zh-CN"/>
                    </w:rPr>
                  </w:pPr>
                </w:p>
              </w:tc>
              <w:tc>
                <w:tcPr>
                  <w:tcW w:w="395" w:type="pct"/>
                  <w:vAlign w:val="center"/>
                </w:tcPr>
                <w:p w14:paraId="7D49425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14</w:t>
                  </w:r>
                </w:p>
              </w:tc>
              <w:tc>
                <w:tcPr>
                  <w:tcW w:w="1110" w:type="pct"/>
                  <w:vAlign w:val="center"/>
                </w:tcPr>
                <w:p w14:paraId="5EE36130">
                  <w:pPr>
                    <w:pStyle w:val="40"/>
                    <w:bidi w:val="0"/>
                    <w:jc w:val="center"/>
                    <w:rPr>
                      <w:rFonts w:hint="default" w:ascii="Times New Roman" w:hAnsi="Times New Roman" w:cs="Times New Roman"/>
                      <w:lang w:val="en-US" w:eastAsia="zh-CN"/>
                    </w:rPr>
                  </w:pPr>
                  <w:r>
                    <w:rPr>
                      <w:rFonts w:hint="default" w:ascii="Times New Roman" w:hAnsi="Times New Roman" w:cs="Times New Roman"/>
                    </w:rPr>
                    <w:t>液化气瓶瓶阀校验台</w:t>
                  </w:r>
                </w:p>
              </w:tc>
              <w:tc>
                <w:tcPr>
                  <w:tcW w:w="906" w:type="pct"/>
                  <w:vAlign w:val="center"/>
                </w:tcPr>
                <w:p w14:paraId="15612D10">
                  <w:pPr>
                    <w:pStyle w:val="40"/>
                    <w:bidi w:val="0"/>
                    <w:jc w:val="center"/>
                    <w:rPr>
                      <w:rFonts w:hint="default" w:ascii="Times New Roman" w:hAnsi="Times New Roman" w:cs="Times New Roman"/>
                      <w:lang w:val="en-US" w:eastAsia="zh-CN"/>
                    </w:rPr>
                  </w:pPr>
                  <w:r>
                    <w:rPr>
                      <w:rFonts w:hint="default" w:ascii="Times New Roman" w:hAnsi="Times New Roman" w:cs="Times New Roman"/>
                    </w:rPr>
                    <w:t>YF-1</w:t>
                  </w:r>
                </w:p>
              </w:tc>
              <w:tc>
                <w:tcPr>
                  <w:tcW w:w="525" w:type="pct"/>
                  <w:vAlign w:val="center"/>
                </w:tcPr>
                <w:p w14:paraId="3630A20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5F2F8FA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09B2FD0A">
                  <w:pPr>
                    <w:pStyle w:val="40"/>
                    <w:bidi w:val="0"/>
                    <w:jc w:val="center"/>
                    <w:rPr>
                      <w:rFonts w:hint="default" w:ascii="Times New Roman" w:hAnsi="Times New Roman" w:cs="Times New Roman"/>
                      <w:lang w:val="en-US" w:eastAsia="zh-CN"/>
                    </w:rPr>
                  </w:pPr>
                </w:p>
              </w:tc>
            </w:tr>
            <w:tr w14:paraId="77F75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15" w:type="pct"/>
                  <w:vMerge w:val="continue"/>
                  <w:vAlign w:val="center"/>
                </w:tcPr>
                <w:p w14:paraId="1AC226A2">
                  <w:pPr>
                    <w:pStyle w:val="40"/>
                    <w:bidi w:val="0"/>
                    <w:jc w:val="center"/>
                    <w:rPr>
                      <w:rFonts w:hint="default" w:ascii="Times New Roman" w:hAnsi="Times New Roman" w:cs="Times New Roman"/>
                      <w:lang w:val="en-US" w:eastAsia="zh-CN"/>
                    </w:rPr>
                  </w:pPr>
                </w:p>
              </w:tc>
              <w:tc>
                <w:tcPr>
                  <w:tcW w:w="395" w:type="pct"/>
                  <w:vAlign w:val="center"/>
                </w:tcPr>
                <w:p w14:paraId="37E35F2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15</w:t>
                  </w:r>
                </w:p>
              </w:tc>
              <w:tc>
                <w:tcPr>
                  <w:tcW w:w="1110" w:type="pct"/>
                  <w:vAlign w:val="center"/>
                </w:tcPr>
                <w:p w14:paraId="029E5ED9">
                  <w:pPr>
                    <w:pStyle w:val="40"/>
                    <w:bidi w:val="0"/>
                    <w:jc w:val="center"/>
                    <w:rPr>
                      <w:rFonts w:hint="default" w:ascii="Times New Roman" w:hAnsi="Times New Roman" w:cs="Times New Roman"/>
                      <w:lang w:val="en-US" w:eastAsia="zh-CN"/>
                    </w:rPr>
                  </w:pPr>
                  <w:r>
                    <w:rPr>
                      <w:rFonts w:hint="default" w:ascii="Times New Roman" w:hAnsi="Times New Roman" w:cs="Times New Roman"/>
                    </w:rPr>
                    <w:t>钢瓶判废机</w:t>
                  </w:r>
                </w:p>
              </w:tc>
              <w:tc>
                <w:tcPr>
                  <w:tcW w:w="906" w:type="pct"/>
                  <w:vAlign w:val="center"/>
                </w:tcPr>
                <w:p w14:paraId="44C502DB">
                  <w:pPr>
                    <w:pStyle w:val="40"/>
                    <w:bidi w:val="0"/>
                    <w:jc w:val="center"/>
                    <w:rPr>
                      <w:rFonts w:hint="default" w:ascii="Times New Roman" w:hAnsi="Times New Roman" w:cs="Times New Roman"/>
                      <w:lang w:val="en-US" w:eastAsia="zh-CN"/>
                    </w:rPr>
                  </w:pPr>
                  <w:r>
                    <w:rPr>
                      <w:rFonts w:hint="default" w:ascii="Times New Roman" w:hAnsi="Times New Roman" w:cs="Times New Roman"/>
                    </w:rPr>
                    <w:t>YP-1</w:t>
                  </w:r>
                </w:p>
              </w:tc>
              <w:tc>
                <w:tcPr>
                  <w:tcW w:w="525" w:type="pct"/>
                  <w:vAlign w:val="center"/>
                </w:tcPr>
                <w:p w14:paraId="009F65D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4F4E399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7B0EF2F6">
                  <w:pPr>
                    <w:pStyle w:val="40"/>
                    <w:bidi w:val="0"/>
                    <w:jc w:val="center"/>
                    <w:rPr>
                      <w:rFonts w:hint="default" w:ascii="Times New Roman" w:hAnsi="Times New Roman" w:cs="Times New Roman"/>
                      <w:lang w:val="en-US" w:eastAsia="zh-CN"/>
                    </w:rPr>
                  </w:pPr>
                </w:p>
              </w:tc>
            </w:tr>
            <w:tr w14:paraId="35878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0F21CB15">
                  <w:pPr>
                    <w:pStyle w:val="40"/>
                    <w:bidi w:val="0"/>
                    <w:jc w:val="center"/>
                    <w:rPr>
                      <w:rFonts w:hint="default" w:ascii="Times New Roman" w:hAnsi="Times New Roman" w:cs="Times New Roman"/>
                      <w:lang w:val="en-US" w:eastAsia="zh-CN"/>
                    </w:rPr>
                  </w:pPr>
                </w:p>
              </w:tc>
              <w:tc>
                <w:tcPr>
                  <w:tcW w:w="395" w:type="pct"/>
                  <w:vAlign w:val="center"/>
                </w:tcPr>
                <w:p w14:paraId="7FEE17A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16</w:t>
                  </w:r>
                </w:p>
              </w:tc>
              <w:tc>
                <w:tcPr>
                  <w:tcW w:w="1110" w:type="pct"/>
                  <w:vAlign w:val="center"/>
                </w:tcPr>
                <w:p w14:paraId="7FBCF898">
                  <w:pPr>
                    <w:pStyle w:val="40"/>
                    <w:bidi w:val="0"/>
                    <w:jc w:val="center"/>
                    <w:rPr>
                      <w:rFonts w:hint="default" w:ascii="Times New Roman" w:hAnsi="Times New Roman" w:cs="Times New Roman"/>
                      <w:lang w:val="en-US" w:eastAsia="zh-CN"/>
                    </w:rPr>
                  </w:pPr>
                  <w:r>
                    <w:rPr>
                      <w:rFonts w:hint="default" w:ascii="Times New Roman" w:hAnsi="Times New Roman" w:cs="Times New Roman"/>
                    </w:rPr>
                    <w:t>中压空压机</w:t>
                  </w:r>
                </w:p>
              </w:tc>
              <w:tc>
                <w:tcPr>
                  <w:tcW w:w="906" w:type="pct"/>
                  <w:vAlign w:val="center"/>
                </w:tcPr>
                <w:p w14:paraId="6A1F6FB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r>
                    <w:rPr>
                      <w:rFonts w:hint="default" w:ascii="Times New Roman" w:hAnsi="Times New Roman" w:cs="Times New Roman"/>
                    </w:rPr>
                    <w:t>.</w:t>
                  </w:r>
                  <w:r>
                    <w:rPr>
                      <w:rFonts w:hint="default" w:ascii="Times New Roman" w:hAnsi="Times New Roman" w:cs="Times New Roman"/>
                      <w:lang w:val="en-US" w:eastAsia="zh-CN"/>
                    </w:rPr>
                    <w:t>0</w:t>
                  </w:r>
                  <w:r>
                    <w:rPr>
                      <w:rFonts w:hint="default" w:ascii="Times New Roman" w:hAnsi="Times New Roman" w:cs="Times New Roman"/>
                    </w:rPr>
                    <w:t>m</w:t>
                  </w:r>
                  <w:r>
                    <w:rPr>
                      <w:rFonts w:hint="default" w:ascii="Times New Roman" w:hAnsi="Times New Roman" w:cs="Times New Roman"/>
                      <w:vertAlign w:val="superscript"/>
                    </w:rPr>
                    <w:t>3</w:t>
                  </w:r>
                  <w:r>
                    <w:rPr>
                      <w:rFonts w:hint="default" w:ascii="Times New Roman" w:hAnsi="Times New Roman" w:cs="Times New Roman"/>
                    </w:rPr>
                    <w:t>/</w:t>
                  </w:r>
                  <w:r>
                    <w:rPr>
                      <w:rFonts w:hint="default" w:ascii="Times New Roman" w:hAnsi="Times New Roman" w:cs="Times New Roman"/>
                      <w:lang w:val="en-US" w:eastAsia="zh-CN"/>
                    </w:rPr>
                    <w:t>3</w:t>
                  </w:r>
                  <w:r>
                    <w:rPr>
                      <w:rFonts w:hint="default" w:ascii="Times New Roman" w:hAnsi="Times New Roman" w:cs="Times New Roman"/>
                    </w:rPr>
                    <w:t>0</w:t>
                  </w:r>
                  <w:r>
                    <w:rPr>
                      <w:rFonts w:hint="default" w:ascii="Times New Roman" w:hAnsi="Times New Roman" w:cs="Times New Roman"/>
                      <w:lang w:val="en-US" w:eastAsia="zh-CN"/>
                    </w:rPr>
                    <w:t>kg</w:t>
                  </w:r>
                </w:p>
              </w:tc>
              <w:tc>
                <w:tcPr>
                  <w:tcW w:w="525" w:type="pct"/>
                  <w:vAlign w:val="center"/>
                </w:tcPr>
                <w:p w14:paraId="2237376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369A226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5845A908">
                  <w:pPr>
                    <w:pStyle w:val="40"/>
                    <w:bidi w:val="0"/>
                    <w:jc w:val="center"/>
                    <w:rPr>
                      <w:rFonts w:hint="default" w:ascii="Times New Roman" w:hAnsi="Times New Roman" w:cs="Times New Roman"/>
                      <w:lang w:val="en-US" w:eastAsia="zh-CN"/>
                    </w:rPr>
                  </w:pPr>
                </w:p>
              </w:tc>
            </w:tr>
            <w:tr w14:paraId="25114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52FD0853">
                  <w:pPr>
                    <w:pStyle w:val="40"/>
                    <w:bidi w:val="0"/>
                    <w:jc w:val="center"/>
                    <w:rPr>
                      <w:rFonts w:hint="default" w:ascii="Times New Roman" w:hAnsi="Times New Roman" w:cs="Times New Roman"/>
                      <w:lang w:val="en-US" w:eastAsia="zh-CN"/>
                    </w:rPr>
                  </w:pPr>
                </w:p>
              </w:tc>
              <w:tc>
                <w:tcPr>
                  <w:tcW w:w="395" w:type="pct"/>
                  <w:vAlign w:val="center"/>
                </w:tcPr>
                <w:p w14:paraId="12C140B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17</w:t>
                  </w:r>
                </w:p>
              </w:tc>
              <w:tc>
                <w:tcPr>
                  <w:tcW w:w="1110" w:type="pct"/>
                  <w:vAlign w:val="center"/>
                </w:tcPr>
                <w:p w14:paraId="17AE4C3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中</w:t>
                  </w:r>
                  <w:r>
                    <w:rPr>
                      <w:rFonts w:hint="default" w:ascii="Times New Roman" w:hAnsi="Times New Roman" w:cs="Times New Roman"/>
                    </w:rPr>
                    <w:t>压储气罐</w:t>
                  </w:r>
                </w:p>
              </w:tc>
              <w:tc>
                <w:tcPr>
                  <w:tcW w:w="906" w:type="pct"/>
                  <w:vAlign w:val="center"/>
                </w:tcPr>
                <w:p w14:paraId="67DAC1B5">
                  <w:pPr>
                    <w:pStyle w:val="40"/>
                    <w:bidi w:val="0"/>
                    <w:jc w:val="center"/>
                    <w:rPr>
                      <w:rFonts w:hint="default" w:ascii="Times New Roman" w:hAnsi="Times New Roman" w:eastAsia="宋体" w:cs="Times New Roman"/>
                      <w:lang w:val="en-US" w:eastAsia="zh-CN"/>
                    </w:rPr>
                  </w:pPr>
                  <w:r>
                    <w:rPr>
                      <w:rFonts w:hint="default" w:ascii="Times New Roman" w:hAnsi="Times New Roman" w:cs="Times New Roman"/>
                    </w:rPr>
                    <w:t>1m</w:t>
                  </w:r>
                  <w:r>
                    <w:rPr>
                      <w:rFonts w:hint="default" w:ascii="Times New Roman" w:hAnsi="Times New Roman" w:cs="Times New Roman"/>
                      <w:vertAlign w:val="superscript"/>
                    </w:rPr>
                    <w:t>3</w:t>
                  </w:r>
                  <w:r>
                    <w:rPr>
                      <w:rFonts w:hint="default" w:ascii="Times New Roman" w:hAnsi="Times New Roman" w:cs="Times New Roman"/>
                    </w:rPr>
                    <w:t>/</w:t>
                  </w:r>
                  <w:r>
                    <w:rPr>
                      <w:rFonts w:hint="default" w:ascii="Times New Roman" w:hAnsi="Times New Roman" w:cs="Times New Roman"/>
                      <w:lang w:val="en-US" w:eastAsia="zh-CN"/>
                    </w:rPr>
                    <w:t>3</w:t>
                  </w:r>
                  <w:r>
                    <w:rPr>
                      <w:rFonts w:hint="default" w:ascii="Times New Roman" w:hAnsi="Times New Roman" w:cs="Times New Roman"/>
                    </w:rPr>
                    <w:t>0</w:t>
                  </w:r>
                  <w:r>
                    <w:rPr>
                      <w:rFonts w:hint="default" w:ascii="Times New Roman" w:hAnsi="Times New Roman" w:cs="Times New Roman"/>
                      <w:lang w:val="en-US" w:eastAsia="zh-CN"/>
                    </w:rPr>
                    <w:t>kg</w:t>
                  </w:r>
                </w:p>
              </w:tc>
              <w:tc>
                <w:tcPr>
                  <w:tcW w:w="525" w:type="pct"/>
                  <w:vAlign w:val="center"/>
                </w:tcPr>
                <w:p w14:paraId="597DB08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5893A6C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0939EF77">
                  <w:pPr>
                    <w:pStyle w:val="40"/>
                    <w:bidi w:val="0"/>
                    <w:jc w:val="center"/>
                    <w:rPr>
                      <w:rFonts w:hint="default" w:ascii="Times New Roman" w:hAnsi="Times New Roman" w:cs="Times New Roman"/>
                      <w:lang w:val="en-US" w:eastAsia="zh-CN"/>
                    </w:rPr>
                  </w:pPr>
                </w:p>
              </w:tc>
            </w:tr>
            <w:tr w14:paraId="7AE6F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16D06D8F">
                  <w:pPr>
                    <w:pStyle w:val="40"/>
                    <w:bidi w:val="0"/>
                    <w:jc w:val="center"/>
                    <w:rPr>
                      <w:rFonts w:hint="default" w:ascii="Times New Roman" w:hAnsi="Times New Roman" w:cs="Times New Roman"/>
                      <w:lang w:val="en-US" w:eastAsia="zh-CN"/>
                    </w:rPr>
                  </w:pPr>
                </w:p>
              </w:tc>
              <w:tc>
                <w:tcPr>
                  <w:tcW w:w="395" w:type="pct"/>
                  <w:vAlign w:val="center"/>
                </w:tcPr>
                <w:p w14:paraId="1014A82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18</w:t>
                  </w:r>
                </w:p>
              </w:tc>
              <w:tc>
                <w:tcPr>
                  <w:tcW w:w="1110" w:type="pct"/>
                  <w:vAlign w:val="center"/>
                </w:tcPr>
                <w:p w14:paraId="702326FD">
                  <w:pPr>
                    <w:pStyle w:val="40"/>
                    <w:bidi w:val="0"/>
                    <w:jc w:val="center"/>
                    <w:rPr>
                      <w:rFonts w:hint="default" w:ascii="Times New Roman" w:hAnsi="Times New Roman" w:cs="Times New Roman"/>
                      <w:lang w:val="en-US" w:eastAsia="zh-CN"/>
                    </w:rPr>
                  </w:pPr>
                  <w:r>
                    <w:rPr>
                      <w:rFonts w:hint="default" w:ascii="Times New Roman" w:hAnsi="Times New Roman" w:cs="Times New Roman"/>
                    </w:rPr>
                    <w:t>低压空压机</w:t>
                  </w:r>
                </w:p>
              </w:tc>
              <w:tc>
                <w:tcPr>
                  <w:tcW w:w="906" w:type="pct"/>
                  <w:vAlign w:val="center"/>
                </w:tcPr>
                <w:p w14:paraId="204A56CC">
                  <w:pPr>
                    <w:pStyle w:val="40"/>
                    <w:bidi w:val="0"/>
                    <w:jc w:val="center"/>
                    <w:rPr>
                      <w:rFonts w:hint="default" w:ascii="Times New Roman" w:hAnsi="Times New Roman" w:cs="Times New Roman"/>
                      <w:lang w:val="en-US" w:eastAsia="zh-CN"/>
                    </w:rPr>
                  </w:pPr>
                  <w:r>
                    <w:rPr>
                      <w:rFonts w:hint="default" w:ascii="Times New Roman" w:hAnsi="Times New Roman" w:cs="Times New Roman"/>
                    </w:rPr>
                    <w:t>2m</w:t>
                  </w:r>
                  <w:r>
                    <w:rPr>
                      <w:rFonts w:hint="default" w:ascii="Times New Roman" w:hAnsi="Times New Roman" w:cs="Times New Roman"/>
                      <w:vertAlign w:val="superscript"/>
                    </w:rPr>
                    <w:t>3</w:t>
                  </w:r>
                  <w:r>
                    <w:rPr>
                      <w:rFonts w:hint="default" w:ascii="Times New Roman" w:hAnsi="Times New Roman" w:cs="Times New Roman"/>
                    </w:rPr>
                    <w:t>/</w:t>
                  </w:r>
                  <w:r>
                    <w:rPr>
                      <w:rFonts w:hint="default" w:ascii="Times New Roman" w:hAnsi="Times New Roman" w:cs="Times New Roman"/>
                      <w:lang w:val="en-US" w:eastAsia="zh-CN"/>
                    </w:rPr>
                    <w:t>3</w:t>
                  </w:r>
                  <w:r>
                    <w:rPr>
                      <w:rFonts w:hint="default" w:ascii="Times New Roman" w:hAnsi="Times New Roman" w:cs="Times New Roman"/>
                    </w:rPr>
                    <w:t>0</w:t>
                  </w:r>
                  <w:r>
                    <w:rPr>
                      <w:rFonts w:hint="default" w:ascii="Times New Roman" w:hAnsi="Times New Roman" w:cs="Times New Roman"/>
                      <w:lang w:val="en-US" w:eastAsia="zh-CN"/>
                    </w:rPr>
                    <w:t>kg</w:t>
                  </w:r>
                </w:p>
              </w:tc>
              <w:tc>
                <w:tcPr>
                  <w:tcW w:w="525" w:type="pct"/>
                  <w:vAlign w:val="center"/>
                </w:tcPr>
                <w:p w14:paraId="7E7F482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48F280D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61D79199">
                  <w:pPr>
                    <w:pStyle w:val="40"/>
                    <w:bidi w:val="0"/>
                    <w:jc w:val="center"/>
                    <w:rPr>
                      <w:rFonts w:hint="default" w:ascii="Times New Roman" w:hAnsi="Times New Roman" w:cs="Times New Roman"/>
                      <w:lang w:val="en-US" w:eastAsia="zh-CN"/>
                    </w:rPr>
                  </w:pPr>
                </w:p>
              </w:tc>
            </w:tr>
            <w:tr w14:paraId="28BC3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65AC90E9">
                  <w:pPr>
                    <w:pStyle w:val="40"/>
                    <w:bidi w:val="0"/>
                    <w:jc w:val="center"/>
                    <w:rPr>
                      <w:rFonts w:hint="default" w:ascii="Times New Roman" w:hAnsi="Times New Roman" w:cs="Times New Roman"/>
                      <w:lang w:val="en-US" w:eastAsia="zh-CN"/>
                    </w:rPr>
                  </w:pPr>
                </w:p>
              </w:tc>
              <w:tc>
                <w:tcPr>
                  <w:tcW w:w="395" w:type="pct"/>
                  <w:vAlign w:val="center"/>
                </w:tcPr>
                <w:p w14:paraId="74A5E6D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19</w:t>
                  </w:r>
                </w:p>
              </w:tc>
              <w:tc>
                <w:tcPr>
                  <w:tcW w:w="1110" w:type="pct"/>
                  <w:vAlign w:val="center"/>
                </w:tcPr>
                <w:p w14:paraId="06248787">
                  <w:pPr>
                    <w:pStyle w:val="40"/>
                    <w:bidi w:val="0"/>
                    <w:jc w:val="center"/>
                    <w:rPr>
                      <w:rFonts w:hint="default" w:ascii="Times New Roman" w:hAnsi="Times New Roman" w:cs="Times New Roman"/>
                      <w:lang w:val="en-US" w:eastAsia="zh-CN"/>
                    </w:rPr>
                  </w:pPr>
                  <w:r>
                    <w:rPr>
                      <w:rFonts w:hint="default" w:ascii="Times New Roman" w:hAnsi="Times New Roman" w:cs="Times New Roman"/>
                    </w:rPr>
                    <w:t>低压储气罐</w:t>
                  </w:r>
                </w:p>
              </w:tc>
              <w:tc>
                <w:tcPr>
                  <w:tcW w:w="906" w:type="pct"/>
                  <w:vAlign w:val="center"/>
                </w:tcPr>
                <w:p w14:paraId="57B44C8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w:t>
                  </w:r>
                  <w:r>
                    <w:rPr>
                      <w:rFonts w:hint="default" w:ascii="Times New Roman" w:hAnsi="Times New Roman" w:cs="Times New Roman"/>
                    </w:rPr>
                    <w:t>m</w:t>
                  </w:r>
                  <w:r>
                    <w:rPr>
                      <w:rFonts w:hint="default" w:ascii="Times New Roman" w:hAnsi="Times New Roman" w:cs="Times New Roman"/>
                      <w:vertAlign w:val="superscript"/>
                    </w:rPr>
                    <w:t>3</w:t>
                  </w:r>
                  <w:r>
                    <w:rPr>
                      <w:rFonts w:hint="default" w:ascii="Times New Roman" w:hAnsi="Times New Roman" w:cs="Times New Roman"/>
                    </w:rPr>
                    <w:t>/</w:t>
                  </w:r>
                  <w:r>
                    <w:rPr>
                      <w:rFonts w:hint="default" w:ascii="Times New Roman" w:hAnsi="Times New Roman" w:cs="Times New Roman"/>
                      <w:lang w:val="en-US" w:eastAsia="zh-CN"/>
                    </w:rPr>
                    <w:t>3</w:t>
                  </w:r>
                  <w:r>
                    <w:rPr>
                      <w:rFonts w:hint="default" w:ascii="Times New Roman" w:hAnsi="Times New Roman" w:cs="Times New Roman"/>
                    </w:rPr>
                    <w:t>0</w:t>
                  </w:r>
                  <w:r>
                    <w:rPr>
                      <w:rFonts w:hint="default" w:ascii="Times New Roman" w:hAnsi="Times New Roman" w:cs="Times New Roman"/>
                      <w:lang w:val="en-US" w:eastAsia="zh-CN"/>
                    </w:rPr>
                    <w:t>kg</w:t>
                  </w:r>
                </w:p>
              </w:tc>
              <w:tc>
                <w:tcPr>
                  <w:tcW w:w="525" w:type="pct"/>
                  <w:vAlign w:val="center"/>
                </w:tcPr>
                <w:p w14:paraId="487ED84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4E939FE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129B3C6E">
                  <w:pPr>
                    <w:pStyle w:val="40"/>
                    <w:bidi w:val="0"/>
                    <w:jc w:val="center"/>
                    <w:rPr>
                      <w:rFonts w:hint="default" w:ascii="Times New Roman" w:hAnsi="Times New Roman" w:cs="Times New Roman"/>
                      <w:lang w:val="en-US" w:eastAsia="zh-CN"/>
                    </w:rPr>
                  </w:pPr>
                </w:p>
              </w:tc>
            </w:tr>
            <w:tr w14:paraId="3D3B0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3181B724">
                  <w:pPr>
                    <w:pStyle w:val="40"/>
                    <w:bidi w:val="0"/>
                    <w:jc w:val="center"/>
                    <w:rPr>
                      <w:rFonts w:hint="default" w:ascii="Times New Roman" w:hAnsi="Times New Roman" w:cs="Times New Roman"/>
                      <w:lang w:val="en-US" w:eastAsia="zh-CN"/>
                    </w:rPr>
                  </w:pPr>
                </w:p>
              </w:tc>
              <w:tc>
                <w:tcPr>
                  <w:tcW w:w="395" w:type="pct"/>
                  <w:vAlign w:val="center"/>
                </w:tcPr>
                <w:p w14:paraId="20640D1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20</w:t>
                  </w:r>
                </w:p>
              </w:tc>
              <w:tc>
                <w:tcPr>
                  <w:tcW w:w="1110" w:type="pct"/>
                  <w:vAlign w:val="center"/>
                </w:tcPr>
                <w:p w14:paraId="57CEAA14">
                  <w:pPr>
                    <w:pStyle w:val="40"/>
                    <w:bidi w:val="0"/>
                    <w:jc w:val="center"/>
                    <w:rPr>
                      <w:rFonts w:hint="default" w:ascii="Times New Roman" w:hAnsi="Times New Roman" w:cs="Times New Roman"/>
                      <w:lang w:val="en-US" w:eastAsia="zh-CN"/>
                    </w:rPr>
                  </w:pPr>
                  <w:r>
                    <w:rPr>
                      <w:rFonts w:hint="default" w:ascii="Times New Roman" w:hAnsi="Times New Roman" w:cs="Times New Roman"/>
                    </w:rPr>
                    <w:t>气体浓度报警仪</w:t>
                  </w:r>
                </w:p>
              </w:tc>
              <w:tc>
                <w:tcPr>
                  <w:tcW w:w="906" w:type="pct"/>
                  <w:vAlign w:val="center"/>
                </w:tcPr>
                <w:p w14:paraId="75E8D04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ESP210</w:t>
                  </w:r>
                </w:p>
              </w:tc>
              <w:tc>
                <w:tcPr>
                  <w:tcW w:w="525" w:type="pct"/>
                  <w:vAlign w:val="center"/>
                </w:tcPr>
                <w:p w14:paraId="0742AC0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224CBB1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0451A9A1">
                  <w:pPr>
                    <w:pStyle w:val="40"/>
                    <w:bidi w:val="0"/>
                    <w:jc w:val="center"/>
                    <w:rPr>
                      <w:rFonts w:hint="default" w:ascii="Times New Roman" w:hAnsi="Times New Roman" w:cs="Times New Roman"/>
                      <w:lang w:val="en-US" w:eastAsia="zh-CN"/>
                    </w:rPr>
                  </w:pPr>
                </w:p>
              </w:tc>
            </w:tr>
            <w:tr w14:paraId="23790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0F0FDBBE">
                  <w:pPr>
                    <w:pStyle w:val="40"/>
                    <w:bidi w:val="0"/>
                    <w:jc w:val="center"/>
                    <w:rPr>
                      <w:rFonts w:hint="default" w:ascii="Times New Roman" w:hAnsi="Times New Roman" w:cs="Times New Roman"/>
                      <w:lang w:val="en-US" w:eastAsia="zh-CN"/>
                    </w:rPr>
                  </w:pPr>
                </w:p>
              </w:tc>
              <w:tc>
                <w:tcPr>
                  <w:tcW w:w="395" w:type="pct"/>
                  <w:vAlign w:val="center"/>
                </w:tcPr>
                <w:p w14:paraId="4D6CA0C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21</w:t>
                  </w:r>
                </w:p>
              </w:tc>
              <w:tc>
                <w:tcPr>
                  <w:tcW w:w="1110" w:type="pct"/>
                  <w:vAlign w:val="center"/>
                </w:tcPr>
                <w:p w14:paraId="37B90D4D">
                  <w:pPr>
                    <w:pStyle w:val="40"/>
                    <w:bidi w:val="0"/>
                    <w:jc w:val="center"/>
                    <w:rPr>
                      <w:rFonts w:hint="default" w:ascii="Times New Roman" w:hAnsi="Times New Roman" w:cs="Times New Roman"/>
                      <w:lang w:val="en-US" w:eastAsia="zh-CN"/>
                    </w:rPr>
                  </w:pPr>
                  <w:r>
                    <w:rPr>
                      <w:rFonts w:hint="default" w:ascii="Times New Roman" w:hAnsi="Times New Roman" w:cs="Times New Roman"/>
                    </w:rPr>
                    <w:t>测厚仪</w:t>
                  </w:r>
                </w:p>
              </w:tc>
              <w:tc>
                <w:tcPr>
                  <w:tcW w:w="906" w:type="pct"/>
                  <w:vAlign w:val="center"/>
                </w:tcPr>
                <w:p w14:paraId="6BC3EB3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FY3020</w:t>
                  </w:r>
                </w:p>
              </w:tc>
              <w:tc>
                <w:tcPr>
                  <w:tcW w:w="525" w:type="pct"/>
                  <w:vAlign w:val="center"/>
                </w:tcPr>
                <w:p w14:paraId="6560953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315214B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4</w:t>
                  </w:r>
                </w:p>
              </w:tc>
              <w:tc>
                <w:tcPr>
                  <w:tcW w:w="959" w:type="pct"/>
                  <w:vAlign w:val="center"/>
                </w:tcPr>
                <w:p w14:paraId="0C76CD21">
                  <w:pPr>
                    <w:pStyle w:val="40"/>
                    <w:bidi w:val="0"/>
                    <w:jc w:val="center"/>
                    <w:rPr>
                      <w:rFonts w:hint="default" w:ascii="Times New Roman" w:hAnsi="Times New Roman" w:cs="Times New Roman"/>
                      <w:lang w:val="en-US" w:eastAsia="zh-CN"/>
                    </w:rPr>
                  </w:pPr>
                </w:p>
              </w:tc>
            </w:tr>
            <w:tr w14:paraId="23EAE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restart"/>
                  <w:vAlign w:val="center"/>
                </w:tcPr>
                <w:p w14:paraId="1654C15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无缝钢瓶检测线</w:t>
                  </w:r>
                </w:p>
              </w:tc>
              <w:tc>
                <w:tcPr>
                  <w:tcW w:w="395" w:type="pct"/>
                  <w:shd w:val="clear" w:color="auto" w:fill="auto"/>
                  <w:vAlign w:val="center"/>
                </w:tcPr>
                <w:p w14:paraId="0F9FBDA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1110" w:type="pct"/>
                  <w:vAlign w:val="center"/>
                </w:tcPr>
                <w:p w14:paraId="666EADB8">
                  <w:pPr>
                    <w:pStyle w:val="40"/>
                    <w:bidi w:val="0"/>
                    <w:jc w:val="center"/>
                    <w:rPr>
                      <w:rFonts w:hint="default" w:ascii="Times New Roman" w:hAnsi="Times New Roman" w:cs="Times New Roman"/>
                      <w:lang w:val="en-US" w:eastAsia="zh-CN"/>
                    </w:rPr>
                  </w:pPr>
                  <w:r>
                    <w:rPr>
                      <w:rFonts w:hint="default" w:ascii="Times New Roman" w:hAnsi="Times New Roman" w:cs="Times New Roman"/>
                    </w:rPr>
                    <w:t>氮气置换装置</w:t>
                  </w:r>
                </w:p>
              </w:tc>
              <w:tc>
                <w:tcPr>
                  <w:tcW w:w="906" w:type="pct"/>
                  <w:vAlign w:val="center"/>
                </w:tcPr>
                <w:p w14:paraId="4711AA8C">
                  <w:pPr>
                    <w:pStyle w:val="40"/>
                    <w:bidi w:val="0"/>
                    <w:jc w:val="center"/>
                    <w:rPr>
                      <w:rFonts w:hint="default" w:ascii="Times New Roman" w:hAnsi="Times New Roman" w:cs="Times New Roman"/>
                      <w:lang w:val="en-US" w:eastAsia="zh-CN"/>
                    </w:rPr>
                  </w:pPr>
                  <w:r>
                    <w:rPr>
                      <w:rFonts w:hint="default" w:ascii="Times New Roman" w:hAnsi="Times New Roman" w:cs="Times New Roman"/>
                    </w:rPr>
                    <w:t>TDZ-1</w:t>
                  </w:r>
                </w:p>
              </w:tc>
              <w:tc>
                <w:tcPr>
                  <w:tcW w:w="525" w:type="pct"/>
                  <w:vAlign w:val="center"/>
                </w:tcPr>
                <w:p w14:paraId="0F2402F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6FB136F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3824A1F7">
                  <w:pPr>
                    <w:pStyle w:val="40"/>
                    <w:bidi w:val="0"/>
                    <w:jc w:val="center"/>
                    <w:rPr>
                      <w:rFonts w:hint="default" w:ascii="Times New Roman" w:hAnsi="Times New Roman" w:cs="Times New Roman"/>
                      <w:lang w:val="en-US" w:eastAsia="zh-CN"/>
                    </w:rPr>
                  </w:pPr>
                </w:p>
              </w:tc>
            </w:tr>
            <w:tr w14:paraId="1CAED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7FAC9D6B">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5873352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w:t>
                  </w:r>
                </w:p>
              </w:tc>
              <w:tc>
                <w:tcPr>
                  <w:tcW w:w="1110" w:type="pct"/>
                  <w:vAlign w:val="center"/>
                </w:tcPr>
                <w:p w14:paraId="7C9D7FF9">
                  <w:pPr>
                    <w:pStyle w:val="40"/>
                    <w:bidi w:val="0"/>
                    <w:jc w:val="center"/>
                    <w:rPr>
                      <w:rFonts w:hint="default" w:ascii="Times New Roman" w:hAnsi="Times New Roman" w:cs="Times New Roman"/>
                      <w:lang w:val="en-US" w:eastAsia="zh-CN"/>
                    </w:rPr>
                  </w:pPr>
                  <w:r>
                    <w:rPr>
                      <w:rFonts w:hint="default" w:ascii="Times New Roman" w:hAnsi="Times New Roman" w:cs="Times New Roman"/>
                    </w:rPr>
                    <w:t>无缝气瓶瓶阀装卸机</w:t>
                  </w:r>
                </w:p>
              </w:tc>
              <w:tc>
                <w:tcPr>
                  <w:tcW w:w="906" w:type="pct"/>
                  <w:vAlign w:val="center"/>
                </w:tcPr>
                <w:p w14:paraId="7BEEB65D">
                  <w:pPr>
                    <w:pStyle w:val="40"/>
                    <w:bidi w:val="0"/>
                    <w:jc w:val="center"/>
                    <w:rPr>
                      <w:rFonts w:hint="default" w:ascii="Times New Roman" w:hAnsi="Times New Roman" w:cs="Times New Roman"/>
                      <w:lang w:val="en-US" w:eastAsia="zh-CN"/>
                    </w:rPr>
                  </w:pPr>
                  <w:r>
                    <w:rPr>
                      <w:rFonts w:hint="default" w:ascii="Times New Roman" w:hAnsi="Times New Roman" w:cs="Times New Roman"/>
                    </w:rPr>
                    <w:t>QFL-3</w:t>
                  </w:r>
                </w:p>
              </w:tc>
              <w:tc>
                <w:tcPr>
                  <w:tcW w:w="525" w:type="pct"/>
                  <w:vAlign w:val="center"/>
                </w:tcPr>
                <w:p w14:paraId="4C57C82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3FE5E37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4C77DAC4">
                  <w:pPr>
                    <w:pStyle w:val="40"/>
                    <w:bidi w:val="0"/>
                    <w:jc w:val="center"/>
                    <w:rPr>
                      <w:rFonts w:hint="default" w:ascii="Times New Roman" w:hAnsi="Times New Roman" w:cs="Times New Roman"/>
                      <w:lang w:val="en-US" w:eastAsia="zh-CN"/>
                    </w:rPr>
                  </w:pPr>
                </w:p>
              </w:tc>
            </w:tr>
            <w:tr w14:paraId="3C3B6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15" w:type="pct"/>
                  <w:vMerge w:val="continue"/>
                  <w:vAlign w:val="center"/>
                </w:tcPr>
                <w:p w14:paraId="67B09DC1">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50AA6A2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3</w:t>
                  </w:r>
                </w:p>
              </w:tc>
              <w:tc>
                <w:tcPr>
                  <w:tcW w:w="1110" w:type="pct"/>
                  <w:vAlign w:val="center"/>
                </w:tcPr>
                <w:p w14:paraId="24C8CAC9">
                  <w:pPr>
                    <w:pStyle w:val="40"/>
                    <w:bidi w:val="0"/>
                    <w:jc w:val="center"/>
                    <w:rPr>
                      <w:rFonts w:hint="default" w:ascii="Times New Roman" w:hAnsi="Times New Roman" w:cs="Times New Roman"/>
                      <w:lang w:val="en-US" w:eastAsia="zh-CN"/>
                    </w:rPr>
                  </w:pPr>
                  <w:r>
                    <w:rPr>
                      <w:rFonts w:hint="default" w:ascii="Times New Roman" w:hAnsi="Times New Roman" w:cs="Times New Roman"/>
                    </w:rPr>
                    <w:t>无缝气瓶瓶阀装卸机</w:t>
                  </w:r>
                </w:p>
              </w:tc>
              <w:tc>
                <w:tcPr>
                  <w:tcW w:w="906" w:type="pct"/>
                  <w:vAlign w:val="center"/>
                </w:tcPr>
                <w:p w14:paraId="1EE16273">
                  <w:pPr>
                    <w:pStyle w:val="40"/>
                    <w:bidi w:val="0"/>
                    <w:jc w:val="center"/>
                    <w:rPr>
                      <w:rFonts w:hint="default" w:ascii="Times New Roman" w:hAnsi="Times New Roman" w:cs="Times New Roman"/>
                      <w:lang w:val="en-US" w:eastAsia="zh-CN"/>
                    </w:rPr>
                  </w:pPr>
                  <w:r>
                    <w:rPr>
                      <w:rFonts w:hint="default" w:ascii="Times New Roman" w:hAnsi="Times New Roman" w:cs="Times New Roman"/>
                    </w:rPr>
                    <w:t>QFL-3</w:t>
                  </w:r>
                  <w:r>
                    <w:rPr>
                      <w:rFonts w:hint="default" w:ascii="Times New Roman" w:hAnsi="Times New Roman" w:cs="Times New Roman"/>
                      <w:lang w:val="en-US" w:eastAsia="zh-CN"/>
                    </w:rPr>
                    <w:t>S</w:t>
                  </w:r>
                </w:p>
              </w:tc>
              <w:tc>
                <w:tcPr>
                  <w:tcW w:w="525" w:type="pct"/>
                  <w:vAlign w:val="center"/>
                </w:tcPr>
                <w:p w14:paraId="4DDDB83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480069E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0687A00C">
                  <w:pPr>
                    <w:pStyle w:val="40"/>
                    <w:bidi w:val="0"/>
                    <w:jc w:val="center"/>
                    <w:rPr>
                      <w:rFonts w:hint="default" w:ascii="Times New Roman" w:hAnsi="Times New Roman" w:cs="Times New Roman"/>
                      <w:lang w:val="en-US" w:eastAsia="zh-CN"/>
                    </w:rPr>
                  </w:pPr>
                </w:p>
              </w:tc>
            </w:tr>
            <w:tr w14:paraId="5E458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65DE47EE">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2DC80C2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4</w:t>
                  </w:r>
                </w:p>
              </w:tc>
              <w:tc>
                <w:tcPr>
                  <w:tcW w:w="1110" w:type="pct"/>
                  <w:vAlign w:val="center"/>
                </w:tcPr>
                <w:p w14:paraId="5D23BD1A">
                  <w:pPr>
                    <w:pStyle w:val="40"/>
                    <w:bidi w:val="0"/>
                    <w:jc w:val="center"/>
                    <w:rPr>
                      <w:rFonts w:hint="default" w:ascii="Times New Roman" w:hAnsi="Times New Roman" w:cs="Times New Roman"/>
                      <w:lang w:val="en-US" w:eastAsia="zh-CN"/>
                    </w:rPr>
                  </w:pPr>
                  <w:r>
                    <w:rPr>
                      <w:rFonts w:hint="default" w:ascii="Times New Roman" w:hAnsi="Times New Roman" w:cs="Times New Roman"/>
                    </w:rPr>
                    <w:t>气瓶胶圈装卸机</w:t>
                  </w:r>
                </w:p>
              </w:tc>
              <w:tc>
                <w:tcPr>
                  <w:tcW w:w="906" w:type="pct"/>
                  <w:vAlign w:val="center"/>
                </w:tcPr>
                <w:p w14:paraId="51FBAB59">
                  <w:pPr>
                    <w:pStyle w:val="40"/>
                    <w:bidi w:val="0"/>
                    <w:jc w:val="center"/>
                    <w:rPr>
                      <w:rFonts w:hint="default" w:ascii="Times New Roman" w:hAnsi="Times New Roman" w:cs="Times New Roman"/>
                      <w:lang w:val="en-US" w:eastAsia="zh-CN"/>
                    </w:rPr>
                  </w:pPr>
                  <w:r>
                    <w:rPr>
                      <w:rFonts w:hint="default" w:ascii="Times New Roman" w:hAnsi="Times New Roman" w:cs="Times New Roman"/>
                    </w:rPr>
                    <w:t>QJ-1</w:t>
                  </w:r>
                </w:p>
              </w:tc>
              <w:tc>
                <w:tcPr>
                  <w:tcW w:w="525" w:type="pct"/>
                  <w:vAlign w:val="center"/>
                </w:tcPr>
                <w:p w14:paraId="6D8AD7A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台</w:t>
                  </w:r>
                </w:p>
              </w:tc>
              <w:tc>
                <w:tcPr>
                  <w:tcW w:w="487" w:type="pct"/>
                  <w:vAlign w:val="center"/>
                </w:tcPr>
                <w:p w14:paraId="58A29CC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w:t>
                  </w:r>
                </w:p>
              </w:tc>
              <w:tc>
                <w:tcPr>
                  <w:tcW w:w="959" w:type="pct"/>
                  <w:vAlign w:val="center"/>
                </w:tcPr>
                <w:p w14:paraId="37D9442B">
                  <w:pPr>
                    <w:pStyle w:val="40"/>
                    <w:bidi w:val="0"/>
                    <w:jc w:val="center"/>
                    <w:rPr>
                      <w:rFonts w:hint="default" w:ascii="Times New Roman" w:hAnsi="Times New Roman" w:cs="Times New Roman"/>
                      <w:lang w:val="en-US" w:eastAsia="zh-CN"/>
                    </w:rPr>
                  </w:pPr>
                </w:p>
              </w:tc>
            </w:tr>
            <w:tr w14:paraId="10348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0F1135B5">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2383E9B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5</w:t>
                  </w:r>
                </w:p>
              </w:tc>
              <w:tc>
                <w:tcPr>
                  <w:tcW w:w="1110" w:type="pct"/>
                  <w:shd w:val="clear" w:color="auto" w:fill="auto"/>
                  <w:vAlign w:val="center"/>
                </w:tcPr>
                <w:p w14:paraId="6B74A01B">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气瓶内部清洗</w:t>
                  </w:r>
                  <w:r>
                    <w:rPr>
                      <w:rFonts w:hint="default" w:ascii="Times New Roman" w:hAnsi="Times New Roman" w:cs="Times New Roman"/>
                      <w:lang w:val="en-US" w:eastAsia="zh-CN"/>
                    </w:rPr>
                    <w:t>倒水</w:t>
                  </w:r>
                  <w:r>
                    <w:rPr>
                      <w:rFonts w:hint="default" w:ascii="Times New Roman" w:hAnsi="Times New Roman" w:cs="Times New Roman"/>
                    </w:rPr>
                    <w:t>机</w:t>
                  </w:r>
                </w:p>
              </w:tc>
              <w:tc>
                <w:tcPr>
                  <w:tcW w:w="906" w:type="pct"/>
                  <w:shd w:val="clear" w:color="auto" w:fill="auto"/>
                  <w:vAlign w:val="center"/>
                </w:tcPr>
                <w:p w14:paraId="44F20F0C">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GF-2</w:t>
                  </w:r>
                </w:p>
              </w:tc>
              <w:tc>
                <w:tcPr>
                  <w:tcW w:w="525" w:type="pct"/>
                  <w:shd w:val="clear" w:color="auto" w:fill="auto"/>
                  <w:vAlign w:val="center"/>
                </w:tcPr>
                <w:p w14:paraId="025BAB1D">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台</w:t>
                  </w:r>
                </w:p>
              </w:tc>
              <w:tc>
                <w:tcPr>
                  <w:tcW w:w="487" w:type="pct"/>
                  <w:shd w:val="clear" w:color="auto" w:fill="auto"/>
                  <w:vAlign w:val="center"/>
                </w:tcPr>
                <w:p w14:paraId="0580A57C">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7A913D8D">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7E320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0B5AE7CA">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2BB592E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6</w:t>
                  </w:r>
                </w:p>
              </w:tc>
              <w:tc>
                <w:tcPr>
                  <w:tcW w:w="1110" w:type="pct"/>
                  <w:shd w:val="clear" w:color="auto" w:fill="auto"/>
                  <w:vAlign w:val="center"/>
                </w:tcPr>
                <w:p w14:paraId="7ADC405B">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蒸汽发生器</w:t>
                  </w:r>
                </w:p>
              </w:tc>
              <w:tc>
                <w:tcPr>
                  <w:tcW w:w="906" w:type="pct"/>
                  <w:shd w:val="clear" w:color="auto" w:fill="auto"/>
                  <w:vAlign w:val="center"/>
                </w:tcPr>
                <w:p w14:paraId="04DD26CD">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LDR0.048-0.7</w:t>
                  </w:r>
                </w:p>
              </w:tc>
              <w:tc>
                <w:tcPr>
                  <w:tcW w:w="525" w:type="pct"/>
                  <w:shd w:val="clear" w:color="auto" w:fill="auto"/>
                  <w:vAlign w:val="center"/>
                </w:tcPr>
                <w:p w14:paraId="73A707A8">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台</w:t>
                  </w:r>
                </w:p>
              </w:tc>
              <w:tc>
                <w:tcPr>
                  <w:tcW w:w="487" w:type="pct"/>
                  <w:shd w:val="clear" w:color="auto" w:fill="auto"/>
                  <w:vAlign w:val="center"/>
                </w:tcPr>
                <w:p w14:paraId="33C33D4A">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1925229F">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02259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4497DA4F">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12F08B8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7</w:t>
                  </w:r>
                </w:p>
              </w:tc>
              <w:tc>
                <w:tcPr>
                  <w:tcW w:w="1110" w:type="pct"/>
                  <w:shd w:val="clear" w:color="auto" w:fill="auto"/>
                  <w:vAlign w:val="center"/>
                </w:tcPr>
                <w:p w14:paraId="0A6BF0C5">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便携式超声波测厚仪</w:t>
                  </w:r>
                </w:p>
              </w:tc>
              <w:tc>
                <w:tcPr>
                  <w:tcW w:w="906" w:type="pct"/>
                  <w:shd w:val="clear" w:color="auto" w:fill="auto"/>
                  <w:vAlign w:val="center"/>
                </w:tcPr>
                <w:p w14:paraId="0139000A">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FY3020</w:t>
                  </w:r>
                </w:p>
              </w:tc>
              <w:tc>
                <w:tcPr>
                  <w:tcW w:w="525" w:type="pct"/>
                  <w:shd w:val="clear" w:color="auto" w:fill="auto"/>
                  <w:vAlign w:val="center"/>
                </w:tcPr>
                <w:p w14:paraId="22EA5D76">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台</w:t>
                  </w:r>
                </w:p>
              </w:tc>
              <w:tc>
                <w:tcPr>
                  <w:tcW w:w="487" w:type="pct"/>
                  <w:shd w:val="clear" w:color="auto" w:fill="auto"/>
                  <w:vAlign w:val="center"/>
                </w:tcPr>
                <w:p w14:paraId="19CDA93F">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3F45B80F">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65B8E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72BC62DE">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7D52D14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8</w:t>
                  </w:r>
                </w:p>
              </w:tc>
              <w:tc>
                <w:tcPr>
                  <w:tcW w:w="1110" w:type="pct"/>
                  <w:shd w:val="clear" w:color="auto" w:fill="auto"/>
                  <w:vAlign w:val="center"/>
                </w:tcPr>
                <w:p w14:paraId="12EC58C4">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内窥镜</w:t>
                  </w:r>
                </w:p>
              </w:tc>
              <w:tc>
                <w:tcPr>
                  <w:tcW w:w="906" w:type="pct"/>
                  <w:shd w:val="clear" w:color="auto" w:fill="auto"/>
                  <w:vAlign w:val="center"/>
                </w:tcPr>
                <w:p w14:paraId="3F0D71F1">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GDY-1</w:t>
                  </w:r>
                </w:p>
              </w:tc>
              <w:tc>
                <w:tcPr>
                  <w:tcW w:w="525" w:type="pct"/>
                  <w:shd w:val="clear" w:color="auto" w:fill="auto"/>
                  <w:vAlign w:val="center"/>
                </w:tcPr>
                <w:p w14:paraId="02928E60">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套</w:t>
                  </w:r>
                </w:p>
              </w:tc>
              <w:tc>
                <w:tcPr>
                  <w:tcW w:w="487" w:type="pct"/>
                  <w:shd w:val="clear" w:color="auto" w:fill="auto"/>
                  <w:vAlign w:val="center"/>
                </w:tcPr>
                <w:p w14:paraId="44BC5067">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367503B5">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7A454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24EC5805">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2ACC606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9</w:t>
                  </w:r>
                </w:p>
              </w:tc>
              <w:tc>
                <w:tcPr>
                  <w:tcW w:w="1110" w:type="pct"/>
                  <w:shd w:val="clear" w:color="auto" w:fill="auto"/>
                  <w:vAlign w:val="center"/>
                </w:tcPr>
                <w:p w14:paraId="33513618">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螺纹量规及检验小工具量具</w:t>
                  </w:r>
                </w:p>
              </w:tc>
              <w:tc>
                <w:tcPr>
                  <w:tcW w:w="906" w:type="pct"/>
                  <w:shd w:val="clear" w:color="auto" w:fill="auto"/>
                  <w:vAlign w:val="center"/>
                </w:tcPr>
                <w:p w14:paraId="76D3B1CE">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w:t>
                  </w:r>
                </w:p>
              </w:tc>
              <w:tc>
                <w:tcPr>
                  <w:tcW w:w="525" w:type="pct"/>
                  <w:shd w:val="clear" w:color="auto" w:fill="auto"/>
                  <w:vAlign w:val="center"/>
                </w:tcPr>
                <w:p w14:paraId="1D1970BB">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套</w:t>
                  </w:r>
                </w:p>
              </w:tc>
              <w:tc>
                <w:tcPr>
                  <w:tcW w:w="487" w:type="pct"/>
                  <w:shd w:val="clear" w:color="auto" w:fill="auto"/>
                  <w:vAlign w:val="center"/>
                </w:tcPr>
                <w:p w14:paraId="43F416F7">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1B0AAD61">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4B4EA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5ADD84D3">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4241C73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10</w:t>
                  </w:r>
                </w:p>
              </w:tc>
              <w:tc>
                <w:tcPr>
                  <w:tcW w:w="1110" w:type="pct"/>
                  <w:shd w:val="clear" w:color="auto" w:fill="auto"/>
                  <w:vAlign w:val="center"/>
                </w:tcPr>
                <w:p w14:paraId="6EF694D6">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外测法水压试验机</w:t>
                  </w:r>
                </w:p>
              </w:tc>
              <w:tc>
                <w:tcPr>
                  <w:tcW w:w="906" w:type="pct"/>
                  <w:shd w:val="clear" w:color="auto" w:fill="auto"/>
                  <w:vAlign w:val="center"/>
                </w:tcPr>
                <w:p w14:paraId="58B2F948">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QSW-2A</w:t>
                  </w:r>
                </w:p>
              </w:tc>
              <w:tc>
                <w:tcPr>
                  <w:tcW w:w="525" w:type="pct"/>
                  <w:shd w:val="clear" w:color="auto" w:fill="auto"/>
                  <w:vAlign w:val="center"/>
                </w:tcPr>
                <w:p w14:paraId="7D4EC806">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套</w:t>
                  </w:r>
                </w:p>
              </w:tc>
              <w:tc>
                <w:tcPr>
                  <w:tcW w:w="487" w:type="pct"/>
                  <w:shd w:val="clear" w:color="auto" w:fill="auto"/>
                  <w:vAlign w:val="center"/>
                </w:tcPr>
                <w:p w14:paraId="7C09301D">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5E557F54">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087C4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4E309596">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45DB688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11</w:t>
                  </w:r>
                </w:p>
              </w:tc>
              <w:tc>
                <w:tcPr>
                  <w:tcW w:w="1110" w:type="pct"/>
                  <w:shd w:val="clear" w:color="auto" w:fill="auto"/>
                  <w:vAlign w:val="center"/>
                </w:tcPr>
                <w:p w14:paraId="0DE9FFE0">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快插式灌水</w:t>
                  </w:r>
                </w:p>
              </w:tc>
              <w:tc>
                <w:tcPr>
                  <w:tcW w:w="906" w:type="pct"/>
                  <w:shd w:val="clear" w:color="auto" w:fill="auto"/>
                  <w:vAlign w:val="center"/>
                </w:tcPr>
                <w:p w14:paraId="446131FF">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w:t>
                  </w:r>
                </w:p>
              </w:tc>
              <w:tc>
                <w:tcPr>
                  <w:tcW w:w="525" w:type="pct"/>
                  <w:shd w:val="clear" w:color="auto" w:fill="auto"/>
                  <w:vAlign w:val="center"/>
                </w:tcPr>
                <w:p w14:paraId="6B7F6A22">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套</w:t>
                  </w:r>
                </w:p>
              </w:tc>
              <w:tc>
                <w:tcPr>
                  <w:tcW w:w="487" w:type="pct"/>
                  <w:shd w:val="clear" w:color="auto" w:fill="auto"/>
                  <w:vAlign w:val="center"/>
                </w:tcPr>
                <w:p w14:paraId="2AB3B92E">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053EBFE0">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58CCB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3E4C109E">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359477D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12</w:t>
                  </w:r>
                </w:p>
              </w:tc>
              <w:tc>
                <w:tcPr>
                  <w:tcW w:w="1110" w:type="pct"/>
                  <w:shd w:val="clear" w:color="auto" w:fill="auto"/>
                  <w:vAlign w:val="center"/>
                </w:tcPr>
                <w:p w14:paraId="518F5D9E">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标准瓶</w:t>
                  </w:r>
                </w:p>
              </w:tc>
              <w:tc>
                <w:tcPr>
                  <w:tcW w:w="906" w:type="pct"/>
                  <w:shd w:val="clear" w:color="auto" w:fill="auto"/>
                  <w:vAlign w:val="center"/>
                </w:tcPr>
                <w:p w14:paraId="4A475D83">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40L</w:t>
                  </w:r>
                </w:p>
              </w:tc>
              <w:tc>
                <w:tcPr>
                  <w:tcW w:w="525" w:type="pct"/>
                  <w:shd w:val="clear" w:color="auto" w:fill="auto"/>
                  <w:vAlign w:val="center"/>
                </w:tcPr>
                <w:p w14:paraId="0179401A">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只</w:t>
                  </w:r>
                </w:p>
              </w:tc>
              <w:tc>
                <w:tcPr>
                  <w:tcW w:w="487" w:type="pct"/>
                  <w:shd w:val="clear" w:color="auto" w:fill="auto"/>
                  <w:vAlign w:val="center"/>
                </w:tcPr>
                <w:p w14:paraId="68178966">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6B06C64A">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7E5AD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39526A60">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7FA5FE0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13</w:t>
                  </w:r>
                </w:p>
              </w:tc>
              <w:tc>
                <w:tcPr>
                  <w:tcW w:w="1110" w:type="pct"/>
                  <w:shd w:val="clear" w:color="auto" w:fill="auto"/>
                  <w:vAlign w:val="center"/>
                </w:tcPr>
                <w:p w14:paraId="5DE0C93A">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气瓶内部真空干燥机</w:t>
                  </w:r>
                </w:p>
              </w:tc>
              <w:tc>
                <w:tcPr>
                  <w:tcW w:w="906" w:type="pct"/>
                  <w:shd w:val="clear" w:color="auto" w:fill="auto"/>
                  <w:vAlign w:val="center"/>
                </w:tcPr>
                <w:p w14:paraId="4576B068">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NGZ-1/</w:t>
                  </w:r>
                  <w:r>
                    <w:rPr>
                      <w:rFonts w:hint="default" w:ascii="Times New Roman" w:hAnsi="Times New Roman" w:cs="Times New Roman"/>
                      <w:lang w:val="en-US" w:eastAsia="zh-CN"/>
                    </w:rPr>
                    <w:t>4</w:t>
                  </w:r>
                </w:p>
              </w:tc>
              <w:tc>
                <w:tcPr>
                  <w:tcW w:w="525" w:type="pct"/>
                  <w:shd w:val="clear" w:color="auto" w:fill="auto"/>
                  <w:vAlign w:val="center"/>
                </w:tcPr>
                <w:p w14:paraId="1A3D8AA4">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台</w:t>
                  </w:r>
                </w:p>
              </w:tc>
              <w:tc>
                <w:tcPr>
                  <w:tcW w:w="487" w:type="pct"/>
                  <w:shd w:val="clear" w:color="auto" w:fill="auto"/>
                  <w:vAlign w:val="center"/>
                </w:tcPr>
                <w:p w14:paraId="7CD005A5">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0AA921D2">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6902D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753E119D">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7768418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14</w:t>
                  </w:r>
                </w:p>
              </w:tc>
              <w:tc>
                <w:tcPr>
                  <w:tcW w:w="1110" w:type="pct"/>
                  <w:shd w:val="clear" w:color="auto" w:fill="auto"/>
                  <w:vAlign w:val="center"/>
                </w:tcPr>
                <w:p w14:paraId="0715314E">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瓶阀效验台</w:t>
                  </w:r>
                </w:p>
              </w:tc>
              <w:tc>
                <w:tcPr>
                  <w:tcW w:w="906" w:type="pct"/>
                  <w:shd w:val="clear" w:color="auto" w:fill="auto"/>
                  <w:vAlign w:val="center"/>
                </w:tcPr>
                <w:p w14:paraId="5AA4210C">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Y</w:t>
                  </w:r>
                  <w:r>
                    <w:rPr>
                      <w:rFonts w:hint="default" w:ascii="Times New Roman" w:hAnsi="Times New Roman" w:cs="Times New Roman"/>
                    </w:rPr>
                    <w:t>F150-1</w:t>
                  </w:r>
                </w:p>
              </w:tc>
              <w:tc>
                <w:tcPr>
                  <w:tcW w:w="525" w:type="pct"/>
                  <w:shd w:val="clear" w:color="auto" w:fill="auto"/>
                  <w:vAlign w:val="center"/>
                </w:tcPr>
                <w:p w14:paraId="63E31950">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台</w:t>
                  </w:r>
                </w:p>
              </w:tc>
              <w:tc>
                <w:tcPr>
                  <w:tcW w:w="487" w:type="pct"/>
                  <w:shd w:val="clear" w:color="auto" w:fill="auto"/>
                  <w:vAlign w:val="center"/>
                </w:tcPr>
                <w:p w14:paraId="6A2078CD">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1327F485">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4387B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306BC35D">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7BB9C89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15</w:t>
                  </w:r>
                </w:p>
              </w:tc>
              <w:tc>
                <w:tcPr>
                  <w:tcW w:w="1110" w:type="pct"/>
                  <w:shd w:val="clear" w:color="auto" w:fill="auto"/>
                  <w:vAlign w:val="center"/>
                </w:tcPr>
                <w:p w14:paraId="74B76B0B">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手持式电脑打码机</w:t>
                  </w:r>
                </w:p>
              </w:tc>
              <w:tc>
                <w:tcPr>
                  <w:tcW w:w="906" w:type="pct"/>
                  <w:shd w:val="clear" w:color="auto" w:fill="auto"/>
                  <w:vAlign w:val="center"/>
                </w:tcPr>
                <w:p w14:paraId="0FB984CC">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JC-100HQ</w:t>
                  </w:r>
                </w:p>
              </w:tc>
              <w:tc>
                <w:tcPr>
                  <w:tcW w:w="525" w:type="pct"/>
                  <w:shd w:val="clear" w:color="auto" w:fill="auto"/>
                  <w:vAlign w:val="center"/>
                </w:tcPr>
                <w:p w14:paraId="21841B40">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台</w:t>
                  </w:r>
                </w:p>
              </w:tc>
              <w:tc>
                <w:tcPr>
                  <w:tcW w:w="487" w:type="pct"/>
                  <w:shd w:val="clear" w:color="auto" w:fill="auto"/>
                  <w:vAlign w:val="center"/>
                </w:tcPr>
                <w:p w14:paraId="0D3C64E5">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65D1B0DC">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r w14:paraId="687B1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5" w:type="pct"/>
                  <w:vMerge w:val="continue"/>
                  <w:vAlign w:val="center"/>
                </w:tcPr>
                <w:p w14:paraId="46183767">
                  <w:pPr>
                    <w:pStyle w:val="40"/>
                    <w:bidi w:val="0"/>
                    <w:jc w:val="center"/>
                    <w:rPr>
                      <w:rFonts w:hint="default" w:ascii="Times New Roman" w:hAnsi="Times New Roman" w:cs="Times New Roman"/>
                      <w:lang w:val="en-US" w:eastAsia="zh-CN"/>
                    </w:rPr>
                  </w:pPr>
                </w:p>
              </w:tc>
              <w:tc>
                <w:tcPr>
                  <w:tcW w:w="395" w:type="pct"/>
                  <w:shd w:val="clear" w:color="auto" w:fill="auto"/>
                  <w:vAlign w:val="center"/>
                </w:tcPr>
                <w:p w14:paraId="40C53D5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16</w:t>
                  </w:r>
                </w:p>
              </w:tc>
              <w:tc>
                <w:tcPr>
                  <w:tcW w:w="1110" w:type="pct"/>
                  <w:shd w:val="clear" w:color="auto" w:fill="auto"/>
                  <w:vAlign w:val="center"/>
                </w:tcPr>
                <w:p w14:paraId="45856DF7">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rPr>
                    <w:t>气体浓度报警仪</w:t>
                  </w:r>
                </w:p>
              </w:tc>
              <w:tc>
                <w:tcPr>
                  <w:tcW w:w="906" w:type="pct"/>
                  <w:shd w:val="clear" w:color="auto" w:fill="auto"/>
                  <w:vAlign w:val="center"/>
                </w:tcPr>
                <w:p w14:paraId="187484F1">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ESP210</w:t>
                  </w:r>
                </w:p>
              </w:tc>
              <w:tc>
                <w:tcPr>
                  <w:tcW w:w="525" w:type="pct"/>
                  <w:shd w:val="clear" w:color="auto" w:fill="auto"/>
                  <w:vAlign w:val="center"/>
                </w:tcPr>
                <w:p w14:paraId="6A64D378">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台</w:t>
                  </w:r>
                </w:p>
              </w:tc>
              <w:tc>
                <w:tcPr>
                  <w:tcW w:w="487" w:type="pct"/>
                  <w:shd w:val="clear" w:color="auto" w:fill="auto"/>
                  <w:vAlign w:val="center"/>
                </w:tcPr>
                <w:p w14:paraId="4988F7B5">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w:t>
                  </w:r>
                </w:p>
              </w:tc>
              <w:tc>
                <w:tcPr>
                  <w:tcW w:w="959" w:type="pct"/>
                  <w:shd w:val="clear" w:color="auto" w:fill="auto"/>
                  <w:vAlign w:val="center"/>
                </w:tcPr>
                <w:p w14:paraId="4B544A51">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r>
          </w:tbl>
          <w:p w14:paraId="798DBB3D">
            <w:pPr>
              <w:pStyle w:val="31"/>
              <w:rPr>
                <w:rFonts w:hint="default" w:ascii="Times New Roman" w:hAnsi="Times New Roman" w:cs="Times New Roman"/>
                <w:lang w:val="en-US" w:eastAsia="zh-CN"/>
              </w:rPr>
            </w:pPr>
          </w:p>
          <w:p w14:paraId="3C665BE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7、</w:t>
            </w:r>
            <w:r>
              <w:rPr>
                <w:rFonts w:hint="default" w:ascii="Times New Roman" w:hAnsi="Times New Roman" w:cs="Times New Roman"/>
                <w:b/>
                <w:color w:val="auto"/>
                <w:sz w:val="24"/>
                <w:szCs w:val="24"/>
              </w:rPr>
              <w:t>给排水</w:t>
            </w:r>
          </w:p>
          <w:p w14:paraId="470050A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7.1</w:t>
            </w:r>
            <w:r>
              <w:rPr>
                <w:rFonts w:hint="default" w:ascii="Times New Roman" w:hAnsi="Times New Roman" w:cs="Times New Roman"/>
                <w:b/>
                <w:bCs/>
                <w:color w:val="auto"/>
                <w:sz w:val="24"/>
                <w:szCs w:val="24"/>
              </w:rPr>
              <w:t>给水</w:t>
            </w:r>
          </w:p>
          <w:p w14:paraId="0B0ECC2F">
            <w:pPr>
              <w:pStyle w:val="58"/>
              <w:keepNext w:val="0"/>
              <w:keepLines w:val="0"/>
              <w:pageBreakBefore w:val="0"/>
              <w:widowControl w:val="0"/>
              <w:kinsoku/>
              <w:wordWrap/>
              <w:overflowPunct/>
              <w:topLinePunct w:val="0"/>
              <w:autoSpaceDE w:val="0"/>
              <w:autoSpaceDN w:val="0"/>
              <w:bidi w:val="0"/>
              <w:adjustRightInd/>
              <w:snapToGrid w:val="0"/>
              <w:spacing w:before="0" w:after="0" w:line="360" w:lineRule="auto"/>
              <w:ind w:left="0" w:right="0"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（1）生产用水</w:t>
            </w:r>
          </w:p>
          <w:p w14:paraId="42D51288">
            <w:pPr>
              <w:pStyle w:val="60"/>
              <w:keepNext w:val="0"/>
              <w:keepLines w:val="0"/>
              <w:pageBreakBefore w:val="0"/>
              <w:widowControl w:val="0"/>
              <w:kinsoku/>
              <w:wordWrap/>
              <w:overflowPunct/>
              <w:topLinePunct w:val="0"/>
              <w:bidi w:val="0"/>
              <w:adjustRightInd/>
              <w:spacing w:before="0" w:after="0" w:line="360" w:lineRule="auto"/>
              <w:ind w:right="0" w:firstLine="480" w:firstLineChars="200"/>
              <w:textAlignment w:val="auto"/>
              <w:rPr>
                <w:rFonts w:hint="default" w:ascii="Times New Roman" w:hAnsi="Times New Roman" w:cs="Times New Roman"/>
                <w:color w:val="0000FF"/>
                <w:sz w:val="24"/>
                <w:szCs w:val="24"/>
                <w:lang w:val="en-US" w:eastAsia="zh-CN"/>
              </w:rPr>
            </w:pP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0000FF"/>
                <w:sz w:val="24"/>
                <w:szCs w:val="24"/>
                <w:lang w:val="en-US" w:eastAsia="zh-CN"/>
              </w:rPr>
              <w:t>医用氧气瓶消毒剂配置用水</w:t>
            </w:r>
          </w:p>
          <w:p w14:paraId="02F0088D">
            <w:pPr>
              <w:pStyle w:val="60"/>
              <w:keepNext w:val="0"/>
              <w:keepLines w:val="0"/>
              <w:pageBreakBefore w:val="0"/>
              <w:widowControl w:val="0"/>
              <w:kinsoku/>
              <w:wordWrap/>
              <w:overflowPunct/>
              <w:topLinePunct w:val="0"/>
              <w:bidi w:val="0"/>
              <w:adjustRightInd/>
              <w:spacing w:before="0" w:after="0" w:line="360" w:lineRule="auto"/>
              <w:ind w:right="0" w:firstLine="480" w:firstLineChars="200"/>
              <w:textAlignment w:val="auto"/>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75%医用酒精采用95%乙醇原液配制，配置比为1L原液配制0.266L纯水，每只钢瓶</w:t>
            </w:r>
            <w:r>
              <w:rPr>
                <w:rFonts w:hint="eastAsia" w:ascii="Times New Roman" w:hAnsi="Times New Roman" w:cs="Times New Roman"/>
                <w:color w:val="0000FF"/>
                <w:sz w:val="24"/>
                <w:szCs w:val="24"/>
                <w:lang w:val="en-US" w:eastAsia="zh-CN"/>
              </w:rPr>
              <w:t>消毒</w:t>
            </w:r>
            <w:r>
              <w:rPr>
                <w:rFonts w:hint="default" w:ascii="Times New Roman" w:hAnsi="Times New Roman" w:cs="Times New Roman"/>
                <w:color w:val="0000FF"/>
                <w:sz w:val="24"/>
                <w:szCs w:val="24"/>
                <w:lang w:val="en-US" w:eastAsia="zh-CN"/>
              </w:rPr>
              <w:t>75%医用酒精用量为</w:t>
            </w:r>
            <w:r>
              <w:rPr>
                <w:rFonts w:hint="eastAsia" w:ascii="Times New Roman" w:hAnsi="Times New Roman" w:cs="Times New Roman"/>
                <w:color w:val="0000FF"/>
                <w:sz w:val="24"/>
                <w:szCs w:val="24"/>
                <w:lang w:val="en-US" w:eastAsia="zh-CN"/>
              </w:rPr>
              <w:t>1</w:t>
            </w:r>
            <w:r>
              <w:rPr>
                <w:rFonts w:hint="default" w:ascii="Times New Roman" w:hAnsi="Times New Roman" w:cs="Times New Roman"/>
                <w:color w:val="0000FF"/>
                <w:sz w:val="24"/>
                <w:szCs w:val="24"/>
                <w:lang w:val="en-US" w:eastAsia="zh-CN"/>
              </w:rPr>
              <w:t>mL，</w:t>
            </w:r>
            <w:r>
              <w:rPr>
                <w:rFonts w:hint="eastAsia" w:ascii="Times New Roman" w:hAnsi="Times New Roman" w:cs="Times New Roman"/>
                <w:color w:val="0000FF"/>
                <w:sz w:val="24"/>
                <w:szCs w:val="24"/>
                <w:lang w:val="en-US" w:eastAsia="zh-CN"/>
              </w:rPr>
              <w:t>每只钢瓶充装量平均按9kg计，年充装钢瓶量约为104.06万只，则</w:t>
            </w:r>
            <w:r>
              <w:rPr>
                <w:rFonts w:hint="default" w:ascii="Times New Roman" w:hAnsi="Times New Roman" w:cs="Times New Roman"/>
                <w:color w:val="0000FF"/>
                <w:sz w:val="24"/>
                <w:szCs w:val="24"/>
                <w:lang w:val="en-US" w:eastAsia="zh-CN"/>
              </w:rPr>
              <w:t>项目年使用75%医用酒精量为</w:t>
            </w:r>
            <w:r>
              <w:rPr>
                <w:rFonts w:hint="eastAsia" w:ascii="Times New Roman" w:hAnsi="Times New Roman" w:cs="Times New Roman"/>
                <w:color w:val="0000FF"/>
                <w:sz w:val="24"/>
                <w:szCs w:val="24"/>
                <w:lang w:val="en-US" w:eastAsia="zh-CN"/>
              </w:rPr>
              <w:t>1.04</w:t>
            </w:r>
            <w:r>
              <w:rPr>
                <w:rFonts w:hint="default" w:ascii="Times New Roman" w:hAnsi="Times New Roman" w:cs="Times New Roman"/>
                <w:color w:val="0000FF"/>
                <w:sz w:val="24"/>
                <w:szCs w:val="24"/>
                <w:lang w:val="en-US" w:eastAsia="zh-CN"/>
              </w:rPr>
              <w:t>m</w:t>
            </w:r>
            <w:r>
              <w:rPr>
                <w:rFonts w:hint="default" w:ascii="Times New Roman" w:hAnsi="Times New Roman" w:cs="Times New Roman"/>
                <w:color w:val="0000FF"/>
                <w:sz w:val="24"/>
                <w:szCs w:val="24"/>
                <w:vertAlign w:val="superscript"/>
                <w:lang w:val="en-US" w:eastAsia="zh-CN"/>
              </w:rPr>
              <w:t>3</w:t>
            </w:r>
            <w:r>
              <w:rPr>
                <w:rFonts w:hint="default" w:ascii="Times New Roman" w:hAnsi="Times New Roman" w:cs="Times New Roman"/>
                <w:color w:val="0000FF"/>
                <w:sz w:val="24"/>
                <w:szCs w:val="24"/>
                <w:lang w:val="en-US" w:eastAsia="zh-CN"/>
              </w:rPr>
              <w:t>/a，则稀释用水量为</w:t>
            </w:r>
            <w:r>
              <w:rPr>
                <w:rFonts w:hint="eastAsia" w:ascii="Times New Roman" w:hAnsi="Times New Roman" w:cs="Times New Roman"/>
                <w:color w:val="0000FF"/>
                <w:sz w:val="24"/>
                <w:szCs w:val="24"/>
                <w:lang w:val="en-US" w:eastAsia="zh-CN"/>
              </w:rPr>
              <w:t>0.66</w:t>
            </w:r>
            <w:r>
              <w:rPr>
                <w:rFonts w:hint="default" w:ascii="Times New Roman" w:hAnsi="Times New Roman" w:cs="Times New Roman"/>
                <w:color w:val="0000FF"/>
                <w:sz w:val="24"/>
                <w:szCs w:val="24"/>
                <w:lang w:val="en-US" w:eastAsia="zh-CN"/>
              </w:rPr>
              <w:t>L/d（</w:t>
            </w:r>
            <w:r>
              <w:rPr>
                <w:rFonts w:hint="eastAsia" w:ascii="Times New Roman" w:hAnsi="Times New Roman" w:cs="Times New Roman"/>
                <w:color w:val="0000FF"/>
                <w:sz w:val="24"/>
                <w:szCs w:val="24"/>
                <w:lang w:val="en-US" w:eastAsia="zh-CN"/>
              </w:rPr>
              <w:t>0.22</w:t>
            </w:r>
            <w:r>
              <w:rPr>
                <w:rFonts w:hint="default" w:ascii="Times New Roman" w:hAnsi="Times New Roman" w:cs="Times New Roman"/>
                <w:color w:val="0000FF"/>
                <w:sz w:val="24"/>
                <w:szCs w:val="24"/>
                <w:lang w:val="en-US" w:eastAsia="zh-CN"/>
              </w:rPr>
              <w:t>m</w:t>
            </w:r>
            <w:r>
              <w:rPr>
                <w:rFonts w:hint="default" w:ascii="Times New Roman" w:hAnsi="Times New Roman" w:cs="Times New Roman"/>
                <w:color w:val="0000FF"/>
                <w:sz w:val="24"/>
                <w:szCs w:val="24"/>
                <w:vertAlign w:val="superscript"/>
                <w:lang w:val="en-US" w:eastAsia="zh-CN"/>
              </w:rPr>
              <w:t>3</w:t>
            </w:r>
            <w:r>
              <w:rPr>
                <w:rFonts w:hint="default" w:ascii="Times New Roman" w:hAnsi="Times New Roman" w:cs="Times New Roman"/>
                <w:color w:val="0000FF"/>
                <w:sz w:val="24"/>
                <w:szCs w:val="24"/>
                <w:lang w:val="en-US" w:eastAsia="zh-CN"/>
              </w:rPr>
              <w:t>/a），稀释采用外购纯水；</w:t>
            </w:r>
          </w:p>
          <w:p w14:paraId="28C0E747">
            <w:pPr>
              <w:pStyle w:val="60"/>
              <w:keepNext w:val="0"/>
              <w:keepLines w:val="0"/>
              <w:pageBreakBefore w:val="0"/>
              <w:widowControl w:val="0"/>
              <w:kinsoku/>
              <w:wordWrap/>
              <w:overflowPunct/>
              <w:topLinePunct w:val="0"/>
              <w:bidi w:val="0"/>
              <w:adjustRightInd/>
              <w:spacing w:before="0" w:after="0" w:line="360" w:lineRule="auto"/>
              <w:ind w:right="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3）气瓶检验水压测试用水</w:t>
            </w:r>
          </w:p>
          <w:p w14:paraId="1A947CD3">
            <w:pPr>
              <w:pStyle w:val="58"/>
              <w:keepNext w:val="0"/>
              <w:keepLines w:val="0"/>
              <w:pageBreakBefore w:val="0"/>
              <w:widowControl w:val="0"/>
              <w:kinsoku/>
              <w:wordWrap/>
              <w:overflowPunct/>
              <w:topLinePunct w:val="0"/>
              <w:autoSpaceDE w:val="0"/>
              <w:autoSpaceDN w:val="0"/>
              <w:bidi w:val="0"/>
              <w:adjustRightInd/>
              <w:snapToGrid w:val="0"/>
              <w:spacing w:before="0" w:after="0" w:line="360" w:lineRule="auto"/>
              <w:ind w:left="0" w:right="0"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气瓶检验站水压测试工序需对钢瓶进行注水，测试水循环使用不外排，循环用水量为14m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/d，蒸发损失水量定期补充，补水量为0.14m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/d（42m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/a），补水采用市政供水。</w:t>
            </w:r>
          </w:p>
          <w:p w14:paraId="6BF259C0">
            <w:pPr>
              <w:pStyle w:val="60"/>
              <w:keepNext w:val="0"/>
              <w:keepLines w:val="0"/>
              <w:pageBreakBefore w:val="0"/>
              <w:widowControl w:val="0"/>
              <w:kinsoku/>
              <w:wordWrap/>
              <w:overflowPunct/>
              <w:topLinePunct w:val="0"/>
              <w:bidi w:val="0"/>
              <w:adjustRightInd/>
              <w:spacing w:before="0" w:after="0" w:line="360" w:lineRule="auto"/>
              <w:ind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4）喷淋塔用水</w:t>
            </w:r>
          </w:p>
          <w:p w14:paraId="02EA8340">
            <w:pPr>
              <w:pStyle w:val="58"/>
              <w:keepNext w:val="0"/>
              <w:keepLines w:val="0"/>
              <w:pageBreakBefore w:val="0"/>
              <w:widowControl w:val="0"/>
              <w:kinsoku/>
              <w:wordWrap/>
              <w:overflowPunct/>
              <w:topLinePunct w:val="0"/>
              <w:autoSpaceDE w:val="0"/>
              <w:autoSpaceDN w:val="0"/>
              <w:bidi w:val="0"/>
              <w:adjustRightInd/>
              <w:snapToGrid w:val="0"/>
              <w:spacing w:before="0" w:after="0" w:line="360" w:lineRule="auto"/>
              <w:ind w:left="0" w:right="0"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气瓶检验站焚烧</w:t>
            </w:r>
            <w:r>
              <w:rPr>
                <w:rFonts w:hint="eastAsia" w:ascii="Times New Roman" w:hAnsi="Times New Roman" w:cs="Times New Roman"/>
                <w:color w:val="auto"/>
                <w:sz w:val="24"/>
                <w:szCs w:val="24"/>
                <w:lang w:val="en-US" w:eastAsia="zh-CN"/>
              </w:rPr>
              <w:t>窑</w:t>
            </w:r>
            <w:r>
              <w:rPr>
                <w:rFonts w:hint="default" w:ascii="Times New Roman" w:hAnsi="Times New Roman" w:cs="Times New Roman"/>
                <w:color w:val="auto"/>
                <w:sz w:val="24"/>
                <w:szCs w:val="24"/>
                <w:lang w:val="en-US" w:eastAsia="zh-CN"/>
              </w:rPr>
              <w:t>废气采用水喷淋系统，喷淋用水循环使用不外排，循环用水量为300m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/d，蒸发损失水量定期补充，补水量为3m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/d（900m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w:t>
            </w:r>
          </w:p>
          <w:p w14:paraId="4A622081">
            <w:pPr>
              <w:pStyle w:val="60"/>
              <w:keepNext w:val="0"/>
              <w:keepLines w:val="0"/>
              <w:pageBreakBefore w:val="0"/>
              <w:widowControl w:val="0"/>
              <w:kinsoku/>
              <w:wordWrap/>
              <w:overflowPunct/>
              <w:topLinePunct w:val="0"/>
              <w:bidi w:val="0"/>
              <w:adjustRightInd/>
              <w:spacing w:before="0" w:after="0" w:line="360" w:lineRule="auto"/>
              <w:ind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5）蒸汽发生器用水</w:t>
            </w:r>
          </w:p>
          <w:p w14:paraId="2994B415">
            <w:pPr>
              <w:pStyle w:val="60"/>
              <w:keepNext w:val="0"/>
              <w:keepLines w:val="0"/>
              <w:pageBreakBefore w:val="0"/>
              <w:widowControl w:val="0"/>
              <w:kinsoku/>
              <w:wordWrap/>
              <w:overflowPunct/>
              <w:topLinePunct w:val="0"/>
              <w:bidi w:val="0"/>
              <w:adjustRightInd/>
              <w:spacing w:before="0" w:after="0" w:line="360" w:lineRule="auto"/>
              <w:ind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蒸汽发生器用水为</w:t>
            </w:r>
            <w:r>
              <w:rPr>
                <w:rFonts w:hint="default" w:ascii="Times New Roman" w:hAnsi="Times New Roman" w:eastAsia="宋体" w:cs="Times New Roman"/>
                <w:snapToGrid w:val="0"/>
                <w:color w:val="auto"/>
                <w:kern w:val="0"/>
                <w:sz w:val="24"/>
                <w:szCs w:val="24"/>
                <w:lang w:val="en-US" w:eastAsia="zh-CN" w:bidi="ar-SA"/>
              </w:rPr>
              <w:t>0.1m</w:t>
            </w:r>
            <w:r>
              <w:rPr>
                <w:rFonts w:hint="default" w:ascii="Times New Roman" w:hAnsi="Times New Roman" w:eastAsia="宋体" w:cs="Times New Roman"/>
                <w:snapToGrid w:val="0"/>
                <w:color w:val="auto"/>
                <w:kern w:val="0"/>
                <w:sz w:val="24"/>
                <w:szCs w:val="24"/>
                <w:vertAlign w:val="super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/d（30m</w:t>
            </w:r>
            <w:r>
              <w:rPr>
                <w:rFonts w:hint="default" w:ascii="Times New Roman" w:hAnsi="Times New Roman" w:eastAsia="宋体" w:cs="Times New Roman"/>
                <w:snapToGrid w:val="0"/>
                <w:color w:val="auto"/>
                <w:kern w:val="0"/>
                <w:sz w:val="24"/>
                <w:szCs w:val="24"/>
                <w:vertAlign w:val="super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/a），</w:t>
            </w:r>
            <w:r>
              <w:rPr>
                <w:rFonts w:hint="default" w:ascii="Times New Roman" w:hAnsi="Times New Roman" w:cs="Times New Roman"/>
                <w:color w:val="auto"/>
                <w:sz w:val="24"/>
                <w:szCs w:val="24"/>
                <w:lang w:val="en-US" w:eastAsia="zh-CN"/>
              </w:rPr>
              <w:t>采用外购纯水，使用后全部损失。</w:t>
            </w:r>
          </w:p>
          <w:p w14:paraId="4894DD7E">
            <w:pPr>
              <w:pStyle w:val="60"/>
              <w:keepNext w:val="0"/>
              <w:keepLines w:val="0"/>
              <w:pageBreakBefore w:val="0"/>
              <w:widowControl w:val="0"/>
              <w:kinsoku/>
              <w:wordWrap/>
              <w:overflowPunct/>
              <w:topLinePunct w:val="0"/>
              <w:bidi w:val="0"/>
              <w:adjustRightInd/>
              <w:spacing w:before="0" w:after="0" w:line="360" w:lineRule="auto"/>
              <w:ind w:righ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（2）生活用水</w:t>
            </w:r>
          </w:p>
          <w:p w14:paraId="0AA2EFA1">
            <w:pPr>
              <w:pStyle w:val="58"/>
              <w:keepNext w:val="0"/>
              <w:keepLines w:val="0"/>
              <w:pageBreakBefore w:val="0"/>
              <w:widowControl w:val="0"/>
              <w:numPr>
                <w:ilvl w:val="0"/>
                <w:numId w:val="0"/>
              </w:numPr>
              <w:kinsoku/>
              <w:wordWrap/>
              <w:overflowPunct/>
              <w:topLinePunct w:val="0"/>
              <w:autoSpaceDE w:val="0"/>
              <w:autoSpaceDN w:val="0"/>
              <w:bidi w:val="0"/>
              <w:adjustRightInd/>
              <w:snapToGrid w:val="0"/>
              <w:spacing w:before="0" w:after="0" w:line="360" w:lineRule="auto"/>
              <w:ind w:left="0" w:leftChars="0" w:right="0" w:firstLine="480" w:firstLineChars="200"/>
              <w:jc w:val="left"/>
              <w:textAlignment w:val="auto"/>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cs="Times New Roman"/>
                <w:b w:val="0"/>
                <w:bCs w:val="0"/>
                <w:color w:val="auto"/>
                <w:sz w:val="24"/>
                <w:lang w:val="en-US" w:eastAsia="zh-CN"/>
              </w:rPr>
              <w:t>本项目</w:t>
            </w:r>
            <w:r>
              <w:rPr>
                <w:rFonts w:hint="default" w:ascii="Times New Roman" w:hAnsi="Times New Roman" w:cs="Times New Roman"/>
                <w:sz w:val="24"/>
                <w:lang w:val="en-US" w:eastAsia="zh-CN"/>
              </w:rPr>
              <w:t>全厂定员30人，其中气体灌（充）装生产16人，</w:t>
            </w:r>
            <w:r>
              <w:rPr>
                <w:rFonts w:hint="default" w:ascii="Times New Roman" w:hAnsi="Times New Roman" w:cs="Times New Roman"/>
                <w:sz w:val="24"/>
                <w:szCs w:val="24"/>
                <w:lang w:val="en-US" w:eastAsia="zh-CN"/>
              </w:rPr>
              <w:t>全年工作330天；</w:t>
            </w:r>
            <w:r>
              <w:rPr>
                <w:rFonts w:hint="default" w:ascii="Times New Roman" w:hAnsi="Times New Roman" w:cs="Times New Roman"/>
                <w:sz w:val="24"/>
                <w:lang w:val="en-US" w:eastAsia="zh-CN"/>
              </w:rPr>
              <w:t>气瓶检验站14人，年工作300天。</w:t>
            </w:r>
            <w:r>
              <w:rPr>
                <w:rFonts w:hint="default" w:ascii="Times New Roman" w:hAnsi="Times New Roman" w:eastAsia="宋体" w:cs="Times New Roman"/>
                <w:snapToGrid w:val="0"/>
                <w:color w:val="auto"/>
                <w:kern w:val="0"/>
                <w:sz w:val="24"/>
                <w:szCs w:val="24"/>
                <w:lang w:val="en-US" w:eastAsia="zh-CN" w:bidi="ar-SA"/>
              </w:rPr>
              <w:t>根据内蒙古自治区地方标准《行业用水定额》（DB15/T385-2020），生活用水量按照每人每天1</w:t>
            </w:r>
            <w:r>
              <w:rPr>
                <w:rFonts w:hint="eastAsia" w:ascii="Times New Roman" w:hAnsi="Times New Roman" w:cs="Times New Roman"/>
                <w:snapToGrid w:val="0"/>
                <w:color w:val="auto"/>
                <w:kern w:val="0"/>
                <w:sz w:val="24"/>
                <w:szCs w:val="24"/>
                <w:lang w:val="en-US" w:eastAsia="zh-CN" w:bidi="ar-SA"/>
              </w:rPr>
              <w:t>2</w:t>
            </w:r>
            <w:r>
              <w:rPr>
                <w:rFonts w:hint="default" w:ascii="Times New Roman" w:hAnsi="Times New Roman" w:eastAsia="宋体" w:cs="Times New Roman"/>
                <w:snapToGrid w:val="0"/>
                <w:color w:val="auto"/>
                <w:kern w:val="0"/>
                <w:sz w:val="24"/>
                <w:szCs w:val="24"/>
                <w:lang w:val="en-US" w:eastAsia="zh-CN" w:bidi="ar-SA"/>
              </w:rPr>
              <w:t>0L计算，用水量为3.</w:t>
            </w:r>
            <w:r>
              <w:rPr>
                <w:rFonts w:hint="eastAsia" w:ascii="Times New Roman" w:hAnsi="Times New Roman" w:cs="Times New Roman"/>
                <w:snapToGrid w:val="0"/>
                <w:color w:val="auto"/>
                <w:kern w:val="0"/>
                <w:sz w:val="24"/>
                <w:szCs w:val="24"/>
                <w:lang w:val="en-US" w:eastAsia="zh-CN" w:bidi="ar-SA"/>
              </w:rPr>
              <w:t>6</w:t>
            </w:r>
            <w:r>
              <w:rPr>
                <w:rFonts w:hint="default" w:ascii="Times New Roman" w:hAnsi="Times New Roman" w:eastAsia="宋体" w:cs="Times New Roman"/>
                <w:snapToGrid w:val="0"/>
                <w:color w:val="auto"/>
                <w:kern w:val="0"/>
                <w:sz w:val="24"/>
                <w:szCs w:val="24"/>
                <w:lang w:val="en-US" w:eastAsia="zh-CN" w:bidi="ar-SA"/>
              </w:rPr>
              <w:t>m</w:t>
            </w:r>
            <w:r>
              <w:rPr>
                <w:rFonts w:hint="default" w:ascii="Times New Roman" w:hAnsi="Times New Roman" w:eastAsia="宋体" w:cs="Times New Roman"/>
                <w:snapToGrid w:val="0"/>
                <w:color w:val="auto"/>
                <w:kern w:val="0"/>
                <w:sz w:val="24"/>
                <w:szCs w:val="24"/>
                <w:vertAlign w:val="super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/d（</w:t>
            </w:r>
            <w:r>
              <w:rPr>
                <w:rFonts w:hint="eastAsia" w:ascii="Times New Roman" w:hAnsi="Times New Roman" w:cs="Times New Roman"/>
                <w:snapToGrid w:val="0"/>
                <w:color w:val="auto"/>
                <w:kern w:val="0"/>
                <w:sz w:val="24"/>
                <w:szCs w:val="24"/>
                <w:lang w:val="en-US" w:eastAsia="zh-CN" w:bidi="ar-SA"/>
              </w:rPr>
              <w:t>1137.6</w:t>
            </w:r>
            <w:r>
              <w:rPr>
                <w:rFonts w:hint="default" w:ascii="Times New Roman" w:hAnsi="Times New Roman" w:eastAsia="宋体" w:cs="Times New Roman"/>
                <w:snapToGrid w:val="0"/>
                <w:color w:val="auto"/>
                <w:kern w:val="0"/>
                <w:sz w:val="24"/>
                <w:szCs w:val="24"/>
                <w:lang w:val="en-US" w:eastAsia="zh-CN" w:bidi="ar-SA"/>
              </w:rPr>
              <w:t>m</w:t>
            </w:r>
            <w:r>
              <w:rPr>
                <w:rFonts w:hint="default" w:ascii="Times New Roman" w:hAnsi="Times New Roman" w:eastAsia="宋体" w:cs="Times New Roman"/>
                <w:snapToGrid w:val="0"/>
                <w:color w:val="auto"/>
                <w:kern w:val="0"/>
                <w:sz w:val="24"/>
                <w:szCs w:val="24"/>
                <w:vertAlign w:val="superscript"/>
                <w:lang w:val="en-US" w:eastAsia="zh-CN" w:bidi="ar-SA"/>
              </w:rPr>
              <w:t>3</w:t>
            </w:r>
            <w:r>
              <w:rPr>
                <w:rFonts w:hint="default" w:ascii="Times New Roman" w:hAnsi="Times New Roman" w:eastAsia="宋体" w:cs="Times New Roman"/>
                <w:snapToGrid w:val="0"/>
                <w:color w:val="auto"/>
                <w:kern w:val="0"/>
                <w:sz w:val="24"/>
                <w:szCs w:val="24"/>
                <w:lang w:val="en-US" w:eastAsia="zh-CN" w:bidi="ar-SA"/>
              </w:rPr>
              <w:t>/a），用水来源于园区生活用水管网。</w:t>
            </w:r>
          </w:p>
          <w:p w14:paraId="0ABBF4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7.2排水</w:t>
            </w:r>
          </w:p>
          <w:p w14:paraId="1BD83D06">
            <w:pPr>
              <w:pStyle w:val="58"/>
              <w:keepNext w:val="0"/>
              <w:keepLines w:val="0"/>
              <w:pageBreakBefore w:val="0"/>
              <w:widowControl w:val="0"/>
              <w:numPr>
                <w:ilvl w:val="0"/>
                <w:numId w:val="0"/>
              </w:numPr>
              <w:kinsoku/>
              <w:wordWrap/>
              <w:overflowPunct/>
              <w:topLinePunct w:val="0"/>
              <w:autoSpaceDE w:val="0"/>
              <w:autoSpaceDN w:val="0"/>
              <w:bidi w:val="0"/>
              <w:adjustRightInd/>
              <w:ind w:left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lang w:val="en-US" w:eastAsia="zh-CN"/>
              </w:rPr>
              <w:t>（1）</w:t>
            </w:r>
            <w:r>
              <w:rPr>
                <w:rFonts w:hint="default" w:ascii="Times New Roman" w:hAnsi="Times New Roman" w:eastAsia="宋体" w:cs="Times New Roman"/>
                <w:color w:val="auto"/>
                <w:highlight w:val="none"/>
                <w:lang w:val="en-US" w:eastAsia="zh-CN"/>
              </w:rPr>
              <w:t>生产废水</w:t>
            </w:r>
          </w:p>
          <w:p w14:paraId="5EED2F69">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1）气瓶检验水压测试废水</w:t>
            </w:r>
          </w:p>
          <w:p w14:paraId="5A1E1652">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气瓶检验站水压测试工序需对钢瓶进行注水，测试水循环使用不外排，损失水量定期补充。</w:t>
            </w:r>
          </w:p>
          <w:p w14:paraId="32C21B31">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lang w:val="en-US" w:eastAsia="zh-CN"/>
              </w:rPr>
              <w:t>）喷淋塔废水</w:t>
            </w:r>
          </w:p>
          <w:p w14:paraId="32944944">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气瓶检验站焚烧炉废气采用水喷淋系统，喷淋用水循环使用不外排，损失水量定期补充。</w:t>
            </w:r>
          </w:p>
          <w:p w14:paraId="6D61740B">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highlight w:val="none"/>
                <w:lang w:val="en-US" w:eastAsia="zh-CN"/>
              </w:rPr>
              <w:t>生活污水</w:t>
            </w:r>
          </w:p>
          <w:p w14:paraId="1A167FDB">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生活</w:t>
            </w:r>
            <w:r>
              <w:rPr>
                <w:rFonts w:hint="default" w:ascii="Times New Roman" w:hAnsi="Times New Roman" w:cs="Times New Roman"/>
                <w:color w:val="auto"/>
                <w:highlight w:val="none"/>
                <w:lang w:eastAsia="zh-CN"/>
              </w:rPr>
              <w:t>污</w:t>
            </w:r>
            <w:r>
              <w:rPr>
                <w:rFonts w:hint="default" w:ascii="Times New Roman" w:hAnsi="Times New Roman" w:cs="Times New Roman"/>
                <w:color w:val="auto"/>
                <w:highlight w:val="none"/>
              </w:rPr>
              <w:t>水按用水量的80%计，生活污水产生量为</w:t>
            </w:r>
            <w:r>
              <w:rPr>
                <w:rFonts w:hint="default" w:ascii="Times New Roman" w:hAnsi="Times New Roman" w:cs="Times New Roman"/>
                <w:color w:val="auto"/>
                <w:sz w:val="24"/>
                <w:szCs w:val="24"/>
                <w:highlight w:val="none"/>
                <w:vertAlign w:val="baseline"/>
                <w:lang w:val="en-US" w:eastAsia="zh-CN"/>
              </w:rPr>
              <w:t>2.</w:t>
            </w:r>
            <w:r>
              <w:rPr>
                <w:rFonts w:hint="eastAsia" w:ascii="Times New Roman" w:hAnsi="Times New Roman" w:cs="Times New Roman"/>
                <w:color w:val="auto"/>
                <w:sz w:val="24"/>
                <w:szCs w:val="24"/>
                <w:highlight w:val="none"/>
                <w:vertAlign w:val="baseline"/>
                <w:lang w:val="en-US" w:eastAsia="zh-CN"/>
              </w:rPr>
              <w:t>88</w:t>
            </w:r>
            <w:r>
              <w:rPr>
                <w:rFonts w:hint="default" w:ascii="Times New Roman" w:hAnsi="Times New Roman" w:eastAsia="宋体" w:cs="Times New Roman"/>
                <w:color w:val="auto"/>
                <w:sz w:val="24"/>
                <w:szCs w:val="24"/>
                <w:highlight w:val="none"/>
                <w:vertAlign w:val="baseli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vertAlign w:val="baseline"/>
                <w:lang w:val="en-US" w:eastAsia="zh-CN"/>
              </w:rPr>
              <w:t>/d（</w:t>
            </w:r>
            <w:r>
              <w:rPr>
                <w:rFonts w:hint="eastAsia" w:ascii="Times New Roman" w:hAnsi="Times New Roman" w:cs="Times New Roman"/>
                <w:color w:val="auto"/>
                <w:sz w:val="24"/>
                <w:szCs w:val="24"/>
                <w:highlight w:val="none"/>
                <w:vertAlign w:val="baseline"/>
                <w:lang w:val="en-US" w:eastAsia="zh-CN"/>
              </w:rPr>
              <w:t>910.08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eastAsia="宋体" w:cs="Times New Roman"/>
                <w:color w:val="auto"/>
                <w:sz w:val="24"/>
                <w:szCs w:val="24"/>
                <w:highlight w:val="none"/>
                <w:vertAlign w:val="baseline"/>
                <w:lang w:val="en-US" w:eastAsia="zh-CN"/>
              </w:rPr>
              <w:t>）</w:t>
            </w:r>
            <w:r>
              <w:rPr>
                <w:rFonts w:hint="default" w:ascii="Times New Roman" w:hAnsi="Times New Roman" w:cs="Times New Roman"/>
                <w:color w:val="auto"/>
                <w:highlight w:val="none"/>
              </w:rPr>
              <w:t>，生活</w:t>
            </w:r>
            <w:r>
              <w:rPr>
                <w:rFonts w:hint="default" w:ascii="Times New Roman" w:hAnsi="Times New Roman" w:cs="Times New Roman"/>
                <w:color w:val="auto"/>
                <w:highlight w:val="none"/>
                <w:lang w:eastAsia="zh-CN"/>
              </w:rPr>
              <w:t>污</w:t>
            </w:r>
            <w:r>
              <w:rPr>
                <w:rFonts w:hint="default" w:ascii="Times New Roman" w:hAnsi="Times New Roman" w:cs="Times New Roman"/>
                <w:color w:val="auto"/>
                <w:highlight w:val="none"/>
              </w:rPr>
              <w:t>水</w:t>
            </w:r>
            <w:r>
              <w:rPr>
                <w:rFonts w:hint="default" w:ascii="Times New Roman" w:hAnsi="Times New Roman" w:cs="Times New Roman"/>
                <w:color w:val="auto"/>
                <w:highlight w:val="none"/>
                <w:lang w:val="en-US" w:eastAsia="zh-CN"/>
              </w:rPr>
              <w:t>排至园区污水管网，最终进入九原水质净化厂</w:t>
            </w:r>
            <w:r>
              <w:rPr>
                <w:rFonts w:hint="default" w:ascii="Times New Roman" w:hAnsi="Times New Roman" w:cs="Times New Roman"/>
                <w:color w:val="auto"/>
                <w:highlight w:val="none"/>
              </w:rPr>
              <w:t>。</w:t>
            </w:r>
          </w:p>
          <w:p w14:paraId="6FB845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7.3水平衡</w:t>
            </w:r>
          </w:p>
          <w:p w14:paraId="672F8493">
            <w:pPr>
              <w:spacing w:line="360" w:lineRule="auto"/>
              <w:ind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本项目水平衡情况见表2</w:t>
            </w:r>
            <w:r>
              <w:rPr>
                <w:rFonts w:hint="default" w:ascii="Times New Roman" w:hAnsi="Times New Roman" w:cs="Times New Roman"/>
                <w:color w:val="auto"/>
                <w:sz w:val="24"/>
                <w:lang w:val="en-US" w:eastAsia="zh-CN"/>
              </w:rPr>
              <w:t>.7-1</w:t>
            </w:r>
            <w:r>
              <w:rPr>
                <w:rFonts w:hint="default" w:ascii="Times New Roman" w:hAnsi="Times New Roman" w:eastAsia="宋体" w:cs="Times New Roman"/>
                <w:color w:val="auto"/>
                <w:sz w:val="24"/>
                <w:lang w:val="en-US" w:eastAsia="zh-CN"/>
              </w:rPr>
              <w:t>，水平衡图见下图2</w:t>
            </w:r>
            <w:r>
              <w:rPr>
                <w:rFonts w:hint="default" w:ascii="Times New Roman" w:hAnsi="Times New Roman" w:cs="Times New Roman"/>
                <w:color w:val="auto"/>
                <w:sz w:val="24"/>
                <w:lang w:val="en-US" w:eastAsia="zh-CN"/>
              </w:rPr>
              <w:t>.7</w:t>
            </w:r>
            <w:r>
              <w:rPr>
                <w:rFonts w:hint="default" w:ascii="Times New Roman" w:hAnsi="Times New Roman" w:eastAsia="宋体" w:cs="Times New Roman"/>
                <w:color w:val="auto"/>
                <w:sz w:val="24"/>
                <w:lang w:val="en-US" w:eastAsia="zh-CN"/>
              </w:rPr>
              <w:t>-1。</w:t>
            </w:r>
          </w:p>
          <w:p w14:paraId="26C033FD">
            <w:pPr>
              <w:keepNext w:val="0"/>
              <w:keepLines w:val="0"/>
              <w:pageBreakBefore w:val="0"/>
              <w:widowControl w:val="0"/>
              <w:kinsoku/>
              <w:wordWrap/>
              <w:overflowPunct/>
              <w:topLinePunct w:val="0"/>
              <w:autoSpaceDE/>
              <w:autoSpaceDN/>
              <w:bidi w:val="0"/>
              <w:adjustRightInd/>
              <w:snapToGrid w:val="0"/>
              <w:spacing w:afterAutospacing="0" w:line="360" w:lineRule="auto"/>
              <w:ind w:left="0" w:leftChars="0" w:right="0" w:rightChars="0" w:firstLine="422" w:firstLineChars="20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p w14:paraId="0879668F">
            <w:pPr>
              <w:keepNext w:val="0"/>
              <w:keepLines w:val="0"/>
              <w:pageBreakBefore w:val="0"/>
              <w:widowControl w:val="0"/>
              <w:kinsoku/>
              <w:wordWrap/>
              <w:overflowPunct/>
              <w:topLinePunct w:val="0"/>
              <w:autoSpaceDE/>
              <w:autoSpaceDN/>
              <w:bidi w:val="0"/>
              <w:adjustRightInd/>
              <w:snapToGrid w:val="0"/>
              <w:spacing w:afterAutospacing="0" w:line="360" w:lineRule="auto"/>
              <w:ind w:left="0" w:leftChars="0" w:right="0" w:rightChars="0" w:firstLine="422" w:firstLineChars="20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p w14:paraId="3C4FA446">
            <w:pPr>
              <w:keepNext w:val="0"/>
              <w:keepLines w:val="0"/>
              <w:pageBreakBefore w:val="0"/>
              <w:widowControl w:val="0"/>
              <w:kinsoku/>
              <w:wordWrap/>
              <w:overflowPunct/>
              <w:topLinePunct w:val="0"/>
              <w:autoSpaceDE/>
              <w:autoSpaceDN/>
              <w:bidi w:val="0"/>
              <w:adjustRightInd/>
              <w:snapToGrid w:val="0"/>
              <w:spacing w:afterAutospacing="0" w:line="360" w:lineRule="auto"/>
              <w:ind w:left="0" w:leftChars="0" w:right="0" w:rightChars="0" w:firstLine="422" w:firstLineChars="200"/>
              <w:jc w:val="center"/>
              <w:textAlignment w:val="auto"/>
              <w:rPr>
                <w:rFonts w:hint="default" w:ascii="Times New Roman" w:hAnsi="Times New Roman" w:eastAsia="宋体" w:cs="Times New Roman"/>
                <w:b/>
                <w:bCs/>
                <w:color w:val="auto"/>
                <w:kern w:val="2"/>
                <w:sz w:val="24"/>
                <w:szCs w:val="24"/>
                <w:highlight w:val="none"/>
                <w:vertAlign w:val="baseline"/>
                <w:lang w:val="en-US" w:eastAsia="zh-CN" w:bidi="ar-SA"/>
              </w:rPr>
            </w:pPr>
            <w:r>
              <w:rPr>
                <w:rFonts w:hint="default" w:ascii="Times New Roman" w:hAnsi="Times New Roman" w:eastAsia="宋体" w:cs="Times New Roman"/>
                <w:b/>
                <w:bCs/>
                <w:color w:val="auto"/>
                <w:kern w:val="2"/>
                <w:sz w:val="21"/>
                <w:szCs w:val="21"/>
                <w:highlight w:val="none"/>
                <w:vertAlign w:val="baseline"/>
                <w:lang w:val="en-US" w:eastAsia="zh-CN" w:bidi="ar-SA"/>
              </w:rPr>
              <w:t>表2</w:t>
            </w:r>
            <w:r>
              <w:rPr>
                <w:rFonts w:hint="default" w:ascii="Times New Roman" w:hAnsi="Times New Roman" w:cs="Times New Roman"/>
                <w:b/>
                <w:bCs/>
                <w:color w:val="auto"/>
                <w:kern w:val="2"/>
                <w:sz w:val="21"/>
                <w:szCs w:val="21"/>
                <w:highlight w:val="none"/>
                <w:vertAlign w:val="baseline"/>
                <w:lang w:val="en-US" w:eastAsia="zh-CN" w:bidi="ar-SA"/>
              </w:rPr>
              <w:t>.7-1</w:t>
            </w:r>
            <w:r>
              <w:rPr>
                <w:rFonts w:hint="default" w:ascii="Times New Roman" w:hAnsi="Times New Roman" w:eastAsia="宋体" w:cs="Times New Roman"/>
                <w:b/>
                <w:bCs/>
                <w:color w:val="auto"/>
                <w:kern w:val="2"/>
                <w:sz w:val="21"/>
                <w:szCs w:val="21"/>
                <w:highlight w:val="none"/>
                <w:vertAlign w:val="baseline"/>
                <w:lang w:val="en-US" w:eastAsia="zh-CN" w:bidi="ar-SA"/>
              </w:rPr>
              <w:t xml:space="preserve">  项目总水量平衡表   单位：m</w:t>
            </w:r>
            <w:r>
              <w:rPr>
                <w:rFonts w:hint="default" w:ascii="Times New Roman" w:hAnsi="Times New Roman" w:eastAsia="宋体" w:cs="Times New Roman"/>
                <w:b/>
                <w:bCs/>
                <w:color w:val="auto"/>
                <w:kern w:val="2"/>
                <w:sz w:val="21"/>
                <w:szCs w:val="21"/>
                <w:highlight w:val="none"/>
                <w:vertAlign w:val="superscript"/>
                <w:lang w:val="en-US" w:eastAsia="zh-CN" w:bidi="ar-SA"/>
              </w:rPr>
              <w:t>3</w:t>
            </w:r>
            <w:r>
              <w:rPr>
                <w:rFonts w:hint="default" w:ascii="Times New Roman" w:hAnsi="Times New Roman" w:eastAsia="宋体" w:cs="Times New Roman"/>
                <w:b/>
                <w:bCs/>
                <w:color w:val="auto"/>
                <w:kern w:val="2"/>
                <w:sz w:val="21"/>
                <w:szCs w:val="21"/>
                <w:highlight w:val="none"/>
                <w:vertAlign w:val="baseline"/>
                <w:lang w:val="en-US" w:eastAsia="zh-CN" w:bidi="ar-SA"/>
              </w:rPr>
              <w:t>/d</w:t>
            </w:r>
          </w:p>
          <w:tbl>
            <w:tblPr>
              <w:tblStyle w:val="32"/>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513"/>
              <w:gridCol w:w="1767"/>
              <w:gridCol w:w="1016"/>
              <w:gridCol w:w="844"/>
              <w:gridCol w:w="937"/>
              <w:gridCol w:w="832"/>
              <w:gridCol w:w="937"/>
              <w:gridCol w:w="1148"/>
            </w:tblGrid>
            <w:tr w14:paraId="3D3A77A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5" w:hRule="atLeast"/>
              </w:trPr>
              <w:tc>
                <w:tcPr>
                  <w:tcW w:w="32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DEDB703">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序号</w:t>
                  </w:r>
                </w:p>
              </w:tc>
              <w:tc>
                <w:tcPr>
                  <w:tcW w:w="110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CB9D0DC">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用水环节</w:t>
                  </w:r>
                </w:p>
              </w:tc>
              <w:tc>
                <w:tcPr>
                  <w:tcW w:w="63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0A94BFF">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总用水量①</w:t>
                  </w:r>
                </w:p>
              </w:tc>
              <w:tc>
                <w:tcPr>
                  <w:tcW w:w="1634"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3C947FD3">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用水情况</w:t>
                  </w:r>
                </w:p>
              </w:tc>
              <w:tc>
                <w:tcPr>
                  <w:tcW w:w="58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843D349">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损耗量⑤</w:t>
                  </w:r>
                </w:p>
              </w:tc>
              <w:tc>
                <w:tcPr>
                  <w:tcW w:w="717"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DE92056">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废水排放量⑥</w:t>
                  </w:r>
                </w:p>
              </w:tc>
            </w:tr>
            <w:tr w14:paraId="6A3C16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C2B441F">
                  <w:pPr>
                    <w:jc w:val="center"/>
                    <w:rPr>
                      <w:rFonts w:hint="default" w:ascii="Times New Roman" w:hAnsi="Times New Roman" w:eastAsia="宋体" w:cs="Times New Roman"/>
                      <w:b w:val="0"/>
                      <w:bCs w:val="0"/>
                      <w:i w:val="0"/>
                      <w:iCs w:val="0"/>
                      <w:color w:val="000000"/>
                      <w:sz w:val="21"/>
                      <w:szCs w:val="21"/>
                      <w:u w:val="none"/>
                    </w:rPr>
                  </w:pPr>
                </w:p>
              </w:tc>
              <w:tc>
                <w:tcPr>
                  <w:tcW w:w="110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AEFC1BF">
                  <w:pPr>
                    <w:jc w:val="center"/>
                    <w:rPr>
                      <w:rFonts w:hint="default" w:ascii="Times New Roman" w:hAnsi="Times New Roman" w:eastAsia="宋体" w:cs="Times New Roman"/>
                      <w:b w:val="0"/>
                      <w:bCs w:val="0"/>
                      <w:i w:val="0"/>
                      <w:iCs w:val="0"/>
                      <w:color w:val="000000"/>
                      <w:sz w:val="21"/>
                      <w:szCs w:val="21"/>
                      <w:u w:val="none"/>
                    </w:rPr>
                  </w:pPr>
                </w:p>
              </w:tc>
              <w:tc>
                <w:tcPr>
                  <w:tcW w:w="63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BAB21C9">
                  <w:pPr>
                    <w:jc w:val="center"/>
                    <w:rPr>
                      <w:rFonts w:hint="default" w:ascii="Times New Roman" w:hAnsi="Times New Roman" w:eastAsia="宋体" w:cs="Times New Roman"/>
                      <w:b w:val="0"/>
                      <w:bCs w:val="0"/>
                      <w:i w:val="0"/>
                      <w:iCs w:val="0"/>
                      <w:color w:val="000000"/>
                      <w:sz w:val="21"/>
                      <w:szCs w:val="21"/>
                      <w:u w:val="none"/>
                    </w:rPr>
                  </w:pPr>
                </w:p>
              </w:tc>
              <w:tc>
                <w:tcPr>
                  <w:tcW w:w="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E5B8A2">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新鲜水②</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59249">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2"/>
                      <w:szCs w:val="22"/>
                      <w:u w:val="none"/>
                    </w:rPr>
                  </w:pPr>
                  <w:r>
                    <w:rPr>
                      <w:rFonts w:hint="default" w:ascii="Times New Roman" w:hAnsi="Times New Roman" w:eastAsia="宋体" w:cs="Times New Roman"/>
                      <w:b w:val="0"/>
                      <w:bCs w:val="0"/>
                      <w:i w:val="0"/>
                      <w:iCs w:val="0"/>
                      <w:color w:val="000000"/>
                      <w:kern w:val="0"/>
                      <w:sz w:val="22"/>
                      <w:szCs w:val="22"/>
                      <w:u w:val="none"/>
                      <w:lang w:val="en-US" w:eastAsia="zh-CN" w:bidi="ar"/>
                    </w:rPr>
                    <w:t>纯水③</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B1E2476">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循环量④</w:t>
                  </w:r>
                </w:p>
              </w:tc>
              <w:tc>
                <w:tcPr>
                  <w:tcW w:w="58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D6E3D8">
                  <w:pPr>
                    <w:jc w:val="center"/>
                    <w:rPr>
                      <w:rFonts w:hint="default" w:ascii="Times New Roman" w:hAnsi="Times New Roman" w:eastAsia="宋体" w:cs="Times New Roman"/>
                      <w:b w:val="0"/>
                      <w:bCs w:val="0"/>
                      <w:i w:val="0"/>
                      <w:iCs w:val="0"/>
                      <w:color w:val="000000"/>
                      <w:sz w:val="21"/>
                      <w:szCs w:val="21"/>
                      <w:u w:val="none"/>
                    </w:rPr>
                  </w:pPr>
                </w:p>
              </w:tc>
              <w:tc>
                <w:tcPr>
                  <w:tcW w:w="717"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E892FB">
                  <w:pPr>
                    <w:jc w:val="center"/>
                    <w:rPr>
                      <w:rFonts w:hint="default" w:ascii="Times New Roman" w:hAnsi="Times New Roman" w:eastAsia="宋体" w:cs="Times New Roman"/>
                      <w:b w:val="0"/>
                      <w:bCs w:val="0"/>
                      <w:i w:val="0"/>
                      <w:iCs w:val="0"/>
                      <w:color w:val="000000"/>
                      <w:sz w:val="21"/>
                      <w:szCs w:val="21"/>
                      <w:u w:val="none"/>
                    </w:rPr>
                  </w:pPr>
                </w:p>
              </w:tc>
            </w:tr>
            <w:tr w14:paraId="6B0075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02D088">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1</w:t>
                  </w:r>
                </w:p>
              </w:tc>
              <w:tc>
                <w:tcPr>
                  <w:tcW w:w="110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FDDB39">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2"/>
                      <w:sz w:val="22"/>
                      <w:szCs w:val="22"/>
                      <w:u w:val="none"/>
                      <w:lang w:val="en-US" w:eastAsia="zh-CN" w:bidi="ar-SA"/>
                    </w:rPr>
                  </w:pPr>
                  <w:r>
                    <w:rPr>
                      <w:rFonts w:hint="default" w:ascii="Times New Roman" w:hAnsi="Times New Roman" w:eastAsia="宋体" w:cs="Times New Roman"/>
                      <w:b w:val="0"/>
                      <w:bCs w:val="0"/>
                      <w:i w:val="0"/>
                      <w:iCs w:val="0"/>
                      <w:color w:val="000000"/>
                      <w:kern w:val="0"/>
                      <w:sz w:val="22"/>
                      <w:szCs w:val="22"/>
                      <w:u w:val="none"/>
                      <w:lang w:val="en-US" w:eastAsia="zh-CN" w:bidi="ar"/>
                    </w:rPr>
                    <w:t>酒精消毒剂配制</w:t>
                  </w:r>
                </w:p>
              </w:tc>
              <w:tc>
                <w:tcPr>
                  <w:tcW w:w="63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D0CE00">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2"/>
                      <w:sz w:val="22"/>
                      <w:szCs w:val="22"/>
                      <w:u w:val="none"/>
                      <w:lang w:val="en-US" w:eastAsia="zh-CN" w:bidi="ar-SA"/>
                    </w:rPr>
                  </w:pPr>
                  <w:r>
                    <w:rPr>
                      <w:rFonts w:hint="default" w:ascii="Times New Roman" w:hAnsi="Times New Roman" w:eastAsia="宋体" w:cs="Times New Roman"/>
                      <w:b w:val="0"/>
                      <w:bCs w:val="0"/>
                      <w:i w:val="0"/>
                      <w:iCs w:val="0"/>
                      <w:color w:val="000000"/>
                      <w:kern w:val="0"/>
                      <w:sz w:val="22"/>
                      <w:szCs w:val="22"/>
                      <w:u w:val="none"/>
                      <w:lang w:val="en-US" w:eastAsia="zh-CN" w:bidi="ar"/>
                    </w:rPr>
                    <w:t>0.00</w:t>
                  </w:r>
                  <w:r>
                    <w:rPr>
                      <w:rFonts w:hint="eastAsia" w:cs="Times New Roman"/>
                      <w:b w:val="0"/>
                      <w:bCs w:val="0"/>
                      <w:i w:val="0"/>
                      <w:iCs w:val="0"/>
                      <w:color w:val="000000"/>
                      <w:kern w:val="0"/>
                      <w:sz w:val="22"/>
                      <w:szCs w:val="22"/>
                      <w:u w:val="none"/>
                      <w:lang w:val="en-US" w:eastAsia="zh-CN" w:bidi="ar"/>
                    </w:rPr>
                    <w:t>0</w:t>
                  </w:r>
                  <w:r>
                    <w:rPr>
                      <w:rFonts w:hint="default" w:ascii="Times New Roman" w:hAnsi="Times New Roman" w:eastAsia="宋体" w:cs="Times New Roman"/>
                      <w:b w:val="0"/>
                      <w:bCs w:val="0"/>
                      <w:i w:val="0"/>
                      <w:iCs w:val="0"/>
                      <w:color w:val="000000"/>
                      <w:kern w:val="0"/>
                      <w:sz w:val="22"/>
                      <w:szCs w:val="22"/>
                      <w:u w:val="none"/>
                      <w:lang w:val="en-US" w:eastAsia="zh-CN" w:bidi="ar"/>
                    </w:rPr>
                    <w:t>6</w:t>
                  </w:r>
                  <w:r>
                    <w:rPr>
                      <w:rFonts w:hint="eastAsia" w:cs="Times New Roman"/>
                      <w:b w:val="0"/>
                      <w:bCs w:val="0"/>
                      <w:i w:val="0"/>
                      <w:iCs w:val="0"/>
                      <w:color w:val="000000"/>
                      <w:kern w:val="0"/>
                      <w:sz w:val="22"/>
                      <w:szCs w:val="22"/>
                      <w:u w:val="none"/>
                      <w:lang w:val="en-US" w:eastAsia="zh-CN" w:bidi="ar"/>
                    </w:rPr>
                    <w:t>6</w:t>
                  </w:r>
                </w:p>
              </w:tc>
              <w:tc>
                <w:tcPr>
                  <w:tcW w:w="52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AD5599">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2"/>
                      <w:sz w:val="22"/>
                      <w:szCs w:val="22"/>
                      <w:u w:val="none"/>
                      <w:lang w:val="en-US" w:eastAsia="zh-CN" w:bidi="ar-SA"/>
                    </w:rPr>
                  </w:pPr>
                  <w:r>
                    <w:rPr>
                      <w:rFonts w:hint="default" w:ascii="Times New Roman" w:hAnsi="Times New Roman" w:eastAsia="宋体" w:cs="Times New Roman"/>
                      <w:b w:val="0"/>
                      <w:bCs w:val="0"/>
                      <w:i w:val="0"/>
                      <w:iCs w:val="0"/>
                      <w:color w:val="000000"/>
                      <w:kern w:val="0"/>
                      <w:sz w:val="22"/>
                      <w:szCs w:val="22"/>
                      <w:u w:val="none"/>
                      <w:lang w:val="en-US" w:eastAsia="zh-CN" w:bidi="ar"/>
                    </w:rPr>
                    <w:t>0</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2965A3">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2"/>
                      <w:sz w:val="22"/>
                      <w:szCs w:val="22"/>
                      <w:u w:val="none"/>
                      <w:lang w:val="en-US" w:eastAsia="zh-CN" w:bidi="ar-SA"/>
                    </w:rPr>
                  </w:pPr>
                  <w:r>
                    <w:rPr>
                      <w:rFonts w:hint="default" w:ascii="Times New Roman" w:hAnsi="Times New Roman" w:eastAsia="宋体" w:cs="Times New Roman"/>
                      <w:b w:val="0"/>
                      <w:bCs w:val="0"/>
                      <w:i w:val="0"/>
                      <w:iCs w:val="0"/>
                      <w:color w:val="000000"/>
                      <w:kern w:val="0"/>
                      <w:sz w:val="22"/>
                      <w:szCs w:val="22"/>
                      <w:u w:val="none"/>
                      <w:lang w:val="en-US" w:eastAsia="zh-CN" w:bidi="ar"/>
                    </w:rPr>
                    <w:t>0.00</w:t>
                  </w:r>
                  <w:r>
                    <w:rPr>
                      <w:rFonts w:hint="eastAsia" w:cs="Times New Roman"/>
                      <w:b w:val="0"/>
                      <w:bCs w:val="0"/>
                      <w:i w:val="0"/>
                      <w:iCs w:val="0"/>
                      <w:color w:val="000000"/>
                      <w:kern w:val="0"/>
                      <w:sz w:val="22"/>
                      <w:szCs w:val="22"/>
                      <w:u w:val="none"/>
                      <w:lang w:val="en-US" w:eastAsia="zh-CN" w:bidi="ar"/>
                    </w:rPr>
                    <w:t>0</w:t>
                  </w:r>
                  <w:r>
                    <w:rPr>
                      <w:rFonts w:hint="default" w:ascii="Times New Roman" w:hAnsi="Times New Roman" w:eastAsia="宋体" w:cs="Times New Roman"/>
                      <w:b w:val="0"/>
                      <w:bCs w:val="0"/>
                      <w:i w:val="0"/>
                      <w:iCs w:val="0"/>
                      <w:color w:val="000000"/>
                      <w:kern w:val="0"/>
                      <w:sz w:val="22"/>
                      <w:szCs w:val="22"/>
                      <w:u w:val="none"/>
                      <w:lang w:val="en-US" w:eastAsia="zh-CN" w:bidi="ar"/>
                    </w:rPr>
                    <w:t>6</w:t>
                  </w:r>
                  <w:r>
                    <w:rPr>
                      <w:rFonts w:hint="eastAsia" w:cs="Times New Roman"/>
                      <w:b w:val="0"/>
                      <w:bCs w:val="0"/>
                      <w:i w:val="0"/>
                      <w:iCs w:val="0"/>
                      <w:color w:val="000000"/>
                      <w:kern w:val="0"/>
                      <w:sz w:val="22"/>
                      <w:szCs w:val="22"/>
                      <w:u w:val="none"/>
                      <w:lang w:val="en-US" w:eastAsia="zh-CN" w:bidi="ar"/>
                    </w:rPr>
                    <w:t>6</w:t>
                  </w:r>
                </w:p>
              </w:tc>
              <w:tc>
                <w:tcPr>
                  <w:tcW w:w="5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3E0F1B">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2"/>
                      <w:sz w:val="22"/>
                      <w:szCs w:val="22"/>
                      <w:u w:val="none"/>
                      <w:lang w:val="en-US" w:eastAsia="zh-CN" w:bidi="ar-SA"/>
                    </w:rPr>
                  </w:pPr>
                  <w:r>
                    <w:rPr>
                      <w:rFonts w:hint="default" w:ascii="Times New Roman" w:hAnsi="Times New Roman" w:eastAsia="宋体" w:cs="Times New Roman"/>
                      <w:b w:val="0"/>
                      <w:bCs w:val="0"/>
                      <w:i w:val="0"/>
                      <w:iCs w:val="0"/>
                      <w:color w:val="000000"/>
                      <w:kern w:val="0"/>
                      <w:sz w:val="22"/>
                      <w:szCs w:val="22"/>
                      <w:u w:val="none"/>
                      <w:lang w:val="en-US" w:eastAsia="zh-CN" w:bidi="ar"/>
                    </w:rPr>
                    <w:t>0</w:t>
                  </w:r>
                </w:p>
              </w:tc>
              <w:tc>
                <w:tcPr>
                  <w:tcW w:w="58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38D96E">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2"/>
                      <w:sz w:val="22"/>
                      <w:szCs w:val="22"/>
                      <w:u w:val="none"/>
                      <w:lang w:val="en-US" w:eastAsia="zh-CN" w:bidi="ar-SA"/>
                    </w:rPr>
                  </w:pPr>
                  <w:r>
                    <w:rPr>
                      <w:rFonts w:hint="default" w:ascii="Times New Roman" w:hAnsi="Times New Roman" w:eastAsia="宋体" w:cs="Times New Roman"/>
                      <w:b w:val="0"/>
                      <w:bCs w:val="0"/>
                      <w:i w:val="0"/>
                      <w:iCs w:val="0"/>
                      <w:color w:val="000000"/>
                      <w:kern w:val="0"/>
                      <w:sz w:val="22"/>
                      <w:szCs w:val="22"/>
                      <w:u w:val="none"/>
                      <w:lang w:val="en-US" w:eastAsia="zh-CN" w:bidi="ar"/>
                    </w:rPr>
                    <w:t>0.00</w:t>
                  </w:r>
                  <w:r>
                    <w:rPr>
                      <w:rFonts w:hint="eastAsia" w:cs="Times New Roman"/>
                      <w:b w:val="0"/>
                      <w:bCs w:val="0"/>
                      <w:i w:val="0"/>
                      <w:iCs w:val="0"/>
                      <w:color w:val="000000"/>
                      <w:kern w:val="0"/>
                      <w:sz w:val="22"/>
                      <w:szCs w:val="22"/>
                      <w:u w:val="none"/>
                      <w:lang w:val="en-US" w:eastAsia="zh-CN" w:bidi="ar"/>
                    </w:rPr>
                    <w:t>0</w:t>
                  </w:r>
                  <w:r>
                    <w:rPr>
                      <w:rFonts w:hint="default" w:ascii="Times New Roman" w:hAnsi="Times New Roman" w:eastAsia="宋体" w:cs="Times New Roman"/>
                      <w:b w:val="0"/>
                      <w:bCs w:val="0"/>
                      <w:i w:val="0"/>
                      <w:iCs w:val="0"/>
                      <w:color w:val="000000"/>
                      <w:kern w:val="0"/>
                      <w:sz w:val="22"/>
                      <w:szCs w:val="22"/>
                      <w:u w:val="none"/>
                      <w:lang w:val="en-US" w:eastAsia="zh-CN" w:bidi="ar"/>
                    </w:rPr>
                    <w:t>6</w:t>
                  </w:r>
                  <w:r>
                    <w:rPr>
                      <w:rFonts w:hint="eastAsia" w:cs="Times New Roman"/>
                      <w:b w:val="0"/>
                      <w:bCs w:val="0"/>
                      <w:i w:val="0"/>
                      <w:iCs w:val="0"/>
                      <w:color w:val="000000"/>
                      <w:kern w:val="0"/>
                      <w:sz w:val="22"/>
                      <w:szCs w:val="22"/>
                      <w:u w:val="none"/>
                      <w:lang w:val="en-US" w:eastAsia="zh-CN" w:bidi="ar"/>
                    </w:rPr>
                    <w:t>6</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2B87C3">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kern w:val="2"/>
                      <w:sz w:val="22"/>
                      <w:szCs w:val="22"/>
                      <w:u w:val="none"/>
                      <w:lang w:val="en-US" w:eastAsia="zh-CN" w:bidi="ar-SA"/>
                    </w:rPr>
                  </w:pPr>
                  <w:r>
                    <w:rPr>
                      <w:rFonts w:hint="default" w:ascii="Times New Roman" w:hAnsi="Times New Roman" w:eastAsia="宋体" w:cs="Times New Roman"/>
                      <w:b w:val="0"/>
                      <w:bCs w:val="0"/>
                      <w:i w:val="0"/>
                      <w:iCs w:val="0"/>
                      <w:color w:val="000000"/>
                      <w:kern w:val="0"/>
                      <w:sz w:val="22"/>
                      <w:szCs w:val="22"/>
                      <w:u w:val="none"/>
                      <w:lang w:val="en-US" w:eastAsia="zh-CN" w:bidi="ar"/>
                    </w:rPr>
                    <w:t>0</w:t>
                  </w:r>
                </w:p>
              </w:tc>
            </w:tr>
            <w:tr w14:paraId="4E78E3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1C3DD4">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2</w:t>
                  </w:r>
                </w:p>
              </w:tc>
              <w:tc>
                <w:tcPr>
                  <w:tcW w:w="11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FB6C0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水压测试用水</w:t>
                  </w:r>
                </w:p>
              </w:tc>
              <w:tc>
                <w:tcPr>
                  <w:tcW w:w="6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C69EC">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14.14</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6F42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0.14</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7EF32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EAC2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14</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86D4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0.14</w:t>
                  </w:r>
                </w:p>
              </w:tc>
              <w:tc>
                <w:tcPr>
                  <w:tcW w:w="7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45D3B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w:t>
                  </w:r>
                </w:p>
              </w:tc>
            </w:tr>
            <w:tr w14:paraId="7766CF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61FAD3">
                  <w:pPr>
                    <w:keepNext w:val="0"/>
                    <w:keepLines w:val="0"/>
                    <w:widowControl/>
                    <w:suppressLineNumbers w:val="0"/>
                    <w:jc w:val="center"/>
                    <w:textAlignment w:val="center"/>
                    <w:rPr>
                      <w:rFonts w:hint="default" w:ascii="Times New Roman" w:hAnsi="Times New Roman" w:eastAsia="宋体" w:cs="Times New Roman"/>
                      <w:b w:val="0"/>
                      <w:bCs w:val="0"/>
                      <w:i w:val="0"/>
                      <w:iCs w:val="0"/>
                      <w:color w:val="000000"/>
                      <w:sz w:val="21"/>
                      <w:szCs w:val="21"/>
                      <w:u w:val="none"/>
                    </w:rPr>
                  </w:pPr>
                  <w:r>
                    <w:rPr>
                      <w:rFonts w:hint="default" w:ascii="Times New Roman" w:hAnsi="Times New Roman" w:eastAsia="宋体" w:cs="Times New Roman"/>
                      <w:b w:val="0"/>
                      <w:bCs w:val="0"/>
                      <w:i w:val="0"/>
                      <w:iCs w:val="0"/>
                      <w:color w:val="000000"/>
                      <w:kern w:val="0"/>
                      <w:sz w:val="21"/>
                      <w:szCs w:val="21"/>
                      <w:u w:val="none"/>
                      <w:lang w:val="en-US" w:eastAsia="zh-CN" w:bidi="ar"/>
                    </w:rPr>
                    <w:t>3</w:t>
                  </w:r>
                </w:p>
              </w:tc>
              <w:tc>
                <w:tcPr>
                  <w:tcW w:w="11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DADFB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喷淋塔用水</w:t>
                  </w:r>
                </w:p>
              </w:tc>
              <w:tc>
                <w:tcPr>
                  <w:tcW w:w="6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197D7">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303</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8C1C6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17B16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B365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300</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93910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w:t>
                  </w:r>
                </w:p>
              </w:tc>
              <w:tc>
                <w:tcPr>
                  <w:tcW w:w="7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1509D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w:t>
                  </w:r>
                </w:p>
              </w:tc>
            </w:tr>
            <w:tr w14:paraId="406FC3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186E0F">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1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51213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cs="Times New Roman"/>
                      <w:i w:val="0"/>
                      <w:iCs w:val="0"/>
                      <w:color w:val="000000"/>
                      <w:kern w:val="0"/>
                      <w:sz w:val="22"/>
                      <w:szCs w:val="22"/>
                      <w:u w:val="none"/>
                      <w:lang w:val="en-US" w:eastAsia="zh-CN" w:bidi="ar"/>
                    </w:rPr>
                    <w:t>蒸汽发生器用水</w:t>
                  </w:r>
                </w:p>
              </w:tc>
              <w:tc>
                <w:tcPr>
                  <w:tcW w:w="6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3FEC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cs="Times New Roman"/>
                      <w:i w:val="0"/>
                      <w:iCs w:val="0"/>
                      <w:color w:val="000000"/>
                      <w:kern w:val="0"/>
                      <w:sz w:val="22"/>
                      <w:szCs w:val="22"/>
                      <w:u w:val="none"/>
                      <w:lang w:val="en-US" w:eastAsia="zh-CN" w:bidi="ar"/>
                    </w:rPr>
                    <w:t>0.1</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B93A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cs="Times New Roman"/>
                      <w:i w:val="0"/>
                      <w:iCs w:val="0"/>
                      <w:color w:val="000000"/>
                      <w:kern w:val="0"/>
                      <w:sz w:val="22"/>
                      <w:szCs w:val="22"/>
                      <w:u w:val="none"/>
                      <w:lang w:val="en-US" w:eastAsia="zh-CN" w:bidi="ar"/>
                    </w:rPr>
                    <w:t>0</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79651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cs="Times New Roman"/>
                      <w:i w:val="0"/>
                      <w:iCs w:val="0"/>
                      <w:color w:val="000000"/>
                      <w:kern w:val="0"/>
                      <w:sz w:val="22"/>
                      <w:szCs w:val="22"/>
                      <w:u w:val="none"/>
                      <w:lang w:val="en-US" w:eastAsia="zh-CN" w:bidi="ar"/>
                    </w:rPr>
                    <w:t>0.1</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96F5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cs="Times New Roman"/>
                      <w:i w:val="0"/>
                      <w:iCs w:val="0"/>
                      <w:color w:val="000000"/>
                      <w:kern w:val="0"/>
                      <w:sz w:val="22"/>
                      <w:szCs w:val="22"/>
                      <w:u w:val="none"/>
                      <w:lang w:val="en-US" w:eastAsia="zh-CN" w:bidi="ar"/>
                    </w:rPr>
                    <w:t>0</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C15E9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cs="Times New Roman"/>
                      <w:i w:val="0"/>
                      <w:iCs w:val="0"/>
                      <w:color w:val="000000"/>
                      <w:kern w:val="0"/>
                      <w:sz w:val="22"/>
                      <w:szCs w:val="22"/>
                      <w:u w:val="none"/>
                      <w:lang w:val="en-US" w:eastAsia="zh-CN" w:bidi="ar"/>
                    </w:rPr>
                    <w:t>0.1</w:t>
                  </w:r>
                </w:p>
              </w:tc>
              <w:tc>
                <w:tcPr>
                  <w:tcW w:w="7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E311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2"/>
                      <w:szCs w:val="22"/>
                      <w:u w:val="none"/>
                      <w:lang w:val="en-US" w:eastAsia="zh-CN" w:bidi="ar"/>
                    </w:rPr>
                  </w:pPr>
                  <w:r>
                    <w:rPr>
                      <w:rFonts w:hint="default" w:ascii="Times New Roman" w:hAnsi="Times New Roman" w:cs="Times New Roman"/>
                      <w:i w:val="0"/>
                      <w:iCs w:val="0"/>
                      <w:color w:val="000000"/>
                      <w:kern w:val="0"/>
                      <w:sz w:val="22"/>
                      <w:szCs w:val="22"/>
                      <w:u w:val="none"/>
                      <w:lang w:val="en-US" w:eastAsia="zh-CN" w:bidi="ar"/>
                    </w:rPr>
                    <w:t>0</w:t>
                  </w:r>
                </w:p>
              </w:tc>
            </w:tr>
            <w:tr w14:paraId="212C71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32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F66661">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1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322E66">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生活用水</w:t>
                  </w:r>
                </w:p>
              </w:tc>
              <w:tc>
                <w:tcPr>
                  <w:tcW w:w="6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1C24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w:t>
                  </w:r>
                  <w:r>
                    <w:rPr>
                      <w:rFonts w:hint="eastAsia" w:cs="Times New Roman"/>
                      <w:i w:val="0"/>
                      <w:iCs w:val="0"/>
                      <w:color w:val="000000"/>
                      <w:kern w:val="0"/>
                      <w:sz w:val="22"/>
                      <w:szCs w:val="22"/>
                      <w:u w:val="none"/>
                      <w:lang w:val="en-US" w:eastAsia="zh-CN" w:bidi="ar"/>
                    </w:rPr>
                    <w:t>.60</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BCF4D1">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3</w:t>
                  </w:r>
                  <w:r>
                    <w:rPr>
                      <w:rFonts w:hint="eastAsia" w:cs="Times New Roman"/>
                      <w:i w:val="0"/>
                      <w:iCs w:val="0"/>
                      <w:color w:val="000000"/>
                      <w:kern w:val="0"/>
                      <w:sz w:val="22"/>
                      <w:szCs w:val="22"/>
                      <w:u w:val="none"/>
                      <w:lang w:val="en-US" w:eastAsia="zh-CN" w:bidi="ar"/>
                    </w:rPr>
                    <w:t>.60</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A8BCB">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w:t>
                  </w:r>
                </w:p>
              </w:tc>
              <w:tc>
                <w:tcPr>
                  <w:tcW w:w="5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4F0B9">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w:t>
                  </w:r>
                </w:p>
              </w:tc>
              <w:tc>
                <w:tcPr>
                  <w:tcW w:w="5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1247ED">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0.</w:t>
                  </w:r>
                  <w:r>
                    <w:rPr>
                      <w:rFonts w:hint="eastAsia" w:cs="Times New Roman"/>
                      <w:i w:val="0"/>
                      <w:iCs w:val="0"/>
                      <w:color w:val="000000"/>
                      <w:kern w:val="0"/>
                      <w:sz w:val="22"/>
                      <w:szCs w:val="22"/>
                      <w:u w:val="none"/>
                      <w:lang w:val="en-US" w:eastAsia="zh-CN" w:bidi="ar"/>
                    </w:rPr>
                    <w:t>72</w:t>
                  </w:r>
                </w:p>
              </w:tc>
              <w:tc>
                <w:tcPr>
                  <w:tcW w:w="7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C4C7BE">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22"/>
                      <w:szCs w:val="22"/>
                      <w:u w:val="none"/>
                      <w:lang w:val="en-US" w:eastAsia="zh-CN" w:bidi="ar-SA"/>
                    </w:rPr>
                  </w:pPr>
                  <w:r>
                    <w:rPr>
                      <w:rFonts w:hint="default" w:ascii="Times New Roman" w:hAnsi="Times New Roman" w:eastAsia="宋体" w:cs="Times New Roman"/>
                      <w:i w:val="0"/>
                      <w:iCs w:val="0"/>
                      <w:color w:val="000000"/>
                      <w:kern w:val="0"/>
                      <w:sz w:val="22"/>
                      <w:szCs w:val="22"/>
                      <w:u w:val="none"/>
                      <w:lang w:val="en-US" w:eastAsia="zh-CN" w:bidi="ar"/>
                    </w:rPr>
                    <w:t>2.</w:t>
                  </w:r>
                  <w:r>
                    <w:rPr>
                      <w:rFonts w:hint="eastAsia" w:cs="Times New Roman"/>
                      <w:i w:val="0"/>
                      <w:iCs w:val="0"/>
                      <w:color w:val="000000"/>
                      <w:kern w:val="0"/>
                      <w:sz w:val="22"/>
                      <w:szCs w:val="22"/>
                      <w:u w:val="none"/>
                      <w:lang w:val="en-US" w:eastAsia="zh-CN" w:bidi="ar"/>
                    </w:rPr>
                    <w:t>88</w:t>
                  </w:r>
                </w:p>
              </w:tc>
            </w:tr>
          </w:tbl>
          <w:p w14:paraId="33334A5B">
            <w:pPr>
              <w:pStyle w:val="43"/>
              <w:spacing w:line="240" w:lineRule="auto"/>
              <w:ind w:firstLine="542" w:firstLineChars="300"/>
              <w:rPr>
                <w:rFonts w:hint="default" w:ascii="Times New Roman" w:hAnsi="Times New Roman" w:cs="Times New Roman"/>
                <w:b/>
                <w:bCs/>
                <w:color w:val="auto"/>
                <w:sz w:val="24"/>
                <w:szCs w:val="24"/>
                <w:highlight w:val="none"/>
                <w:lang w:val="en-US" w:eastAsia="zh-CN"/>
              </w:rPr>
            </w:pPr>
            <w:r>
              <w:rPr>
                <w:rFonts w:hint="default" w:ascii="Times New Roman" w:hAnsi="Times New Roman" w:eastAsia="宋体" w:cs="Times New Roman"/>
                <w:b/>
                <w:color w:val="auto"/>
                <w:sz w:val="18"/>
                <w:szCs w:val="18"/>
                <w:lang w:val="en-US" w:eastAsia="zh-CN"/>
              </w:rPr>
              <w:t>注：</w:t>
            </w:r>
            <w:r>
              <w:rPr>
                <w:rFonts w:hint="default" w:ascii="Times New Roman" w:hAnsi="Times New Roman" w:cs="Times New Roman"/>
                <w:color w:val="auto"/>
                <w:sz w:val="18"/>
                <w:szCs w:val="18"/>
              </w:rPr>
              <w:t>（1）总用水量=新鲜水+</w:t>
            </w:r>
            <w:r>
              <w:rPr>
                <w:rFonts w:hint="default" w:ascii="Times New Roman" w:hAnsi="Times New Roman" w:cs="Times New Roman"/>
                <w:color w:val="auto"/>
                <w:sz w:val="18"/>
                <w:szCs w:val="18"/>
                <w:lang w:val="en-US" w:eastAsia="zh-CN"/>
              </w:rPr>
              <w:t>纯水+</w:t>
            </w:r>
            <w:r>
              <w:rPr>
                <w:rFonts w:hint="default" w:ascii="Times New Roman" w:hAnsi="Times New Roman" w:cs="Times New Roman"/>
                <w:color w:val="auto"/>
                <w:sz w:val="18"/>
                <w:szCs w:val="18"/>
              </w:rPr>
              <w:t>循环量；（2）新鲜水</w:t>
            </w:r>
            <w:r>
              <w:rPr>
                <w:rFonts w:hint="default" w:ascii="Times New Roman" w:hAnsi="Times New Roman" w:cs="Times New Roman"/>
                <w:color w:val="auto"/>
                <w:sz w:val="18"/>
                <w:szCs w:val="18"/>
                <w:lang w:val="en-US" w:eastAsia="zh-CN"/>
              </w:rPr>
              <w:t>+纯水</w:t>
            </w:r>
            <w:r>
              <w:rPr>
                <w:rFonts w:hint="default" w:ascii="Times New Roman" w:hAnsi="Times New Roman" w:cs="Times New Roman"/>
                <w:color w:val="auto"/>
                <w:sz w:val="18"/>
                <w:szCs w:val="18"/>
              </w:rPr>
              <w:t>=损耗量+</w:t>
            </w:r>
            <w:r>
              <w:rPr>
                <w:rFonts w:hint="default" w:ascii="Times New Roman" w:hAnsi="Times New Roman" w:cs="Times New Roman"/>
                <w:color w:val="auto"/>
                <w:sz w:val="18"/>
                <w:szCs w:val="18"/>
                <w:lang w:val="en-US" w:eastAsia="zh-CN"/>
              </w:rPr>
              <w:t>废水</w:t>
            </w:r>
            <w:r>
              <w:rPr>
                <w:rFonts w:hint="default" w:ascii="Times New Roman" w:hAnsi="Times New Roman" w:cs="Times New Roman"/>
                <w:color w:val="auto"/>
                <w:sz w:val="18"/>
                <w:szCs w:val="18"/>
                <w:lang w:eastAsia="zh-CN"/>
              </w:rPr>
              <w:t>排</w:t>
            </w:r>
            <w:r>
              <w:rPr>
                <w:rFonts w:hint="default" w:ascii="Times New Roman" w:hAnsi="Times New Roman" w:cs="Times New Roman"/>
                <w:color w:val="auto"/>
                <w:sz w:val="18"/>
                <w:szCs w:val="18"/>
                <w:lang w:val="en-US" w:eastAsia="zh-CN"/>
              </w:rPr>
              <w:t>放量</w:t>
            </w:r>
          </w:p>
          <w:p w14:paraId="6A04E082">
            <w:pPr>
              <w:pStyle w:val="43"/>
              <w:spacing w:line="240" w:lineRule="auto"/>
              <w:jc w:val="center"/>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object>
                <v:shape id="_x0000_i1025" o:spt="75" type="#_x0000_t75" style="height:341.9pt;width:382.9pt;" o:ole="t" filled="f" o:preferrelative="t" stroked="f" coordsize="21600,21600">
                  <v:path/>
                  <v:fill on="f" focussize="0,0"/>
                  <v:stroke on="f"/>
                  <v:imagedata r:id="rId24" o:title=""/>
                  <o:lock v:ext="edit" aspectratio="f"/>
                  <w10:wrap type="none"/>
                  <w10:anchorlock/>
                </v:shape>
                <o:OLEObject Type="Embed" ProgID="Visio.Drawing.15" ShapeID="_x0000_i1025" DrawAspect="Content" ObjectID="_1468075725" r:id="rId23">
                  <o:LockedField>false</o:LockedField>
                </o:OLEObject>
              </w:object>
            </w:r>
          </w:p>
          <w:p w14:paraId="21FB507E">
            <w:pPr>
              <w:pStyle w:val="43"/>
              <w:spacing w:line="240" w:lineRule="auto"/>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图2.7-1   本项目水平衡图    单位  m</w:t>
            </w:r>
            <w:r>
              <w:rPr>
                <w:rFonts w:hint="default" w:ascii="Times New Roman" w:hAnsi="Times New Roman" w:cs="Times New Roman"/>
                <w:b/>
                <w:bCs/>
                <w:color w:val="auto"/>
                <w:sz w:val="21"/>
                <w:szCs w:val="21"/>
                <w:highlight w:val="none"/>
                <w:vertAlign w:val="superscript"/>
                <w:lang w:val="en-US" w:eastAsia="zh-CN"/>
              </w:rPr>
              <w:t>3</w:t>
            </w:r>
            <w:r>
              <w:rPr>
                <w:rFonts w:hint="default" w:ascii="Times New Roman" w:hAnsi="Times New Roman" w:cs="Times New Roman"/>
                <w:b/>
                <w:bCs/>
                <w:color w:val="auto"/>
                <w:sz w:val="21"/>
                <w:szCs w:val="21"/>
                <w:highlight w:val="none"/>
                <w:lang w:val="en-US" w:eastAsia="zh-CN"/>
              </w:rPr>
              <w:t>/d</w:t>
            </w:r>
          </w:p>
          <w:p w14:paraId="5CF1300E">
            <w:pPr>
              <w:spacing w:line="360" w:lineRule="auto"/>
              <w:ind w:firstLine="482" w:firstLineChars="200"/>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8、厂区平面布置</w:t>
            </w:r>
          </w:p>
          <w:p w14:paraId="781109AB">
            <w:pPr>
              <w:spacing w:line="360" w:lineRule="auto"/>
              <w:ind w:firstLine="480" w:firstLineChars="200"/>
              <w:rPr>
                <w:rFonts w:hint="default" w:ascii="Times New Roman" w:hAnsi="Times New Roman" w:eastAsia="宋体" w:cs="Times New Roman"/>
                <w:color w:val="0000FF"/>
                <w:sz w:val="24"/>
                <w:szCs w:val="24"/>
                <w:highlight w:val="none"/>
                <w:shd w:val="clear" w:color="auto" w:fill="auto"/>
                <w:lang w:val="en-US" w:eastAsia="zh-CN"/>
              </w:rPr>
            </w:pPr>
            <w:r>
              <w:rPr>
                <w:rFonts w:hint="default" w:ascii="Times New Roman" w:hAnsi="Times New Roman" w:eastAsia="宋体" w:cs="Times New Roman"/>
                <w:caps w:val="0"/>
                <w:color w:val="0000FF"/>
                <w:kern w:val="0"/>
                <w:sz w:val="24"/>
                <w:szCs w:val="24"/>
                <w:highlight w:val="none"/>
                <w:lang w:val="en-US" w:eastAsia="zh-CN" w:bidi="ar-SA"/>
              </w:rPr>
              <w:t>本项目位于</w:t>
            </w:r>
            <w:r>
              <w:rPr>
                <w:rFonts w:hint="eastAsia" w:cs="Times New Roman"/>
                <w:caps w:val="0"/>
                <w:color w:val="0000FF"/>
                <w:kern w:val="0"/>
                <w:sz w:val="24"/>
                <w:szCs w:val="24"/>
                <w:highlight w:val="none"/>
                <w:lang w:val="en-US" w:eastAsia="zh-CN" w:bidi="ar-SA"/>
              </w:rPr>
              <w:t>内蒙古包头</w:t>
            </w:r>
            <w:r>
              <w:rPr>
                <w:rFonts w:hint="default" w:ascii="Times New Roman" w:hAnsi="Times New Roman" w:eastAsia="宋体" w:cs="Times New Roman"/>
                <w:caps w:val="0"/>
                <w:color w:val="0000FF"/>
                <w:kern w:val="0"/>
                <w:sz w:val="24"/>
                <w:szCs w:val="24"/>
                <w:highlight w:val="none"/>
                <w:lang w:val="en-US" w:eastAsia="zh-CN" w:bidi="ar-SA"/>
              </w:rPr>
              <w:t>九原工业园区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eastAsia="宋体" w:cs="Times New Roman"/>
                <w:caps w:val="0"/>
                <w:color w:val="0000FF"/>
                <w:kern w:val="0"/>
                <w:sz w:val="24"/>
                <w:szCs w:val="24"/>
                <w:highlight w:val="none"/>
                <w:lang w:val="en-US" w:eastAsia="zh-CN" w:bidi="ar-SA"/>
              </w:rPr>
              <w:t>，项目占地面积为</w:t>
            </w:r>
            <w:r>
              <w:rPr>
                <w:rFonts w:hint="default" w:ascii="Times New Roman" w:hAnsi="Times New Roman" w:cs="Times New Roman"/>
                <w:color w:val="0000FF"/>
                <w:sz w:val="24"/>
                <w:szCs w:val="24"/>
                <w:highlight w:val="none"/>
                <w:shd w:val="clear" w:color="auto" w:fill="auto"/>
                <w:lang w:val="en-US" w:eastAsia="zh-CN"/>
              </w:rPr>
              <w:t>24</w:t>
            </w:r>
            <w:r>
              <w:rPr>
                <w:rFonts w:hint="eastAsia" w:cs="Times New Roman"/>
                <w:color w:val="0000FF"/>
                <w:sz w:val="24"/>
                <w:szCs w:val="24"/>
                <w:highlight w:val="none"/>
                <w:shd w:val="clear" w:color="auto" w:fill="auto"/>
                <w:lang w:val="en-US" w:eastAsia="zh-CN"/>
              </w:rPr>
              <w:t>669.82</w:t>
            </w:r>
            <w:r>
              <w:rPr>
                <w:rFonts w:hint="default" w:ascii="Times New Roman" w:hAnsi="Times New Roman" w:eastAsia="宋体" w:cs="Times New Roman"/>
                <w:color w:val="0000FF"/>
                <w:sz w:val="24"/>
                <w:szCs w:val="24"/>
                <w:highlight w:val="none"/>
                <w:shd w:val="clear" w:color="auto" w:fill="auto"/>
                <w:lang w:val="en-US" w:eastAsia="zh-CN"/>
              </w:rPr>
              <w:t>m</w:t>
            </w:r>
            <w:r>
              <w:rPr>
                <w:rFonts w:hint="default" w:ascii="Times New Roman" w:hAnsi="Times New Roman" w:eastAsia="宋体" w:cs="Times New Roman"/>
                <w:color w:val="0000FF"/>
                <w:sz w:val="24"/>
                <w:szCs w:val="24"/>
                <w:highlight w:val="none"/>
                <w:shd w:val="clear" w:color="auto" w:fill="auto"/>
                <w:vertAlign w:val="superscript"/>
                <w:lang w:val="en-US" w:eastAsia="zh-CN"/>
              </w:rPr>
              <w:t>2</w:t>
            </w:r>
            <w:r>
              <w:rPr>
                <w:rFonts w:hint="default" w:ascii="Times New Roman" w:hAnsi="Times New Roman" w:eastAsia="宋体" w:cs="Times New Roman"/>
                <w:color w:val="0000FF"/>
                <w:sz w:val="24"/>
                <w:szCs w:val="24"/>
                <w:highlight w:val="none"/>
                <w:shd w:val="clear" w:color="auto" w:fill="auto"/>
                <w:lang w:val="en-US" w:eastAsia="zh-CN"/>
              </w:rPr>
              <w:t>。</w:t>
            </w:r>
          </w:p>
          <w:p w14:paraId="77B25299">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 xml:space="preserve">（1）总平面布置 </w:t>
            </w:r>
          </w:p>
          <w:p w14:paraId="1CB97FBB">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本</w:t>
            </w:r>
            <w:r>
              <w:rPr>
                <w:rFonts w:hint="default" w:ascii="Times New Roman" w:hAnsi="Times New Roman" w:cs="Times New Roman"/>
                <w:color w:val="auto"/>
                <w:sz w:val="24"/>
                <w:szCs w:val="24"/>
                <w:highlight w:val="none"/>
                <w:shd w:val="clear" w:color="auto" w:fill="auto"/>
                <w:lang w:val="en-US" w:eastAsia="zh-CN"/>
              </w:rPr>
              <w:t>项目</w:t>
            </w:r>
            <w:r>
              <w:rPr>
                <w:rFonts w:hint="default" w:ascii="Times New Roman" w:hAnsi="Times New Roman" w:eastAsia="宋体" w:cs="Times New Roman"/>
                <w:color w:val="auto"/>
                <w:sz w:val="24"/>
                <w:szCs w:val="24"/>
                <w:highlight w:val="none"/>
                <w:shd w:val="clear" w:color="auto" w:fill="auto"/>
                <w:lang w:val="en-US" w:eastAsia="zh-CN"/>
              </w:rPr>
              <w:t>站区平面布局严格按现行规范的有关规定进行分区布置。为确保安全生产及方便生产管理，本站采用分区布置，即分为</w:t>
            </w:r>
            <w:r>
              <w:rPr>
                <w:rFonts w:hint="default" w:ascii="Times New Roman" w:hAnsi="Times New Roman" w:cs="Times New Roman"/>
                <w:color w:val="auto"/>
                <w:sz w:val="24"/>
                <w:szCs w:val="24"/>
                <w:highlight w:val="none"/>
                <w:shd w:val="clear" w:color="auto" w:fill="auto"/>
                <w:lang w:val="en-US" w:eastAsia="zh-CN"/>
              </w:rPr>
              <w:t>工业气体灌装/充装区、医用氧气充装区、民用燃气（LPG）灌装区、气瓶检验站、</w:t>
            </w:r>
            <w:r>
              <w:rPr>
                <w:rFonts w:hint="default" w:ascii="Times New Roman" w:hAnsi="Times New Roman" w:eastAsia="宋体" w:cs="Times New Roman"/>
                <w:color w:val="auto"/>
                <w:sz w:val="24"/>
                <w:szCs w:val="24"/>
                <w:highlight w:val="none"/>
                <w:shd w:val="clear" w:color="auto" w:fill="auto"/>
                <w:lang w:val="en-US" w:eastAsia="zh-CN"/>
              </w:rPr>
              <w:t>生产辅助区</w:t>
            </w:r>
            <w:r>
              <w:rPr>
                <w:rFonts w:hint="default" w:ascii="Times New Roman" w:hAnsi="Times New Roman" w:cs="Times New Roman"/>
                <w:color w:val="auto"/>
                <w:sz w:val="24"/>
                <w:szCs w:val="24"/>
                <w:highlight w:val="none"/>
                <w:shd w:val="clear" w:color="auto" w:fill="auto"/>
                <w:lang w:val="en-US" w:eastAsia="zh-CN"/>
              </w:rPr>
              <w:t>等</w:t>
            </w:r>
            <w:r>
              <w:rPr>
                <w:rFonts w:hint="default" w:ascii="Times New Roman" w:hAnsi="Times New Roman" w:eastAsia="宋体" w:cs="Times New Roman"/>
                <w:color w:val="auto"/>
                <w:sz w:val="24"/>
                <w:szCs w:val="24"/>
                <w:highlight w:val="none"/>
                <w:shd w:val="clear" w:color="auto" w:fill="auto"/>
                <w:lang w:val="en-US" w:eastAsia="zh-CN"/>
              </w:rPr>
              <w:t>部分：</w:t>
            </w:r>
          </w:p>
          <w:p w14:paraId="1871AB05">
            <w:pPr>
              <w:numPr>
                <w:ilvl w:val="0"/>
                <w:numId w:val="5"/>
              </w:num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cs="Times New Roman"/>
                <w:color w:val="auto"/>
                <w:sz w:val="24"/>
                <w:szCs w:val="24"/>
                <w:highlight w:val="none"/>
                <w:shd w:val="clear" w:color="auto" w:fill="auto"/>
                <w:lang w:val="en-US" w:eastAsia="zh-CN"/>
              </w:rPr>
              <w:t>工业气体灌装/充装区：</w:t>
            </w:r>
          </w:p>
          <w:p w14:paraId="7D29E76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①改性丙烷生产灌装区：位于站区北侧中部，主要设置</w:t>
            </w:r>
            <w:r>
              <w:rPr>
                <w:rFonts w:hint="default" w:ascii="Times New Roman" w:hAnsi="Times New Roman" w:cs="Times New Roman"/>
                <w:color w:val="auto"/>
                <w:sz w:val="24"/>
                <w:szCs w:val="24"/>
                <w:highlight w:val="none"/>
                <w:shd w:val="clear" w:color="auto" w:fill="auto"/>
                <w:lang w:val="en-US" w:eastAsia="zh-CN"/>
              </w:rPr>
              <w:t>改性</w:t>
            </w:r>
            <w:r>
              <w:rPr>
                <w:rFonts w:hint="default" w:ascii="Times New Roman" w:hAnsi="Times New Roman" w:eastAsia="宋体" w:cs="Times New Roman"/>
                <w:color w:val="auto"/>
                <w:sz w:val="24"/>
                <w:szCs w:val="24"/>
                <w:highlight w:val="none"/>
                <w:shd w:val="clear" w:color="auto" w:fill="auto"/>
                <w:lang w:val="en-US" w:eastAsia="zh-CN"/>
              </w:rPr>
              <w:t>丙烷储罐区（</w:t>
            </w:r>
            <w:r>
              <w:rPr>
                <w:rFonts w:hint="default" w:ascii="Times New Roman" w:hAnsi="Times New Roman" w:cs="Times New Roman"/>
                <w:color w:val="auto"/>
                <w:sz w:val="24"/>
                <w:szCs w:val="24"/>
                <w:highlight w:val="none"/>
                <w:shd w:val="clear" w:color="auto" w:fill="auto"/>
                <w:lang w:val="en-US" w:eastAsia="zh-CN"/>
              </w:rPr>
              <w:t>3座</w:t>
            </w:r>
            <w:r>
              <w:rPr>
                <w:rFonts w:hint="default" w:ascii="Times New Roman" w:hAnsi="Times New Roman" w:eastAsia="宋体" w:cs="Times New Roman"/>
                <w:color w:val="auto"/>
                <w:sz w:val="24"/>
                <w:szCs w:val="24"/>
                <w:highlight w:val="none"/>
                <w:shd w:val="clear" w:color="auto" w:fill="auto"/>
                <w:lang w:val="en-US" w:eastAsia="zh-CN"/>
              </w:rPr>
              <w:t>50</w:t>
            </w:r>
            <w:r>
              <w:rPr>
                <w:rFonts w:hint="default" w:ascii="Times New Roman" w:hAnsi="Times New Roman" w:cs="Times New Roman"/>
                <w:color w:val="auto"/>
                <w:sz w:val="24"/>
                <w:szCs w:val="24"/>
                <w:highlight w:val="none"/>
                <w:shd w:val="clear" w:color="auto" w:fill="auto"/>
                <w:lang w:val="en-US" w:eastAsia="zh-CN"/>
              </w:rPr>
              <w:t>m</w:t>
            </w:r>
            <w:r>
              <w:rPr>
                <w:rFonts w:hint="default" w:ascii="Times New Roman" w:hAnsi="Times New Roman" w:cs="Times New Roman"/>
                <w:color w:val="auto"/>
                <w:sz w:val="24"/>
                <w:szCs w:val="24"/>
                <w:highlight w:val="none"/>
                <w:shd w:val="clear" w:color="auto" w:fill="auto"/>
                <w:vertAlign w:val="superscript"/>
                <w:lang w:val="en-US" w:eastAsia="zh-CN"/>
              </w:rPr>
              <w:t>3</w:t>
            </w:r>
            <w:r>
              <w:rPr>
                <w:rFonts w:hint="default" w:ascii="Times New Roman" w:hAnsi="Times New Roman" w:eastAsia="宋体" w:cs="Times New Roman"/>
                <w:color w:val="auto"/>
                <w:sz w:val="24"/>
                <w:szCs w:val="24"/>
                <w:highlight w:val="none"/>
                <w:shd w:val="clear" w:color="auto" w:fill="auto"/>
                <w:lang w:val="en-US" w:eastAsia="zh-CN"/>
              </w:rPr>
              <w:t>卧式</w:t>
            </w:r>
            <w:r>
              <w:rPr>
                <w:rFonts w:hint="default" w:ascii="Times New Roman" w:hAnsi="Times New Roman" w:cs="Times New Roman"/>
                <w:color w:val="auto"/>
                <w:sz w:val="24"/>
                <w:szCs w:val="24"/>
                <w:highlight w:val="none"/>
                <w:shd w:val="clear" w:color="auto" w:fill="auto"/>
                <w:lang w:val="en-US" w:eastAsia="zh-CN"/>
              </w:rPr>
              <w:t>改性</w:t>
            </w:r>
            <w:r>
              <w:rPr>
                <w:rFonts w:hint="default" w:ascii="Times New Roman" w:hAnsi="Times New Roman" w:eastAsia="宋体" w:cs="Times New Roman"/>
                <w:color w:val="auto"/>
                <w:sz w:val="24"/>
                <w:szCs w:val="24"/>
                <w:highlight w:val="none"/>
                <w:shd w:val="clear" w:color="auto" w:fill="auto"/>
                <w:lang w:val="en-US" w:eastAsia="zh-CN"/>
              </w:rPr>
              <w:t>丙烷储罐</w:t>
            </w:r>
            <w:r>
              <w:rPr>
                <w:rFonts w:hint="default" w:ascii="Times New Roman" w:hAnsi="Times New Roman" w:cs="Times New Roman"/>
                <w:color w:val="auto"/>
                <w:sz w:val="24"/>
                <w:szCs w:val="24"/>
                <w:highlight w:val="none"/>
                <w:shd w:val="clear" w:color="auto" w:fill="auto"/>
                <w:lang w:val="en-US" w:eastAsia="zh-CN"/>
              </w:rPr>
              <w:t>，2用1备</w:t>
            </w:r>
            <w:r>
              <w:rPr>
                <w:rFonts w:hint="default" w:ascii="Times New Roman" w:hAnsi="Times New Roman" w:eastAsia="宋体" w:cs="Times New Roman"/>
                <w:color w:val="auto"/>
                <w:sz w:val="24"/>
                <w:szCs w:val="24"/>
                <w:highlight w:val="none"/>
                <w:shd w:val="clear" w:color="auto" w:fill="auto"/>
                <w:lang w:val="en-US" w:eastAsia="zh-CN"/>
              </w:rPr>
              <w:t>）、灌瓶间（含压缩机房）；卸车利用LPG卸车区来调度使用。</w:t>
            </w:r>
          </w:p>
          <w:p w14:paraId="388857AE">
            <w:pPr>
              <w:numPr>
                <w:ilvl w:val="0"/>
                <w:numId w:val="0"/>
              </w:num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②其他气体</w:t>
            </w:r>
            <w:r>
              <w:rPr>
                <w:rFonts w:hint="default" w:ascii="Times New Roman" w:hAnsi="Times New Roman" w:cs="Times New Roman"/>
                <w:color w:val="auto"/>
                <w:sz w:val="24"/>
                <w:szCs w:val="24"/>
                <w:highlight w:val="none"/>
                <w:shd w:val="clear" w:color="auto" w:fill="auto"/>
                <w:lang w:val="en-US" w:eastAsia="zh-CN"/>
              </w:rPr>
              <w:t>充装</w:t>
            </w:r>
            <w:r>
              <w:rPr>
                <w:rFonts w:hint="default" w:ascii="Times New Roman" w:hAnsi="Times New Roman" w:eastAsia="宋体" w:cs="Times New Roman"/>
                <w:color w:val="auto"/>
                <w:sz w:val="24"/>
                <w:szCs w:val="24"/>
                <w:highlight w:val="none"/>
                <w:shd w:val="clear" w:color="auto" w:fill="auto"/>
                <w:lang w:val="en-US" w:eastAsia="zh-CN"/>
              </w:rPr>
              <w:t>区：位于站区北侧东部，主要设置50m³氮气、氩气、二氧化碳和液氧储罐区1座及气体灌瓶间1座；</w:t>
            </w:r>
          </w:p>
          <w:p w14:paraId="17087EBC">
            <w:pPr>
              <w:numPr>
                <w:ilvl w:val="0"/>
                <w:numId w:val="0"/>
              </w:num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2）医用氧气充装区：位于站区北侧东部，主要设置50m³医用液氧储罐1座，与其他气体充装区共用1座气体灌瓶间，划分独立的充装区域；</w:t>
            </w:r>
          </w:p>
          <w:p w14:paraId="0B2E6A4B">
            <w:pPr>
              <w:numPr>
                <w:ilvl w:val="0"/>
                <w:numId w:val="0"/>
              </w:numPr>
              <w:spacing w:line="360" w:lineRule="auto"/>
              <w:ind w:firstLine="480" w:firstLineChars="200"/>
              <w:rPr>
                <w:rFonts w:hint="default" w:ascii="Times New Roman" w:hAnsi="Times New Roman" w:eastAsia="宋体" w:cs="Times New Roman"/>
                <w:color w:val="0000FF"/>
                <w:sz w:val="24"/>
                <w:szCs w:val="24"/>
                <w:highlight w:val="none"/>
                <w:shd w:val="clear" w:color="auto" w:fill="auto"/>
                <w:lang w:val="en-US" w:eastAsia="zh-CN"/>
              </w:rPr>
            </w:pPr>
            <w:r>
              <w:rPr>
                <w:rFonts w:hint="default" w:ascii="Times New Roman" w:hAnsi="Times New Roman" w:cs="Times New Roman"/>
                <w:color w:val="0000FF"/>
                <w:sz w:val="24"/>
                <w:szCs w:val="24"/>
                <w:highlight w:val="none"/>
                <w:shd w:val="clear" w:color="auto" w:fill="auto"/>
                <w:lang w:val="en-US" w:eastAsia="zh-CN"/>
              </w:rPr>
              <w:t>3）民用燃气（LPG）灌装区</w:t>
            </w:r>
            <w:r>
              <w:rPr>
                <w:rFonts w:hint="default" w:ascii="Times New Roman" w:hAnsi="Times New Roman" w:eastAsia="宋体" w:cs="Times New Roman"/>
                <w:color w:val="0000FF"/>
                <w:sz w:val="24"/>
                <w:szCs w:val="24"/>
                <w:highlight w:val="none"/>
                <w:shd w:val="clear" w:color="auto" w:fill="auto"/>
                <w:lang w:val="en-US" w:eastAsia="zh-CN"/>
              </w:rPr>
              <w:t>：位于站区的</w:t>
            </w:r>
            <w:r>
              <w:rPr>
                <w:rFonts w:hint="default" w:ascii="Times New Roman" w:hAnsi="Times New Roman" w:cs="Times New Roman"/>
                <w:color w:val="0000FF"/>
                <w:sz w:val="24"/>
                <w:szCs w:val="24"/>
                <w:highlight w:val="none"/>
                <w:shd w:val="clear" w:color="auto" w:fill="auto"/>
                <w:lang w:val="en-US" w:eastAsia="zh-CN"/>
              </w:rPr>
              <w:t>南侧</w:t>
            </w:r>
            <w:r>
              <w:rPr>
                <w:rFonts w:hint="default" w:ascii="Times New Roman" w:hAnsi="Times New Roman" w:eastAsia="宋体" w:cs="Times New Roman"/>
                <w:color w:val="0000FF"/>
                <w:sz w:val="24"/>
                <w:szCs w:val="24"/>
                <w:highlight w:val="none"/>
                <w:shd w:val="clear" w:color="auto" w:fill="auto"/>
                <w:lang w:val="en-US" w:eastAsia="zh-CN"/>
              </w:rPr>
              <w:t>中部，主要包括LPG储罐区（</w:t>
            </w:r>
            <w:r>
              <w:rPr>
                <w:rFonts w:hint="eastAsia" w:cs="Times New Roman"/>
                <w:color w:val="0000FF"/>
                <w:sz w:val="24"/>
                <w:szCs w:val="24"/>
                <w:highlight w:val="none"/>
                <w:shd w:val="clear" w:color="auto" w:fill="auto"/>
                <w:lang w:val="en-US" w:eastAsia="zh-CN"/>
              </w:rPr>
              <w:t>3</w:t>
            </w:r>
            <w:r>
              <w:rPr>
                <w:rFonts w:hint="default" w:ascii="Times New Roman" w:hAnsi="Times New Roman" w:cs="Times New Roman"/>
                <w:color w:val="0000FF"/>
                <w:sz w:val="24"/>
                <w:szCs w:val="24"/>
                <w:highlight w:val="none"/>
                <w:shd w:val="clear" w:color="auto" w:fill="auto"/>
                <w:lang w:val="en-US" w:eastAsia="zh-CN"/>
              </w:rPr>
              <w:t>座</w:t>
            </w:r>
            <w:r>
              <w:rPr>
                <w:rFonts w:hint="default" w:ascii="Times New Roman" w:hAnsi="Times New Roman" w:eastAsia="宋体" w:cs="Times New Roman"/>
                <w:color w:val="0000FF"/>
                <w:sz w:val="24"/>
                <w:szCs w:val="24"/>
                <w:highlight w:val="none"/>
                <w:shd w:val="clear" w:color="auto" w:fill="auto"/>
                <w:lang w:val="en-US" w:eastAsia="zh-CN"/>
              </w:rPr>
              <w:t>50m</w:t>
            </w:r>
            <w:r>
              <w:rPr>
                <w:rFonts w:hint="default" w:ascii="Times New Roman" w:hAnsi="Times New Roman" w:eastAsia="宋体" w:cs="Times New Roman"/>
                <w:color w:val="0000FF"/>
                <w:sz w:val="24"/>
                <w:szCs w:val="24"/>
                <w:highlight w:val="none"/>
                <w:shd w:val="clear" w:color="auto" w:fill="auto"/>
                <w:vertAlign w:val="superscript"/>
                <w:lang w:val="en-US" w:eastAsia="zh-CN"/>
              </w:rPr>
              <w:t>3</w:t>
            </w:r>
            <w:r>
              <w:rPr>
                <w:rFonts w:hint="default" w:ascii="Times New Roman" w:hAnsi="Times New Roman" w:eastAsia="宋体" w:cs="Times New Roman"/>
                <w:color w:val="0000FF"/>
                <w:sz w:val="24"/>
                <w:szCs w:val="24"/>
                <w:highlight w:val="none"/>
                <w:shd w:val="clear" w:color="auto" w:fill="auto"/>
                <w:lang w:val="en-US" w:eastAsia="zh-CN"/>
              </w:rPr>
              <w:t>卧式LPG储罐</w:t>
            </w:r>
            <w:r>
              <w:rPr>
                <w:rFonts w:hint="eastAsia" w:cs="Times New Roman"/>
                <w:color w:val="0000FF"/>
                <w:sz w:val="24"/>
                <w:szCs w:val="24"/>
                <w:highlight w:val="none"/>
                <w:shd w:val="clear" w:color="auto" w:fill="auto"/>
                <w:lang w:val="en-US" w:eastAsia="zh-CN"/>
              </w:rPr>
              <w:t>，2用1备</w:t>
            </w:r>
            <w:r>
              <w:rPr>
                <w:rFonts w:hint="default" w:ascii="Times New Roman" w:hAnsi="Times New Roman" w:eastAsia="宋体" w:cs="Times New Roman"/>
                <w:color w:val="0000FF"/>
                <w:sz w:val="24"/>
                <w:szCs w:val="24"/>
                <w:highlight w:val="none"/>
                <w:shd w:val="clear" w:color="auto" w:fill="auto"/>
                <w:lang w:val="en-US" w:eastAsia="zh-CN"/>
              </w:rPr>
              <w:t>）、灌瓶间（含压缩机房）、LPG卸车台及地中衡。LPG储罐为</w:t>
            </w:r>
            <w:r>
              <w:rPr>
                <w:rFonts w:hint="default" w:ascii="Times New Roman" w:hAnsi="Times New Roman" w:cs="Times New Roman"/>
                <w:color w:val="0000FF"/>
                <w:sz w:val="24"/>
                <w:szCs w:val="24"/>
                <w:highlight w:val="none"/>
                <w:shd w:val="clear" w:color="auto" w:fill="auto"/>
                <w:lang w:val="en-US" w:eastAsia="zh-CN"/>
              </w:rPr>
              <w:t>地下</w:t>
            </w:r>
            <w:r>
              <w:rPr>
                <w:rFonts w:hint="default" w:ascii="Times New Roman" w:hAnsi="Times New Roman" w:eastAsia="宋体" w:cs="Times New Roman"/>
                <w:color w:val="0000FF"/>
                <w:sz w:val="24"/>
                <w:szCs w:val="24"/>
                <w:highlight w:val="none"/>
                <w:shd w:val="clear" w:color="auto" w:fill="auto"/>
                <w:lang w:val="en-US" w:eastAsia="zh-CN"/>
              </w:rPr>
              <w:t>式设计，储罐设置罐池（50m</w:t>
            </w:r>
            <w:r>
              <w:rPr>
                <w:rFonts w:hint="default" w:ascii="Times New Roman" w:hAnsi="Times New Roman" w:eastAsia="宋体" w:cs="Times New Roman"/>
                <w:color w:val="0000FF"/>
                <w:sz w:val="24"/>
                <w:szCs w:val="24"/>
                <w:highlight w:val="none"/>
                <w:shd w:val="clear" w:color="auto" w:fill="auto"/>
                <w:vertAlign w:val="superscript"/>
                <w:lang w:val="en-US" w:eastAsia="zh-CN"/>
              </w:rPr>
              <w:t>3</w:t>
            </w:r>
            <w:r>
              <w:rPr>
                <w:rFonts w:hint="default" w:ascii="Times New Roman" w:hAnsi="Times New Roman" w:eastAsia="宋体" w:cs="Times New Roman"/>
                <w:color w:val="0000FF"/>
                <w:sz w:val="24"/>
                <w:szCs w:val="24"/>
                <w:highlight w:val="none"/>
                <w:shd w:val="clear" w:color="auto" w:fill="auto"/>
                <w:lang w:val="en-US" w:eastAsia="zh-CN"/>
              </w:rPr>
              <w:t>储罐的外形尺寸为直径2.6m，长9.8m）成一列布置，储罐之间净距满足规范要求。LPG卸车台设置3台卸车臂</w:t>
            </w:r>
            <w:r>
              <w:rPr>
                <w:rFonts w:hint="default" w:ascii="Times New Roman" w:hAnsi="Times New Roman" w:cs="Times New Roman"/>
                <w:color w:val="0000FF"/>
                <w:sz w:val="24"/>
                <w:szCs w:val="24"/>
                <w:highlight w:val="none"/>
                <w:shd w:val="clear" w:color="auto" w:fill="auto"/>
                <w:lang w:val="en-US" w:eastAsia="zh-CN"/>
              </w:rPr>
              <w:t>；</w:t>
            </w:r>
          </w:p>
          <w:p w14:paraId="5348BF75">
            <w:pPr>
              <w:spacing w:line="360" w:lineRule="auto"/>
              <w:ind w:firstLine="480" w:firstLineChars="200"/>
              <w:rPr>
                <w:rFonts w:hint="default" w:ascii="Times New Roman" w:hAnsi="Times New Roman" w:cs="Times New Roman"/>
                <w:lang w:val="en-US" w:eastAsia="zh-CN"/>
              </w:rPr>
            </w:pPr>
            <w:r>
              <w:rPr>
                <w:rFonts w:hint="default" w:ascii="Times New Roman" w:hAnsi="Times New Roman" w:eastAsia="宋体" w:cs="Times New Roman"/>
                <w:sz w:val="24"/>
                <w:lang w:val="en-US" w:eastAsia="zh-CN"/>
              </w:rPr>
              <w:t>4）气瓶检验站：位于厂区的南侧西北角，</w:t>
            </w:r>
            <w:r>
              <w:rPr>
                <w:rFonts w:hint="default" w:ascii="Times New Roman" w:hAnsi="Times New Roman" w:cs="Times New Roman"/>
                <w:sz w:val="24"/>
                <w:lang w:val="en-US" w:eastAsia="zh-CN"/>
              </w:rPr>
              <w:t>气瓶检验站布置焊接气瓶检验线1条，无缝气瓶检验线1条。</w:t>
            </w:r>
          </w:p>
          <w:p w14:paraId="260BB022">
            <w:pPr>
              <w:numPr>
                <w:ilvl w:val="0"/>
                <w:numId w:val="0"/>
              </w:num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cs="Times New Roman"/>
                <w:color w:val="auto"/>
                <w:sz w:val="24"/>
                <w:szCs w:val="24"/>
                <w:highlight w:val="none"/>
                <w:shd w:val="clear" w:color="auto" w:fill="auto"/>
                <w:lang w:val="en-US" w:eastAsia="zh-CN"/>
              </w:rPr>
              <w:t>5）</w:t>
            </w:r>
            <w:r>
              <w:rPr>
                <w:rFonts w:hint="default" w:ascii="Times New Roman" w:hAnsi="Times New Roman" w:eastAsia="宋体" w:cs="Times New Roman"/>
                <w:color w:val="auto"/>
                <w:sz w:val="24"/>
                <w:szCs w:val="24"/>
                <w:highlight w:val="none"/>
                <w:shd w:val="clear" w:color="auto" w:fill="auto"/>
                <w:lang w:val="en-US" w:eastAsia="zh-CN"/>
              </w:rPr>
              <w:t>生产辅助区：位于站区</w:t>
            </w:r>
            <w:r>
              <w:rPr>
                <w:rFonts w:hint="default" w:ascii="Times New Roman" w:hAnsi="Times New Roman" w:cs="Times New Roman"/>
                <w:color w:val="auto"/>
                <w:sz w:val="24"/>
                <w:szCs w:val="24"/>
                <w:highlight w:val="none"/>
                <w:shd w:val="clear" w:color="auto" w:fill="auto"/>
                <w:lang w:val="en-US" w:eastAsia="zh-CN"/>
              </w:rPr>
              <w:t>北侧</w:t>
            </w:r>
            <w:r>
              <w:rPr>
                <w:rFonts w:hint="default" w:ascii="Times New Roman" w:hAnsi="Times New Roman" w:eastAsia="宋体" w:cs="Times New Roman"/>
                <w:color w:val="auto"/>
                <w:sz w:val="24"/>
                <w:szCs w:val="24"/>
                <w:highlight w:val="none"/>
                <w:shd w:val="clear" w:color="auto" w:fill="auto"/>
                <w:lang w:val="en-US" w:eastAsia="zh-CN"/>
              </w:rPr>
              <w:t>西部，主要设置辅助用房、门卫、控制室、消防泵房、消防水池等设施。辅助用房为二层建筑，主要功能房间为值班室、空压机间、变配电室、卫生间等功能，满足生产灌装功能。二层为办公室。</w:t>
            </w:r>
          </w:p>
          <w:p w14:paraId="52EBB0E4">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站区功能分区明确，符合安全运营和生产的需要。</w:t>
            </w:r>
          </w:p>
          <w:p w14:paraId="58AA01B1">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 xml:space="preserve">（2）出、入口布置 </w:t>
            </w:r>
          </w:p>
          <w:p w14:paraId="2B1BABB2">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本项目LPG灌装为六级液化石油气供应站，按《液化石油气供应工程设计规范》（GB51142-2015）第5.2.3条规定，液化石油气灌瓶区、辅助区应各至少设置1个对外的出入口。</w:t>
            </w:r>
          </w:p>
          <w:p w14:paraId="515ADB34">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本项目规划了在站区西侧南部设置了1个LPG灌瓶区进出口，西侧北部位置设置了1个辅助区进出口，西侧中间设置丙烷灌装区进出口，与规划道路相连，连接道路的转弯半径为12m；其中灌瓶区、制瓶区和辅助区进出口宽度均为6m。</w:t>
            </w:r>
          </w:p>
          <w:p w14:paraId="226DD615">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另外，各分区之间设置大门（或应急门相通），实现对外交通方便、安全，形成便利的交通流线</w:t>
            </w:r>
            <w:r>
              <w:rPr>
                <w:rFonts w:hint="default" w:ascii="Times New Roman" w:hAnsi="Times New Roman" w:cs="Times New Roman"/>
                <w:color w:val="auto"/>
                <w:sz w:val="24"/>
                <w:szCs w:val="24"/>
                <w:highlight w:val="none"/>
                <w:shd w:val="clear" w:color="auto" w:fill="auto"/>
                <w:lang w:val="en-US" w:eastAsia="zh-CN"/>
              </w:rPr>
              <w:t>，</w:t>
            </w:r>
            <w:r>
              <w:rPr>
                <w:rFonts w:hint="default" w:ascii="Times New Roman" w:hAnsi="Times New Roman" w:eastAsia="宋体" w:cs="Times New Roman"/>
                <w:color w:val="auto"/>
                <w:sz w:val="24"/>
                <w:szCs w:val="24"/>
                <w:highlight w:val="none"/>
                <w:shd w:val="clear" w:color="auto" w:fill="auto"/>
                <w:lang w:val="en-US" w:eastAsia="zh-CN"/>
              </w:rPr>
              <w:t>保证各种车流通畅。</w:t>
            </w:r>
          </w:p>
          <w:p w14:paraId="7044EA25">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站区各区域之间设置围墙进行分隔，各区之间又有道路相通，具体布置</w:t>
            </w:r>
            <w:r>
              <w:rPr>
                <w:rFonts w:hint="default" w:ascii="Times New Roman" w:hAnsi="Times New Roman" w:eastAsia="宋体" w:cs="Times New Roman"/>
                <w:color w:val="auto"/>
                <w:sz w:val="24"/>
                <w:szCs w:val="24"/>
                <w:highlight w:val="none"/>
                <w:shd w:val="clear" w:color="auto"/>
                <w:lang w:val="en-US" w:eastAsia="zh-CN"/>
              </w:rPr>
              <w:t>详见附图</w:t>
            </w:r>
            <w:r>
              <w:rPr>
                <w:rFonts w:hint="default" w:ascii="Times New Roman" w:hAnsi="Times New Roman" w:cs="Times New Roman"/>
                <w:color w:val="auto"/>
                <w:sz w:val="24"/>
                <w:szCs w:val="24"/>
                <w:highlight w:val="none"/>
                <w:shd w:val="clear" w:color="auto"/>
                <w:lang w:val="en-US" w:eastAsia="zh-CN"/>
              </w:rPr>
              <w:t>6</w:t>
            </w:r>
            <w:r>
              <w:rPr>
                <w:rFonts w:hint="default" w:ascii="Times New Roman" w:hAnsi="Times New Roman" w:eastAsia="宋体" w:cs="Times New Roman"/>
                <w:color w:val="auto"/>
                <w:sz w:val="24"/>
                <w:szCs w:val="24"/>
                <w:highlight w:val="none"/>
                <w:shd w:val="clear" w:color="auto"/>
                <w:lang w:val="en-US" w:eastAsia="zh-CN"/>
              </w:rPr>
              <w:t>总平面布置</w:t>
            </w:r>
            <w:r>
              <w:rPr>
                <w:rFonts w:hint="default" w:ascii="Times New Roman" w:hAnsi="Times New Roman" w:eastAsia="宋体" w:cs="Times New Roman"/>
                <w:color w:val="auto"/>
                <w:sz w:val="24"/>
                <w:szCs w:val="24"/>
                <w:highlight w:val="none"/>
                <w:shd w:val="clear" w:color="auto" w:fill="auto"/>
                <w:lang w:val="en-US" w:eastAsia="zh-CN"/>
              </w:rPr>
              <w:t>图。</w:t>
            </w:r>
          </w:p>
          <w:p w14:paraId="03400C5E">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（3）道路布置</w:t>
            </w:r>
          </w:p>
          <w:p w14:paraId="5D52FCA8">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站内的道路为混凝土结构，生产区内的道路转弯半径不小于12米，并设置环形消防车道，道路宽不小于4米，满足槽车和消防车辆的转弯要求，并能保证装瓶车辆顺利进出站。</w:t>
            </w:r>
          </w:p>
          <w:p w14:paraId="129BD678">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（4）竖向设计</w:t>
            </w:r>
          </w:p>
          <w:p w14:paraId="748B2E69">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 xml:space="preserve">本项目室外场地标高满足防洪及排水标准，本站竖向设计采取相对标高。 </w:t>
            </w:r>
          </w:p>
          <w:p w14:paraId="1BF79F02">
            <w:pPr>
              <w:spacing w:line="360" w:lineRule="auto"/>
              <w:ind w:firstLine="480" w:firstLineChars="200"/>
              <w:rPr>
                <w:rFonts w:hint="default" w:ascii="Times New Roman" w:hAnsi="Times New Roman" w:eastAsia="宋体" w:cs="Times New Roman"/>
                <w:color w:val="auto"/>
                <w:sz w:val="24"/>
                <w:szCs w:val="24"/>
                <w:highlight w:val="none"/>
                <w:shd w:val="clear" w:color="auto" w:fil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1）灌瓶区排水：竖向设计采用平坡式，站内场地坡度在0.2~0.5%，坡向隔油池排出站外（设置水封）。</w:t>
            </w:r>
          </w:p>
          <w:p w14:paraId="5DF4367A">
            <w:pPr>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szCs w:val="24"/>
                <w:highlight w:val="none"/>
                <w:shd w:val="clear" w:color="auto" w:fill="auto"/>
                <w:lang w:val="en-US" w:eastAsia="zh-CN"/>
              </w:rPr>
              <w:t>2）辅助区：采用明沟或暗管的方式有组织的进行排水，坡度在0.2~0.5%。</w:t>
            </w:r>
          </w:p>
        </w:tc>
      </w:tr>
      <w:tr w14:paraId="3C18FD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9" w:type="dxa"/>
            <w:noWrap w:val="0"/>
            <w:vAlign w:val="center"/>
          </w:tcPr>
          <w:p w14:paraId="2C238C17">
            <w:pPr>
              <w:pStyle w:val="26"/>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4"/>
                <w:szCs w:val="24"/>
              </w:rPr>
              <w:t>工艺流程和产排污环节</w:t>
            </w:r>
          </w:p>
        </w:tc>
        <w:tc>
          <w:tcPr>
            <w:tcW w:w="8141" w:type="dxa"/>
            <w:noWrap w:val="0"/>
            <w:vAlign w:val="top"/>
          </w:tcPr>
          <w:p w14:paraId="62CCD7D3">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9、</w:t>
            </w:r>
            <w:r>
              <w:rPr>
                <w:rFonts w:hint="default" w:ascii="Times New Roman" w:hAnsi="Times New Roman" w:eastAsia="宋体" w:cs="Times New Roman"/>
                <w:b/>
                <w:bCs/>
                <w:color w:val="auto"/>
                <w:kern w:val="0"/>
                <w:sz w:val="24"/>
                <w:szCs w:val="24"/>
                <w:lang w:val="en-US" w:eastAsia="zh-CN" w:bidi="ar"/>
              </w:rPr>
              <w:t>施工期工艺流程</w:t>
            </w:r>
          </w:p>
          <w:p w14:paraId="5509A3B1">
            <w:pPr>
              <w:spacing w:line="360" w:lineRule="auto"/>
              <w:ind w:firstLine="480" w:firstLineChars="200"/>
              <w:rPr>
                <w:rFonts w:hint="default" w:ascii="Times New Roman" w:hAnsi="Times New Roman" w:eastAsia="宋体" w:cs="Times New Roman"/>
                <w:color w:val="auto"/>
                <w:sz w:val="24"/>
                <w:u w:val="none"/>
                <w:lang w:val="en-US" w:eastAsia="zh-CN"/>
              </w:rPr>
            </w:pPr>
            <w:r>
              <w:rPr>
                <w:rFonts w:hint="default" w:ascii="Times New Roman" w:hAnsi="Times New Roman" w:eastAsia="宋体" w:cs="Times New Roman"/>
                <w:color w:val="auto"/>
                <w:sz w:val="24"/>
                <w:u w:val="none"/>
                <w:lang w:val="en-US" w:eastAsia="zh-CN"/>
              </w:rPr>
              <w:t>本项目调整前并未开工建设，拟建厂址为空地，施工期的主要建设工程包括场地平整硬化、基础施工、主体工程建设、装饰工程、设备安装调试等。</w:t>
            </w:r>
          </w:p>
          <w:p w14:paraId="7B418287">
            <w:pPr>
              <w:pStyle w:val="15"/>
              <w:rPr>
                <w:rFonts w:hint="default" w:ascii="Times New Roman" w:hAnsi="Times New Roman" w:eastAsia="宋体" w:cs="Times New Roman"/>
                <w:color w:val="auto"/>
                <w:sz w:val="24"/>
                <w:u w:val="none"/>
                <w:lang w:val="en-US" w:eastAsia="zh-CN"/>
              </w:rPr>
            </w:pPr>
            <w:r>
              <w:rPr>
                <w:rFonts w:hint="default" w:ascii="Times New Roman" w:hAnsi="Times New Roman" w:eastAsia="宋体" w:cs="Times New Roman"/>
                <w:color w:val="auto"/>
                <w:sz w:val="24"/>
                <w:u w:val="none"/>
                <w:lang w:val="en-US" w:eastAsia="zh-CN"/>
              </w:rPr>
              <w:t>施工期的工艺流程及产排污节点见下图：</w:t>
            </w:r>
          </w:p>
          <w:p w14:paraId="669B2D5E">
            <w:pPr>
              <w:pStyle w:val="15"/>
              <w:rPr>
                <w:rFonts w:hint="default" w:ascii="Times New Roman" w:hAnsi="Times New Roman" w:eastAsia="宋体" w:cs="Times New Roman"/>
                <w:color w:val="auto"/>
                <w:sz w:val="24"/>
                <w:u w:val="none"/>
                <w:lang w:val="en-US" w:eastAsia="zh-CN"/>
              </w:rPr>
            </w:pPr>
          </w:p>
          <w:p w14:paraId="5C571A05">
            <w:pPr>
              <w:pStyle w:val="15"/>
              <w:rPr>
                <w:rFonts w:hint="default" w:ascii="Times New Roman" w:hAnsi="Times New Roman" w:eastAsia="宋体" w:cs="Times New Roman"/>
                <w:color w:val="auto"/>
                <w:sz w:val="24"/>
                <w:u w:val="none"/>
                <w:lang w:val="en-US" w:eastAsia="zh-CN"/>
              </w:rPr>
            </w:pPr>
            <w:r>
              <w:rPr>
                <w:rFonts w:hint="default" w:ascii="Times New Roman" w:hAnsi="Times New Roman" w:eastAsia="宋体" w:cs="Times New Roman"/>
                <w:color w:val="auto"/>
                <w:sz w:val="24"/>
                <w:u w:val="none"/>
                <w:lang w:val="en-US" w:eastAsia="zh-CN"/>
              </w:rPr>
              <w:object>
                <v:shape id="_x0000_i1026" o:spt="75" type="#_x0000_t75" style="height:161.55pt;width:397.25pt;" o:ole="t" filled="f" o:preferrelative="t" stroked="f" coordsize="21600,21600">
                  <v:path/>
                  <v:fill on="f" focussize="0,0"/>
                  <v:stroke on="f"/>
                  <v:imagedata r:id="rId26" o:title=""/>
                  <o:lock v:ext="edit" aspectratio="f"/>
                  <w10:wrap type="none"/>
                  <w10:anchorlock/>
                </v:shape>
                <o:OLEObject Type="Embed" ProgID="Visio.Drawing.15" ShapeID="_x0000_i1026" DrawAspect="Content" ObjectID="_1468075726" r:id="rId25">
                  <o:LockedField>false</o:LockedField>
                </o:OLEObject>
              </w:object>
            </w:r>
          </w:p>
          <w:p w14:paraId="3393FC32">
            <w:pPr>
              <w:pStyle w:val="15"/>
              <w:jc w:val="center"/>
              <w:rPr>
                <w:rFonts w:hint="default" w:ascii="Times New Roman" w:hAnsi="Times New Roman" w:eastAsia="宋体" w:cs="Times New Roman"/>
                <w:b/>
                <w:bCs/>
                <w:color w:val="auto"/>
                <w:sz w:val="21"/>
                <w:szCs w:val="18"/>
                <w:u w:val="none"/>
                <w:lang w:val="en-US" w:eastAsia="zh-CN"/>
              </w:rPr>
            </w:pPr>
          </w:p>
          <w:p w14:paraId="4E86AAD9">
            <w:pPr>
              <w:pStyle w:val="15"/>
              <w:jc w:val="center"/>
              <w:rPr>
                <w:rFonts w:hint="default" w:ascii="Times New Roman" w:hAnsi="Times New Roman" w:eastAsia="宋体" w:cs="Times New Roman"/>
                <w:b/>
                <w:bCs/>
                <w:color w:val="auto"/>
                <w:sz w:val="21"/>
                <w:szCs w:val="18"/>
                <w:u w:val="none"/>
                <w:lang w:val="en-US" w:eastAsia="zh-CN"/>
              </w:rPr>
            </w:pPr>
            <w:r>
              <w:rPr>
                <w:rFonts w:hint="default" w:ascii="Times New Roman" w:hAnsi="Times New Roman" w:eastAsia="宋体" w:cs="Times New Roman"/>
                <w:b/>
                <w:bCs/>
                <w:color w:val="auto"/>
                <w:sz w:val="21"/>
                <w:szCs w:val="18"/>
                <w:u w:val="none"/>
                <w:lang w:val="en-US" w:eastAsia="zh-CN"/>
              </w:rPr>
              <w:t>图2</w:t>
            </w:r>
            <w:r>
              <w:rPr>
                <w:rFonts w:hint="default" w:ascii="Times New Roman" w:hAnsi="Times New Roman" w:cs="Times New Roman"/>
                <w:b/>
                <w:bCs/>
                <w:color w:val="auto"/>
                <w:sz w:val="21"/>
                <w:szCs w:val="18"/>
                <w:u w:val="none"/>
                <w:lang w:val="en-US" w:eastAsia="zh-CN"/>
              </w:rPr>
              <w:t>.9-1</w:t>
            </w:r>
            <w:r>
              <w:rPr>
                <w:rFonts w:hint="default" w:ascii="Times New Roman" w:hAnsi="Times New Roman" w:eastAsia="宋体" w:cs="Times New Roman"/>
                <w:b/>
                <w:bCs/>
                <w:color w:val="auto"/>
                <w:sz w:val="21"/>
                <w:szCs w:val="18"/>
                <w:u w:val="none"/>
                <w:lang w:val="en-US" w:eastAsia="zh-CN"/>
              </w:rPr>
              <w:t xml:space="preserve">     施工期流程及产物节点图</w:t>
            </w:r>
          </w:p>
          <w:p w14:paraId="0DE65D3D">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10、</w:t>
            </w:r>
            <w:r>
              <w:rPr>
                <w:rFonts w:hint="default" w:ascii="Times New Roman" w:hAnsi="Times New Roman" w:eastAsia="宋体" w:cs="Times New Roman"/>
                <w:b/>
                <w:bCs/>
                <w:color w:val="auto"/>
                <w:kern w:val="0"/>
                <w:sz w:val="24"/>
                <w:szCs w:val="24"/>
                <w:lang w:val="en-US" w:eastAsia="zh-CN" w:bidi="ar"/>
              </w:rPr>
              <w:t>运营期工艺流程</w:t>
            </w:r>
          </w:p>
          <w:p w14:paraId="3FD7069A">
            <w:pPr>
              <w:pStyle w:val="44"/>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10</w:t>
            </w:r>
            <w:r>
              <w:rPr>
                <w:rFonts w:hint="default" w:ascii="Times New Roman" w:hAnsi="Times New Roman" w:eastAsia="宋体" w:cs="Times New Roman"/>
                <w:b/>
                <w:bCs/>
                <w:color w:val="auto"/>
                <w:lang w:val="en-US" w:eastAsia="zh-CN"/>
              </w:rPr>
              <w:t xml:space="preserve">.1 </w:t>
            </w:r>
            <w:r>
              <w:rPr>
                <w:rFonts w:hint="default" w:ascii="Times New Roman" w:hAnsi="Times New Roman" w:cs="Times New Roman"/>
                <w:b/>
                <w:bCs/>
                <w:color w:val="auto"/>
                <w:lang w:val="en-US" w:eastAsia="zh-CN"/>
              </w:rPr>
              <w:t>液化石油气（</w:t>
            </w:r>
            <w:r>
              <w:rPr>
                <w:rFonts w:hint="default" w:ascii="Times New Roman" w:hAnsi="Times New Roman" w:eastAsia="宋体" w:cs="Times New Roman"/>
                <w:b/>
                <w:bCs/>
                <w:color w:val="auto"/>
                <w:lang w:val="en-US" w:eastAsia="zh-CN"/>
              </w:rPr>
              <w:t>LPG</w:t>
            </w:r>
            <w:r>
              <w:rPr>
                <w:rFonts w:hint="default" w:ascii="Times New Roman" w:hAnsi="Times New Roman" w:cs="Times New Roman"/>
                <w:b/>
                <w:bCs/>
                <w:color w:val="auto"/>
                <w:lang w:val="en-US" w:eastAsia="zh-CN"/>
              </w:rPr>
              <w:t>）</w:t>
            </w:r>
            <w:r>
              <w:rPr>
                <w:rFonts w:hint="default" w:ascii="Times New Roman" w:hAnsi="Times New Roman" w:eastAsia="宋体" w:cs="Times New Roman"/>
                <w:b/>
                <w:bCs/>
                <w:color w:val="auto"/>
                <w:lang w:val="en-US" w:eastAsia="zh-CN"/>
              </w:rPr>
              <w:t>灌装站工艺流程</w:t>
            </w:r>
          </w:p>
          <w:p w14:paraId="2FB5F0E1">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LPG灌装站工艺流程分为卸车流程、灌装流程、残液倒空流程、倒罐流程：</w:t>
            </w:r>
          </w:p>
          <w:p w14:paraId="6666A54D">
            <w:pPr>
              <w:numPr>
                <w:ilvl w:val="0"/>
                <w:numId w:val="6"/>
              </w:num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卸车：自槽车运来的液化石油气到达卸车台</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在卸车位消除静电20min后</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将</w:t>
            </w:r>
            <w:r>
              <w:rPr>
                <w:rFonts w:hint="default" w:ascii="Times New Roman" w:hAnsi="Times New Roman" w:cs="Times New Roman"/>
                <w:color w:val="auto"/>
                <w:sz w:val="24"/>
                <w:u w:val="none"/>
              </w:rPr>
              <w:t>气相管和液相管分别与卸车臂气相管和液相管相接。靠压缩机从储罐抽吸气态液化石油气压入槽车的气相空间，使槽车和储罐之间形成卸车所需要的压差</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0.2</w:t>
            </w:r>
            <w:r>
              <w:rPr>
                <w:rFonts w:hint="default" w:ascii="Times New Roman" w:hAnsi="Times New Roman" w:cs="Times New Roman"/>
                <w:color w:val="auto"/>
                <w:sz w:val="24"/>
                <w:u w:val="none"/>
                <w:lang w:val="en-US" w:eastAsia="zh-CN"/>
              </w:rPr>
              <w:t>~</w:t>
            </w:r>
            <w:r>
              <w:rPr>
                <w:rFonts w:hint="default" w:ascii="Times New Roman" w:hAnsi="Times New Roman" w:cs="Times New Roman"/>
                <w:color w:val="auto"/>
                <w:sz w:val="24"/>
                <w:u w:val="none"/>
              </w:rPr>
              <w:t>0.3MPa</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然后将液态液化石油气卸入罐内。当槽车中的液化石油气卸完后，还应通过调整压缩机出入口气相阀组的启闭，将气态液化石油气由槽车中抽出，压入储罐中，槽车储罐中的最终压力，一般应保持在0.1~0.2MPa左右。</w:t>
            </w:r>
          </w:p>
          <w:p w14:paraId="31D21089">
            <w:pPr>
              <w:spacing w:line="360" w:lineRule="auto"/>
              <w:ind w:firstLine="480" w:firstLineChars="200"/>
              <w:rPr>
                <w:rFonts w:hint="default" w:ascii="Times New Roman" w:hAnsi="Times New Roman" w:eastAsia="宋体" w:cs="Times New Roman"/>
                <w:color w:val="auto"/>
                <w:sz w:val="24"/>
                <w:u w:val="none"/>
                <w:lang w:val="en-US" w:eastAsia="zh-CN"/>
              </w:rPr>
            </w:pP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2</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灌装：灌装是利用烃泵经液相管道将液化石油气送至灌瓶间的液相管，再经支管进入灌装秤，进行灌瓶作业</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充装后的实瓶必须复核检斤。</w:t>
            </w:r>
          </w:p>
          <w:p w14:paraId="3AF04F25">
            <w:pPr>
              <w:spacing w:line="360" w:lineRule="auto"/>
              <w:ind w:firstLine="480" w:firstLineChars="200"/>
              <w:rPr>
                <w:rFonts w:hint="default" w:ascii="Times New Roman" w:hAnsi="Times New Roman" w:cs="Times New Roman"/>
                <w:color w:val="0000FF"/>
                <w:sz w:val="24"/>
                <w:u w:val="none"/>
              </w:rPr>
            </w:pP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3</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rPr>
              <w:t>残液倒空：采用正压法，即将残液倒空嘴和气瓶角阀接通后，压缩机将储罐内气体抽出给气瓶加压，当气瓶内的压力比残液罐压力大</w:t>
            </w:r>
            <w:r>
              <w:rPr>
                <w:rFonts w:hint="eastAsia" w:cs="Times New Roman"/>
                <w:color w:val="auto"/>
                <w:sz w:val="24"/>
                <w:u w:val="none"/>
                <w:lang w:val="en-US" w:eastAsia="zh-CN"/>
              </w:rPr>
              <w:t>于</w:t>
            </w:r>
            <w:r>
              <w:rPr>
                <w:rFonts w:hint="default" w:ascii="Times New Roman" w:hAnsi="Times New Roman" w:cs="Times New Roman"/>
                <w:color w:val="auto"/>
                <w:sz w:val="24"/>
                <w:u w:val="none"/>
              </w:rPr>
              <w:t>0.1~0.2MPa时，关闭气相</w:t>
            </w:r>
            <w:r>
              <w:rPr>
                <w:rFonts w:hint="default" w:ascii="Times New Roman" w:hAnsi="Times New Roman" w:cs="Times New Roman"/>
                <w:color w:val="auto"/>
                <w:sz w:val="24"/>
                <w:u w:val="none"/>
                <w:lang w:val="en-US" w:eastAsia="zh-CN"/>
              </w:rPr>
              <w:t>管道阀门，切换到倒空管路阀门、翻转倒空架，即可将气瓶内的残液倒入残液罐。</w:t>
            </w:r>
            <w:r>
              <w:rPr>
                <w:rFonts w:hint="eastAsia" w:cs="Times New Roman"/>
                <w:color w:val="0000FF"/>
                <w:sz w:val="24"/>
                <w:u w:val="none"/>
                <w:lang w:val="en-US" w:eastAsia="zh-CN"/>
              </w:rPr>
              <w:t>残液罐规格为50kg/罐，暂存于危废暂存间内，</w:t>
            </w:r>
            <w:r>
              <w:rPr>
                <w:rFonts w:hint="default" w:ascii="Times New Roman" w:hAnsi="Times New Roman" w:cs="Times New Roman"/>
                <w:color w:val="0000FF"/>
                <w:sz w:val="24"/>
                <w:u w:val="none"/>
                <w:lang w:val="en-US" w:eastAsia="zh-CN"/>
              </w:rPr>
              <w:t>定期通过外运处理。</w:t>
            </w:r>
          </w:p>
          <w:p w14:paraId="0C5D4889">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u w:val="none"/>
                <w:lang w:val="en-US" w:eastAsia="zh-CN"/>
              </w:rPr>
              <w:t>（4）倒罐：当储罐检修或其它原因需要倒罐时，利用压缩机抽吸收液罐内的气态液化石油气并压入检修罐中，使检修罐的压力升高，收液罐内压力降低，利用储罐的压差将检修罐内的液态液化石油气送至收液罐内</w:t>
            </w:r>
            <w:r>
              <w:rPr>
                <w:rFonts w:hint="default" w:ascii="Times New Roman" w:hAnsi="Times New Roman" w:cs="Times New Roman"/>
                <w:color w:val="auto"/>
                <w:sz w:val="24"/>
                <w:szCs w:val="24"/>
                <w:u w:val="none"/>
                <w:lang w:val="en-US" w:eastAsia="zh-CN"/>
              </w:rPr>
              <w:t>。</w:t>
            </w:r>
            <w:r>
              <w:rPr>
                <w:rFonts w:hint="default" w:ascii="Times New Roman" w:hAnsi="Times New Roman" w:eastAsia="宋体" w:cs="Times New Roman"/>
                <w:color w:val="auto"/>
                <w:sz w:val="24"/>
                <w:szCs w:val="24"/>
                <w:lang w:val="en-US" w:eastAsia="zh-CN"/>
              </w:rPr>
              <w:t>工艺流程见</w:t>
            </w:r>
            <w:r>
              <w:rPr>
                <w:rFonts w:hint="default" w:ascii="Times New Roman" w:hAnsi="Times New Roman" w:cs="Times New Roman"/>
                <w:color w:val="auto"/>
                <w:sz w:val="24"/>
                <w:szCs w:val="24"/>
                <w:lang w:val="en-US" w:eastAsia="zh-CN"/>
              </w:rPr>
              <w:t>下</w:t>
            </w:r>
            <w:r>
              <w:rPr>
                <w:rFonts w:hint="default" w:ascii="Times New Roman" w:hAnsi="Times New Roman" w:eastAsia="宋体" w:cs="Times New Roman"/>
                <w:color w:val="auto"/>
                <w:sz w:val="24"/>
                <w:szCs w:val="24"/>
                <w:lang w:val="en-US" w:eastAsia="zh-CN"/>
              </w:rPr>
              <w:t>图。</w:t>
            </w:r>
          </w:p>
          <w:p w14:paraId="5C42C097">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000000"/>
                <w:sz w:val="24"/>
                <w:szCs w:val="24"/>
                <w:lang w:val="en-US"/>
              </w:rPr>
              <w:object>
                <v:shape id="_x0000_i1027" o:spt="75" type="#_x0000_t75" style="height:227.95pt;width:324.9pt;" o:ole="t" filled="f" o:preferrelative="t" stroked="f" coordsize="21600,21600">
                  <v:path/>
                  <v:fill on="f" focussize="0,0"/>
                  <v:stroke on="f"/>
                  <v:imagedata r:id="rId28" o:title=""/>
                  <o:lock v:ext="edit" aspectratio="f"/>
                  <w10:wrap type="none"/>
                  <w10:anchorlock/>
                </v:shape>
                <o:OLEObject Type="Embed" ProgID="Visio.Drawing.15" ShapeID="_x0000_i1027" DrawAspect="Content" ObjectID="_1468075727" r:id="rId27">
                  <o:LockedField>false</o:LockedField>
                </o:OLEObject>
              </w:object>
            </w:r>
          </w:p>
          <w:p w14:paraId="34F65EDD">
            <w:pPr>
              <w:pStyle w:val="80"/>
              <w:keepNext/>
              <w:keepLines/>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图2.10-1   液化石油气灌装工艺流程及产排污节点图</w:t>
            </w:r>
          </w:p>
          <w:p w14:paraId="18880D8C">
            <w:pPr>
              <w:pStyle w:val="80"/>
              <w:keepNext/>
              <w:keepLines/>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object>
                <v:shape id="_x0000_i1028" o:spt="75" type="#_x0000_t75" style="height:199.7pt;width:332.5pt;" o:ole="t" filled="f" o:preferrelative="t" stroked="f" coordsize="21600,21600">
                  <v:path/>
                  <v:fill on="f" focussize="0,0"/>
                  <v:stroke on="f"/>
                  <v:imagedata r:id="rId30" o:title=""/>
                  <o:lock v:ext="edit" aspectratio="f"/>
                  <w10:wrap type="none"/>
                  <w10:anchorlock/>
                </v:shape>
                <o:OLEObject Type="Embed" ProgID="Visio.Drawing.15" ShapeID="_x0000_i1028" DrawAspect="Content" ObjectID="_1468075728" r:id="rId29">
                  <o:LockedField>false</o:LockedField>
                </o:OLEObject>
              </w:object>
            </w:r>
          </w:p>
          <w:p w14:paraId="2617470F">
            <w:pPr>
              <w:pStyle w:val="80"/>
              <w:keepNext/>
              <w:keepLines/>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图2.10-2   液化石油气残液回收工艺流程及产污环节图</w:t>
            </w:r>
          </w:p>
          <w:p w14:paraId="08C008F7">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sz w:val="24"/>
                <w:szCs w:val="24"/>
                <w:lang w:val="zh-CN"/>
              </w:rPr>
            </w:pPr>
            <w:r>
              <w:rPr>
                <w:rFonts w:hint="default" w:ascii="Times New Roman" w:hAnsi="Times New Roman" w:cs="Times New Roman"/>
                <w:b/>
                <w:bCs/>
                <w:color w:val="000000"/>
                <w:sz w:val="24"/>
                <w:szCs w:val="24"/>
                <w:lang w:val="en-US" w:eastAsia="zh-CN"/>
              </w:rPr>
              <w:t>10.2</w:t>
            </w:r>
            <w:r>
              <w:rPr>
                <w:rFonts w:hint="default" w:ascii="Times New Roman" w:hAnsi="Times New Roman" w:eastAsia="宋体" w:cs="Times New Roman"/>
                <w:b/>
                <w:bCs/>
                <w:color w:val="000000"/>
                <w:sz w:val="24"/>
                <w:szCs w:val="24"/>
                <w:lang w:val="zh-CN"/>
              </w:rPr>
              <w:t>改性丙烷生产</w:t>
            </w:r>
            <w:r>
              <w:rPr>
                <w:rFonts w:hint="default" w:ascii="Times New Roman" w:hAnsi="Times New Roman" w:cs="Times New Roman"/>
                <w:b/>
                <w:bCs/>
                <w:color w:val="000000"/>
                <w:sz w:val="24"/>
                <w:szCs w:val="24"/>
                <w:lang w:val="zh-CN"/>
              </w:rPr>
              <w:t>、</w:t>
            </w:r>
            <w:r>
              <w:rPr>
                <w:rFonts w:hint="default" w:ascii="Times New Roman" w:hAnsi="Times New Roman" w:cs="Times New Roman"/>
                <w:b/>
                <w:bCs/>
                <w:color w:val="000000"/>
                <w:sz w:val="24"/>
                <w:szCs w:val="24"/>
                <w:lang w:val="en-US" w:eastAsia="zh-CN"/>
              </w:rPr>
              <w:t>灌装</w:t>
            </w:r>
            <w:r>
              <w:rPr>
                <w:rFonts w:hint="default" w:ascii="Times New Roman" w:hAnsi="Times New Roman" w:eastAsia="宋体" w:cs="Times New Roman"/>
                <w:b/>
                <w:bCs/>
                <w:color w:val="000000"/>
                <w:sz w:val="24"/>
                <w:szCs w:val="24"/>
                <w:lang w:val="zh-CN"/>
              </w:rPr>
              <w:t>工艺：</w:t>
            </w:r>
          </w:p>
          <w:p w14:paraId="1F2D5A2D">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zh-CN"/>
              </w:rPr>
              <w:t>改性丙烷</w:t>
            </w:r>
            <w:r>
              <w:rPr>
                <w:rFonts w:hint="default" w:ascii="Times New Roman" w:hAnsi="Times New Roman" w:eastAsia="宋体" w:cs="Times New Roman"/>
                <w:color w:val="000000"/>
                <w:sz w:val="24"/>
                <w:szCs w:val="24"/>
                <w:lang w:val="en-US"/>
              </w:rPr>
              <w:t>灌装站工艺流程分为卸车流程、</w:t>
            </w:r>
            <w:r>
              <w:rPr>
                <w:rFonts w:hint="default" w:ascii="Times New Roman" w:hAnsi="Times New Roman" w:cs="Times New Roman"/>
                <w:color w:val="000000"/>
                <w:sz w:val="24"/>
                <w:szCs w:val="24"/>
                <w:lang w:val="en-US" w:eastAsia="zh-CN"/>
              </w:rPr>
              <w:t>混气流程、</w:t>
            </w:r>
            <w:r>
              <w:rPr>
                <w:rFonts w:hint="default" w:ascii="Times New Roman" w:hAnsi="Times New Roman" w:eastAsia="宋体" w:cs="Times New Roman"/>
                <w:color w:val="000000"/>
                <w:sz w:val="24"/>
                <w:szCs w:val="24"/>
                <w:lang w:val="en-US"/>
              </w:rPr>
              <w:t>灌瓶流程等部分。</w:t>
            </w:r>
          </w:p>
          <w:p w14:paraId="0BF936FB">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cs="Times New Roman"/>
                <w:color w:val="000000"/>
                <w:sz w:val="24"/>
                <w:szCs w:val="24"/>
                <w:lang w:val="en-US" w:eastAsia="zh-CN"/>
              </w:rPr>
              <w:t>（1）</w:t>
            </w:r>
            <w:r>
              <w:rPr>
                <w:rFonts w:hint="default" w:ascii="Times New Roman" w:hAnsi="Times New Roman" w:eastAsia="宋体" w:cs="Times New Roman"/>
                <w:color w:val="000000"/>
                <w:sz w:val="24"/>
                <w:szCs w:val="24"/>
                <w:lang w:val="en-US"/>
              </w:rPr>
              <w:t>卸车</w:t>
            </w:r>
          </w:p>
          <w:p w14:paraId="5C4C7B20">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本工程卸车流程如下：</w:t>
            </w:r>
          </w:p>
          <w:p w14:paraId="5A3E6872">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1）作业人员引导丙烷槽车进入场区，停靠至卸气区、驻车；</w:t>
            </w:r>
          </w:p>
          <w:p w14:paraId="7A607F00">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2）连接静电释放线，静止15</w:t>
            </w:r>
            <w:r>
              <w:rPr>
                <w:rFonts w:hint="default" w:ascii="Times New Roman" w:hAnsi="Times New Roman" w:eastAsia="宋体" w:cs="Times New Roman"/>
                <w:color w:val="000000"/>
                <w:sz w:val="24"/>
                <w:szCs w:val="24"/>
                <w:lang w:val="en-US" w:eastAsia="zh-CN"/>
              </w:rPr>
              <w:t>~</w:t>
            </w:r>
            <w:r>
              <w:rPr>
                <w:rFonts w:hint="default" w:ascii="Times New Roman" w:hAnsi="Times New Roman" w:eastAsia="宋体" w:cs="Times New Roman"/>
                <w:color w:val="000000"/>
                <w:sz w:val="24"/>
                <w:szCs w:val="24"/>
                <w:lang w:val="en-US"/>
              </w:rPr>
              <w:t>30分钟；</w:t>
            </w:r>
          </w:p>
          <w:p w14:paraId="509E9C0D">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3）停止充装作业，卸气区隔离、消防设施布置到位；</w:t>
            </w:r>
          </w:p>
          <w:p w14:paraId="7334C648">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4）分别连接气相管和液相管，确认连接牢固；</w:t>
            </w:r>
          </w:p>
          <w:p w14:paraId="1B63C0C2">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5）依次开启槽车和站场气相管道阀门平压，待压力平衡后，开启槽车和站场液相管道阀门；</w:t>
            </w:r>
          </w:p>
          <w:p w14:paraId="36C8BC3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6）启动站场压缩机卸气，将储罐气相压入槽车，利用压力将丙烷逐步卸入储罐；</w:t>
            </w:r>
          </w:p>
          <w:p w14:paraId="29B1779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7）卸气完毕，依次关闭槽车、站场液相和气相管道阀门，确认管道阀门完全关闭后拆除卸气管道和静电释放线，引导槽车离开站区，解除隔离。</w:t>
            </w:r>
          </w:p>
          <w:p w14:paraId="260BD380">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eastAsia="zh-CN"/>
              </w:rPr>
              <w:t>（2）</w:t>
            </w:r>
            <w:r>
              <w:rPr>
                <w:rFonts w:hint="default" w:ascii="Times New Roman" w:hAnsi="Times New Roman" w:eastAsia="宋体" w:cs="Times New Roman"/>
                <w:color w:val="000000"/>
                <w:sz w:val="24"/>
                <w:szCs w:val="24"/>
                <w:lang w:val="en-US"/>
              </w:rPr>
              <w:t>丙烷增效剂添加</w:t>
            </w:r>
            <w:r>
              <w:rPr>
                <w:rFonts w:hint="default" w:ascii="Times New Roman" w:hAnsi="Times New Roman" w:eastAsia="宋体" w:cs="Times New Roman"/>
                <w:color w:val="000000"/>
                <w:sz w:val="24"/>
                <w:szCs w:val="24"/>
                <w:lang w:val="en-US" w:eastAsia="zh-CN"/>
              </w:rPr>
              <w:t>混合</w:t>
            </w:r>
          </w:p>
          <w:p w14:paraId="78696110">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cs="Times New Roman"/>
                <w:color w:val="000000"/>
                <w:sz w:val="24"/>
                <w:szCs w:val="24"/>
                <w:lang w:val="en-US" w:eastAsia="zh-CN"/>
              </w:rPr>
              <w:t>增效剂</w:t>
            </w:r>
            <w:r>
              <w:rPr>
                <w:rFonts w:hint="default" w:ascii="Times New Roman" w:hAnsi="Times New Roman" w:eastAsia="宋体" w:cs="Times New Roman"/>
                <w:color w:val="000000"/>
                <w:sz w:val="24"/>
                <w:szCs w:val="24"/>
                <w:lang w:val="en-US"/>
              </w:rPr>
              <w:t>添加</w:t>
            </w:r>
            <w:r>
              <w:rPr>
                <w:rFonts w:hint="default" w:ascii="Times New Roman" w:hAnsi="Times New Roman" w:cs="Times New Roman"/>
                <w:color w:val="000000"/>
                <w:sz w:val="24"/>
                <w:szCs w:val="24"/>
                <w:lang w:val="en-US" w:eastAsia="zh-CN"/>
              </w:rPr>
              <w:t>、混合</w:t>
            </w:r>
            <w:r>
              <w:rPr>
                <w:rFonts w:hint="default" w:ascii="Times New Roman" w:hAnsi="Times New Roman" w:eastAsia="宋体" w:cs="Times New Roman"/>
                <w:color w:val="000000"/>
                <w:sz w:val="24"/>
                <w:szCs w:val="24"/>
                <w:lang w:val="en-US"/>
              </w:rPr>
              <w:t>工艺流程：</w:t>
            </w:r>
          </w:p>
          <w:p w14:paraId="4670F5D2">
            <w:pPr>
              <w:keepNext w:val="0"/>
              <w:keepLines w:val="0"/>
              <w:pageBreakBefore w:val="0"/>
              <w:widowControl/>
              <w:numPr>
                <w:ilvl w:val="0"/>
                <w:numId w:val="7"/>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灌注：外购桶装增效剂</w:t>
            </w:r>
            <w:r>
              <w:rPr>
                <w:rFonts w:hint="default" w:ascii="Times New Roman" w:hAnsi="Times New Roman" w:eastAsia="宋体" w:cs="Times New Roman"/>
                <w:color w:val="000000"/>
                <w:sz w:val="24"/>
                <w:szCs w:val="24"/>
                <w:lang w:val="en-US"/>
              </w:rPr>
              <w:t>原料桶</w:t>
            </w:r>
            <w:r>
              <w:rPr>
                <w:rFonts w:hint="default" w:ascii="Times New Roman" w:hAnsi="Times New Roman" w:cs="Times New Roman"/>
                <w:color w:val="000000"/>
                <w:sz w:val="24"/>
                <w:szCs w:val="24"/>
                <w:lang w:val="en-US" w:eastAsia="zh-CN"/>
              </w:rPr>
              <w:t>用进料管与灌注器连接，灌注器通过输送/计量泵将增效器由输送管线注入丙烷储罐内，</w:t>
            </w:r>
            <w:r>
              <w:rPr>
                <w:rFonts w:hint="default" w:ascii="Times New Roman" w:hAnsi="Times New Roman" w:eastAsia="宋体" w:cs="Times New Roman"/>
                <w:color w:val="000000"/>
                <w:sz w:val="24"/>
                <w:szCs w:val="24"/>
                <w:lang w:val="en-US"/>
              </w:rPr>
              <w:t>增效剂按照一定的比例</w:t>
            </w:r>
            <w:r>
              <w:rPr>
                <w:rFonts w:hint="default" w:ascii="Times New Roman" w:hAnsi="Times New Roman" w:eastAsia="宋体" w:cs="Times New Roman"/>
                <w:color w:val="000000"/>
                <w:sz w:val="24"/>
                <w:szCs w:val="24"/>
                <w:lang w:val="en-US" w:eastAsia="zh-CN"/>
              </w:rPr>
              <w:t>（5‰）</w:t>
            </w:r>
            <w:r>
              <w:rPr>
                <w:rFonts w:hint="default" w:ascii="Times New Roman" w:hAnsi="Times New Roman" w:eastAsia="宋体" w:cs="Times New Roman"/>
                <w:color w:val="000000"/>
                <w:sz w:val="24"/>
                <w:szCs w:val="24"/>
                <w:lang w:val="en-US"/>
              </w:rPr>
              <w:t>添加到丙烷气里，</w:t>
            </w:r>
            <w:r>
              <w:rPr>
                <w:rFonts w:hint="default" w:ascii="Times New Roman" w:hAnsi="Times New Roman" w:cs="Times New Roman"/>
                <w:color w:val="000000"/>
                <w:sz w:val="24"/>
                <w:szCs w:val="24"/>
                <w:lang w:val="en-US" w:eastAsia="zh-CN"/>
              </w:rPr>
              <w:t>使增效剂与液体丙烷初步混合；</w:t>
            </w:r>
          </w:p>
          <w:p w14:paraId="5F43391C">
            <w:pPr>
              <w:keepNext w:val="0"/>
              <w:keepLines w:val="0"/>
              <w:pageBreakBefore w:val="0"/>
              <w:widowControl/>
              <w:numPr>
                <w:ilvl w:val="0"/>
                <w:numId w:val="7"/>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cs="Times New Roman"/>
                <w:color w:val="000000"/>
                <w:sz w:val="24"/>
                <w:szCs w:val="24"/>
                <w:lang w:val="en-US" w:eastAsia="zh-CN"/>
              </w:rPr>
              <w:t>混合：丙烷储罐外接一套循环混合管路，储罐内混合液体由泵打入</w:t>
            </w:r>
            <w:r>
              <w:rPr>
                <w:rFonts w:hint="default" w:ascii="Times New Roman" w:hAnsi="Times New Roman" w:eastAsia="宋体" w:cs="Times New Roman"/>
                <w:color w:val="000000"/>
                <w:sz w:val="24"/>
                <w:szCs w:val="24"/>
                <w:lang w:val="en-US"/>
              </w:rPr>
              <w:t>输出管线</w:t>
            </w:r>
            <w:r>
              <w:rPr>
                <w:rFonts w:hint="default" w:ascii="Times New Roman" w:hAnsi="Times New Roman" w:cs="Times New Roman"/>
                <w:color w:val="000000"/>
                <w:sz w:val="24"/>
                <w:szCs w:val="24"/>
                <w:lang w:val="en-US" w:eastAsia="zh-CN"/>
              </w:rPr>
              <w:t>，经</w:t>
            </w:r>
            <w:r>
              <w:rPr>
                <w:rFonts w:hint="default" w:ascii="Times New Roman" w:hAnsi="Times New Roman" w:eastAsia="宋体" w:cs="Times New Roman"/>
                <w:color w:val="000000"/>
                <w:sz w:val="24"/>
                <w:szCs w:val="24"/>
                <w:lang w:val="en-US" w:eastAsia="zh-CN"/>
              </w:rPr>
              <w:t>混合器</w:t>
            </w:r>
            <w:r>
              <w:rPr>
                <w:rFonts w:hint="default" w:ascii="Times New Roman" w:hAnsi="Times New Roman" w:cs="Times New Roman"/>
                <w:color w:val="000000"/>
                <w:sz w:val="24"/>
                <w:szCs w:val="24"/>
                <w:lang w:val="en-US" w:eastAsia="zh-CN"/>
              </w:rPr>
              <w:t>充分混合后循环打回储罐，</w:t>
            </w:r>
            <w:r>
              <w:rPr>
                <w:rFonts w:hint="default" w:ascii="Times New Roman" w:hAnsi="Times New Roman" w:eastAsia="宋体" w:cs="Times New Roman"/>
                <w:color w:val="000000"/>
                <w:sz w:val="24"/>
                <w:szCs w:val="24"/>
                <w:lang w:val="en-US" w:eastAsia="zh-CN"/>
              </w:rPr>
              <w:t>经过2~3次循环混合</w:t>
            </w:r>
            <w:r>
              <w:rPr>
                <w:rFonts w:hint="default" w:ascii="Times New Roman" w:hAnsi="Times New Roman" w:eastAsia="宋体" w:cs="Times New Roman"/>
                <w:color w:val="000000"/>
                <w:sz w:val="24"/>
                <w:szCs w:val="24"/>
                <w:lang w:val="en-US"/>
              </w:rPr>
              <w:t>使增效剂与丙烷充分的混合</w:t>
            </w:r>
            <w:r>
              <w:rPr>
                <w:rFonts w:hint="default" w:ascii="Times New Roman" w:hAnsi="Times New Roman" w:eastAsia="宋体" w:cs="Times New Roman"/>
                <w:color w:val="000000"/>
                <w:sz w:val="24"/>
                <w:szCs w:val="24"/>
                <w:lang w:val="en-US" w:eastAsia="zh-CN"/>
              </w:rPr>
              <w:t>均匀</w:t>
            </w:r>
            <w:r>
              <w:rPr>
                <w:rFonts w:hint="default" w:ascii="Times New Roman" w:hAnsi="Times New Roman" w:eastAsia="宋体" w:cs="Times New Roman"/>
                <w:color w:val="000000"/>
                <w:sz w:val="24"/>
                <w:szCs w:val="24"/>
                <w:lang w:val="en-US"/>
              </w:rPr>
              <w:t>，</w:t>
            </w:r>
            <w:r>
              <w:rPr>
                <w:rFonts w:hint="default" w:ascii="Times New Roman" w:hAnsi="Times New Roman" w:eastAsia="宋体" w:cs="Times New Roman"/>
                <w:color w:val="000000"/>
                <w:sz w:val="24"/>
                <w:szCs w:val="24"/>
                <w:lang w:val="en-US" w:eastAsia="zh-CN"/>
              </w:rPr>
              <w:t>混合过程为物理混合，两种物质不发生反应，混合后不改变丙烷的物理性质。</w:t>
            </w:r>
          </w:p>
          <w:p w14:paraId="758134FC">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eastAsia="zh-CN"/>
              </w:rPr>
              <w:t>在丙烷加入一定比例的增效剂混合形成的高效的改性丙烷，增效剂是无毒、无腐蚀的化合物，具有助燃、阻聚、催化等特殊功效。在氧作用下，能使</w:t>
            </w:r>
            <w:r>
              <w:rPr>
                <w:rFonts w:hint="default" w:ascii="Times New Roman" w:hAnsi="Times New Roman" w:cs="Times New Roman"/>
                <w:color w:val="000000"/>
                <w:sz w:val="24"/>
                <w:szCs w:val="24"/>
                <w:lang w:val="en-US" w:eastAsia="zh-CN"/>
              </w:rPr>
              <w:t>改性丙烷</w:t>
            </w:r>
            <w:r>
              <w:rPr>
                <w:rFonts w:hint="default" w:ascii="Times New Roman" w:hAnsi="Times New Roman" w:eastAsia="宋体" w:cs="Times New Roman"/>
                <w:color w:val="000000"/>
                <w:sz w:val="24"/>
                <w:szCs w:val="24"/>
                <w:lang w:val="en-US" w:eastAsia="zh-CN"/>
              </w:rPr>
              <w:t>火焰温度高达3361℃，可以改变火焰的频率及波长，激活主体介质迅速燃烧，释放出更高的能量，并提高了有效热量对作用物的传递，抑制了火焰向周围空气中的辐射，达到更高的温度。使燃气具有预热时间短、切割速度快、切割表面光滑等优点，同时还具有无毒、污染少等特性。</w:t>
            </w:r>
          </w:p>
          <w:p w14:paraId="772D4B5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cs="Times New Roman"/>
                <w:color w:val="000000"/>
                <w:sz w:val="24"/>
                <w:szCs w:val="24"/>
                <w:lang w:val="en-US" w:eastAsia="zh-CN"/>
              </w:rPr>
              <w:t>（3）</w:t>
            </w:r>
            <w:r>
              <w:rPr>
                <w:rFonts w:hint="default" w:ascii="Times New Roman" w:hAnsi="Times New Roman" w:eastAsia="宋体" w:cs="Times New Roman"/>
                <w:color w:val="000000"/>
                <w:sz w:val="24"/>
                <w:szCs w:val="24"/>
                <w:lang w:val="en-US"/>
              </w:rPr>
              <w:t>灌瓶流程</w:t>
            </w:r>
          </w:p>
          <w:p w14:paraId="7EE8D07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sz w:val="24"/>
                <w:szCs w:val="24"/>
                <w:lang w:val="en-US"/>
              </w:rPr>
            </w:pPr>
            <w:r>
              <w:rPr>
                <w:rFonts w:hint="default" w:ascii="Times New Roman" w:hAnsi="Times New Roman" w:eastAsia="宋体" w:cs="Times New Roman"/>
                <w:color w:val="000000"/>
                <w:sz w:val="24"/>
                <w:szCs w:val="24"/>
                <w:lang w:val="en-US"/>
              </w:rPr>
              <w:t>从丙烷储灌来的液态</w:t>
            </w:r>
            <w:r>
              <w:rPr>
                <w:rFonts w:hint="default" w:ascii="Times New Roman" w:hAnsi="Times New Roman" w:cs="Times New Roman"/>
                <w:color w:val="000000"/>
                <w:sz w:val="24"/>
                <w:szCs w:val="24"/>
                <w:lang w:val="en-US" w:eastAsia="zh-CN"/>
              </w:rPr>
              <w:t>改性丙烷</w:t>
            </w:r>
            <w:r>
              <w:rPr>
                <w:rFonts w:hint="default" w:ascii="Times New Roman" w:hAnsi="Times New Roman" w:eastAsia="宋体" w:cs="Times New Roman"/>
                <w:color w:val="000000"/>
                <w:sz w:val="24"/>
                <w:szCs w:val="24"/>
                <w:lang w:val="en-US"/>
              </w:rPr>
              <w:t>经烃泵加压后，经过灌装秤灌入丙烷钢瓶。新瓶首次灌瓶前应用真空泵将其抽至80.0KPa真空度以上。</w:t>
            </w:r>
          </w:p>
          <w:p w14:paraId="7739EE71">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工艺流程图见图2</w:t>
            </w:r>
            <w:r>
              <w:rPr>
                <w:rFonts w:hint="default" w:ascii="Times New Roman" w:hAnsi="Times New Roman" w:cs="Times New Roman"/>
                <w:color w:val="auto"/>
                <w:sz w:val="24"/>
                <w:szCs w:val="24"/>
                <w:lang w:val="en-US" w:eastAsia="zh-CN"/>
              </w:rPr>
              <w:t>.10-3</w:t>
            </w:r>
            <w:r>
              <w:rPr>
                <w:rFonts w:hint="default" w:ascii="Times New Roman" w:hAnsi="Times New Roman" w:eastAsia="宋体" w:cs="Times New Roman"/>
                <w:color w:val="auto"/>
                <w:sz w:val="24"/>
                <w:szCs w:val="24"/>
                <w:lang w:val="en-US" w:eastAsia="zh-CN"/>
              </w:rPr>
              <w:t>。</w:t>
            </w:r>
          </w:p>
          <w:p w14:paraId="3E1E19DC">
            <w:pPr>
              <w:pStyle w:val="80"/>
              <w:keepNext/>
              <w:keepLines/>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lang w:val="en-US"/>
              </w:rPr>
            </w:pPr>
            <w:r>
              <w:rPr>
                <w:rFonts w:hint="default" w:ascii="Times New Roman" w:hAnsi="Times New Roman" w:cs="Times New Roman"/>
                <w:lang w:val="en-US"/>
              </w:rPr>
              <w:object>
                <v:shape id="_x0000_i1029" o:spt="75" type="#_x0000_t75" style="height:236.05pt;width:355.65pt;" o:ole="t" filled="f" o:preferrelative="t" stroked="f" coordsize="21600,21600">
                  <v:path/>
                  <v:fill on="f" focussize="0,0"/>
                  <v:stroke on="f"/>
                  <v:imagedata r:id="rId32" o:title=""/>
                  <o:lock v:ext="edit" aspectratio="f"/>
                  <w10:wrap type="none"/>
                  <w10:anchorlock/>
                </v:shape>
                <o:OLEObject Type="Embed" ProgID="Visio.Drawing.15" ShapeID="_x0000_i1029" DrawAspect="Content" ObjectID="_1468075729" r:id="rId31">
                  <o:LockedField>false</o:LockedField>
                </o:OLEObject>
              </w:object>
            </w:r>
          </w:p>
          <w:p w14:paraId="70C16EDA">
            <w:pPr>
              <w:pStyle w:val="80"/>
              <w:keepNext/>
              <w:keepLines/>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1"/>
                <w:szCs w:val="21"/>
                <w:highlight w:val="none"/>
                <w:lang w:val="en-US" w:eastAsia="zh-CN"/>
              </w:rPr>
              <w:t>图2.10-3  改性丙烷生产及灌装工艺流程及产排污节点图</w:t>
            </w:r>
          </w:p>
          <w:p w14:paraId="722248C4">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10.3 其他工业气体充装站工艺流程</w:t>
            </w:r>
          </w:p>
          <w:p w14:paraId="4A79A47A">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其他工业</w:t>
            </w:r>
            <w:r>
              <w:rPr>
                <w:rFonts w:hint="default" w:ascii="Times New Roman" w:hAnsi="Times New Roman" w:eastAsia="宋体" w:cs="Times New Roman"/>
                <w:color w:val="auto"/>
                <w:lang w:val="en-US" w:eastAsia="zh-CN"/>
              </w:rPr>
              <w:t>气体</w:t>
            </w:r>
            <w:r>
              <w:rPr>
                <w:rFonts w:hint="default" w:ascii="Times New Roman" w:hAnsi="Times New Roman" w:cs="Times New Roman"/>
                <w:color w:val="auto"/>
                <w:lang w:val="en-US" w:eastAsia="zh-CN"/>
              </w:rPr>
              <w:t>充装</w:t>
            </w:r>
            <w:r>
              <w:rPr>
                <w:rFonts w:hint="default" w:ascii="Times New Roman" w:hAnsi="Times New Roman" w:eastAsia="宋体" w:cs="Times New Roman"/>
                <w:color w:val="auto"/>
                <w:lang w:val="en-US" w:eastAsia="zh-CN"/>
              </w:rPr>
              <w:t>工艺功能如下：</w:t>
            </w:r>
          </w:p>
          <w:p w14:paraId="5B93DE24">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w:t>
            </w:r>
            <w:r>
              <w:rPr>
                <w:rFonts w:hint="default" w:ascii="Times New Roman" w:hAnsi="Times New Roman" w:cs="Times New Roman"/>
                <w:color w:val="auto"/>
                <w:lang w:val="en-US" w:eastAsia="zh-CN"/>
              </w:rPr>
              <w:t>工业</w:t>
            </w:r>
            <w:r>
              <w:rPr>
                <w:rFonts w:hint="default" w:ascii="Times New Roman" w:hAnsi="Times New Roman" w:eastAsia="宋体" w:cs="Times New Roman"/>
                <w:color w:val="auto"/>
                <w:lang w:val="en-US" w:eastAsia="zh-CN"/>
              </w:rPr>
              <w:t>氧气</w:t>
            </w:r>
            <w:r>
              <w:rPr>
                <w:rFonts w:hint="default" w:ascii="Times New Roman" w:hAnsi="Times New Roman" w:cs="Times New Roman"/>
                <w:color w:val="auto"/>
                <w:lang w:val="en-US" w:eastAsia="zh-CN"/>
              </w:rPr>
              <w:t>充装</w:t>
            </w:r>
            <w:r>
              <w:rPr>
                <w:rFonts w:hint="default" w:ascii="Times New Roman" w:hAnsi="Times New Roman" w:eastAsia="宋体" w:cs="Times New Roman"/>
                <w:color w:val="auto"/>
                <w:lang w:val="en-US" w:eastAsia="zh-CN"/>
              </w:rPr>
              <w:t>：液氧槽车将液氧卸入液氧储罐中，液氧经高压泵加压后，经空温气化器加热为气态后，经氧气汇流排对工业钢瓶进行充装，充装至规定压力后完成充装作业。</w:t>
            </w:r>
          </w:p>
          <w:p w14:paraId="17E401D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（2）氮气灌装：液氮槽车将液氮卸入液氮储罐中，液氮经高压泵加压后，经空温气化器加热为气态后，经氮气汇流排对工业钢瓶进行充装，充装至规定压力后完成充装作业。</w:t>
            </w:r>
          </w:p>
          <w:p w14:paraId="3D05B590">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（3）氩气灌装：液氩槽车将液氩卸入液氩储罐中，液氩经高压泵加压后，经空温气化器加热为气态后，经氩气汇流排对工业钢瓶进行充装，充装至规定压力后完成充装作业。</w:t>
            </w:r>
          </w:p>
          <w:p w14:paraId="155B2A37">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二氧化碳灌装：液态二氧化碳槽车将液态二氧化碳卸入储罐中，液态二氧化碳经高压泵加压后，经空温气化器加热为气态后，经二氧化碳汇流排对工业钢瓶进行充装，充装至规定压力后完成充装作业。工艺流程图见图2</w:t>
            </w:r>
            <w:r>
              <w:rPr>
                <w:rFonts w:hint="default" w:ascii="Times New Roman" w:hAnsi="Times New Roman" w:cs="Times New Roman"/>
                <w:color w:val="auto"/>
                <w:lang w:val="en-US" w:eastAsia="zh-CN"/>
              </w:rPr>
              <w:t>.10-4</w:t>
            </w:r>
            <w:r>
              <w:rPr>
                <w:rFonts w:hint="default" w:ascii="Times New Roman" w:hAnsi="Times New Roman" w:eastAsia="宋体" w:cs="Times New Roman"/>
                <w:color w:val="auto"/>
                <w:lang w:val="en-US" w:eastAsia="zh-CN"/>
              </w:rPr>
              <w:t>。</w:t>
            </w:r>
          </w:p>
          <w:p w14:paraId="56C9C696">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object>
                <v:shape id="_x0000_i1030" o:spt="75" type="#_x0000_t75" style="height:379.7pt;width:299pt;" o:ole="t" filled="f" o:preferrelative="t" stroked="f" coordsize="21600,21600">
                  <v:path/>
                  <v:fill on="f" focussize="0,0"/>
                  <v:stroke on="f"/>
                  <v:imagedata r:id="rId34" o:title=""/>
                  <o:lock v:ext="edit" aspectratio="f"/>
                  <w10:wrap type="none"/>
                  <w10:anchorlock/>
                </v:shape>
                <o:OLEObject Type="Embed" ProgID="Visio.Drawing.15" ShapeID="_x0000_i1030" DrawAspect="Content" ObjectID="_1468075730" r:id="rId33">
                  <o:LockedField>false</o:LockedField>
                </o:OLEObject>
              </w:object>
            </w:r>
          </w:p>
          <w:p w14:paraId="4FB49265">
            <w:pPr>
              <w:pStyle w:val="44"/>
              <w:keepNext w:val="0"/>
              <w:keepLines w:val="0"/>
              <w:pageBreakBefore w:val="0"/>
              <w:widowControl w:val="0"/>
              <w:numPr>
                <w:ilvl w:val="0"/>
                <w:numId w:val="0"/>
              </w:numPr>
              <w:kinsoku/>
              <w:wordWrap/>
              <w:overflowPunct/>
              <w:topLinePunct w:val="0"/>
              <w:autoSpaceDE/>
              <w:autoSpaceDN/>
              <w:bidi w:val="0"/>
              <w:adjustRightInd/>
              <w:snapToGrid/>
              <w:ind w:firstLine="422" w:firstLineChars="200"/>
              <w:jc w:val="center"/>
              <w:textAlignment w:val="auto"/>
              <w:rPr>
                <w:rFonts w:hint="default" w:ascii="Times New Roman" w:hAnsi="Times New Roman" w:eastAsia="宋体" w:cs="Times New Roman"/>
                <w:color w:val="auto"/>
                <w:sz w:val="21"/>
                <w:szCs w:val="20"/>
                <w:lang w:val="en-US" w:eastAsia="zh-CN"/>
              </w:rPr>
            </w:pPr>
            <w:r>
              <w:rPr>
                <w:rFonts w:hint="default" w:ascii="Times New Roman" w:hAnsi="Times New Roman" w:eastAsia="宋体" w:cs="Times New Roman"/>
                <w:b/>
                <w:bCs/>
                <w:color w:val="auto"/>
                <w:sz w:val="21"/>
                <w:szCs w:val="21"/>
                <w:highlight w:val="none"/>
                <w:lang w:val="en-US" w:eastAsia="zh-CN"/>
              </w:rPr>
              <w:t>图2</w:t>
            </w:r>
            <w:r>
              <w:rPr>
                <w:rFonts w:hint="default" w:ascii="Times New Roman" w:hAnsi="Times New Roman" w:cs="Times New Roman"/>
                <w:b/>
                <w:bCs/>
                <w:color w:val="auto"/>
                <w:sz w:val="21"/>
                <w:szCs w:val="21"/>
                <w:highlight w:val="none"/>
                <w:lang w:val="en-US" w:eastAsia="zh-CN"/>
              </w:rPr>
              <w:t>.10-4</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lang w:val="en-US" w:eastAsia="zh-CN"/>
              </w:rPr>
              <w:t>其他</w:t>
            </w:r>
            <w:r>
              <w:rPr>
                <w:rFonts w:hint="default" w:ascii="Times New Roman" w:hAnsi="Times New Roman" w:eastAsia="宋体" w:cs="Times New Roman"/>
                <w:b/>
                <w:bCs/>
                <w:color w:val="auto"/>
                <w:sz w:val="21"/>
                <w:szCs w:val="21"/>
                <w:highlight w:val="none"/>
                <w:lang w:val="en-US" w:eastAsia="zh-CN"/>
              </w:rPr>
              <w:t>气体</w:t>
            </w:r>
            <w:r>
              <w:rPr>
                <w:rFonts w:hint="default" w:ascii="Times New Roman" w:hAnsi="Times New Roman" w:cs="Times New Roman"/>
                <w:b/>
                <w:bCs/>
                <w:color w:val="auto"/>
                <w:sz w:val="21"/>
                <w:szCs w:val="21"/>
                <w:highlight w:val="none"/>
                <w:lang w:val="en-US" w:eastAsia="zh-CN"/>
              </w:rPr>
              <w:t>充</w:t>
            </w:r>
            <w:r>
              <w:rPr>
                <w:rFonts w:hint="default" w:ascii="Times New Roman" w:hAnsi="Times New Roman" w:eastAsia="宋体" w:cs="Times New Roman"/>
                <w:b/>
                <w:bCs/>
                <w:color w:val="auto"/>
                <w:sz w:val="21"/>
                <w:szCs w:val="21"/>
                <w:highlight w:val="none"/>
                <w:lang w:val="en-US" w:eastAsia="zh-CN"/>
              </w:rPr>
              <w:t>装站工艺流程及产排污节点图</w:t>
            </w:r>
          </w:p>
          <w:p w14:paraId="04C42141">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10.4 医用氧气充装站工艺流程</w:t>
            </w:r>
          </w:p>
          <w:p w14:paraId="49731ED1">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医用氧气充装</w:t>
            </w:r>
            <w:r>
              <w:rPr>
                <w:rFonts w:hint="default" w:ascii="Times New Roman" w:hAnsi="Times New Roman" w:eastAsia="宋体" w:cs="Times New Roman"/>
                <w:color w:val="auto"/>
                <w:lang w:val="en-US" w:eastAsia="zh-CN"/>
              </w:rPr>
              <w:t>工艺功能如下：</w:t>
            </w:r>
          </w:p>
          <w:p w14:paraId="6B240BC5">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（1）气瓶预处理：医用氧气瓶运入充装站之后，用棉签或喷壶对瓶嘴用75%医用酒精进行消毒擦拭或喷雾消毒。75%医用酒精用95%乙醇稀释配制。</w:t>
            </w:r>
          </w:p>
          <w:p w14:paraId="71D67085">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医用酒精消毒过程中挥发产生有机废气（以非甲烷总烃计）。</w:t>
            </w:r>
          </w:p>
          <w:p w14:paraId="3ED50E9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（2）气瓶充装：医用液氧槽车将液氧卸入医用液氧储罐中，液氧经高压泵加压后，经空温气化器加热为气态后，经氧气汇流排对医用氧气钢瓶进行充装，充装至规定压力后完成充装作业。</w:t>
            </w:r>
          </w:p>
          <w:p w14:paraId="6329D340">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object>
                <v:shape id="_x0000_i1031" o:spt="75" type="#_x0000_t75" style="height:321.45pt;width:330.1pt;" o:ole="t" filled="f" o:preferrelative="t" stroked="f" coordsize="21600,21600">
                  <v:path/>
                  <v:fill on="f" focussize="0,0"/>
                  <v:stroke on="f"/>
                  <v:imagedata r:id="rId36" o:title=""/>
                  <o:lock v:ext="edit" aspectratio="f"/>
                  <w10:wrap type="none"/>
                  <w10:anchorlock/>
                </v:shape>
                <o:OLEObject Type="Embed" ProgID="Visio.Drawing.15" ShapeID="_x0000_i1031" DrawAspect="Content" ObjectID="_1468075731" r:id="rId35">
                  <o:LockedField>false</o:LockedField>
                </o:OLEObject>
              </w:object>
            </w:r>
          </w:p>
          <w:p w14:paraId="2272E854">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b/>
                <w:bCs/>
                <w:color w:val="auto"/>
                <w:sz w:val="21"/>
                <w:szCs w:val="21"/>
                <w:highlight w:val="none"/>
                <w:lang w:val="en-US" w:eastAsia="zh-CN"/>
              </w:rPr>
              <w:t>图2</w:t>
            </w:r>
            <w:r>
              <w:rPr>
                <w:rFonts w:hint="default" w:ascii="Times New Roman" w:hAnsi="Times New Roman" w:cs="Times New Roman"/>
                <w:b/>
                <w:bCs/>
                <w:color w:val="auto"/>
                <w:sz w:val="21"/>
                <w:szCs w:val="21"/>
                <w:highlight w:val="none"/>
                <w:lang w:val="en-US" w:eastAsia="zh-CN"/>
              </w:rPr>
              <w:t>.10-5</w:t>
            </w:r>
            <w:r>
              <w:rPr>
                <w:rFonts w:hint="default" w:ascii="Times New Roman" w:hAnsi="Times New Roman" w:eastAsia="宋体" w:cs="Times New Roman"/>
                <w:b/>
                <w:bCs/>
                <w:color w:val="auto"/>
                <w:sz w:val="21"/>
                <w:szCs w:val="21"/>
                <w:highlight w:val="none"/>
                <w:lang w:val="en-US" w:eastAsia="zh-CN"/>
              </w:rPr>
              <w:t xml:space="preserve">   医用氧气充装站工艺流程及产排污节点图</w:t>
            </w:r>
          </w:p>
          <w:p w14:paraId="31249BB3">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sz w:val="24"/>
                <w:szCs w:val="24"/>
                <w:lang w:val="en-US" w:eastAsia="zh-CN"/>
              </w:rPr>
            </w:pPr>
            <w:r>
              <w:rPr>
                <w:rFonts w:hint="default" w:ascii="Times New Roman" w:hAnsi="Times New Roman" w:eastAsia="宋体" w:cs="Times New Roman"/>
                <w:b/>
                <w:bCs/>
                <w:color w:val="000000"/>
                <w:sz w:val="24"/>
                <w:szCs w:val="24"/>
                <w:lang w:val="en-US" w:eastAsia="zh-CN"/>
              </w:rPr>
              <w:t>10.4 气瓶检验站工艺流程</w:t>
            </w:r>
          </w:p>
          <w:p w14:paraId="4ED13398">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（1）LPG/丙烷气瓶检验生产线工艺流程</w:t>
            </w:r>
          </w:p>
          <w:p w14:paraId="3FB3E2EA">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1）外观检验</w:t>
            </w:r>
          </w:p>
          <w:p w14:paraId="6DF27C15">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逐只检查记录钢瓶的制造标志和检验标志。记录的内容包括制造单位名称代号或制造许可编号、钢瓶编号、制造年月、公称工作压力、水压试验压力、钢瓶重量，公称容积、瓶体设计壁厚、上次检验日期及检验单位或代号等信息。</w:t>
            </w:r>
          </w:p>
          <w:p w14:paraId="2869C014">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对未取得特种设备制造许可的制造企业生产的钢瓶、制造标志模糊不清或项目不全导致无法评定的钢瓶、特种设备安全监格管理部门规定不准再用的钢瓶，记录后不予检验，按报废处理。</w:t>
            </w:r>
          </w:p>
          <w:p w14:paraId="6048509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color w:val="auto"/>
                <w:lang w:val="en-US" w:eastAsia="zh-CN"/>
              </w:rPr>
              <w:t>对护罩用螺丝连接到瓶体的钢瓶、护罩脱落或其焊接接头断裂以及瓶体的对接接头出现裂纹的钢瓶、因底座脱落、变化、腐蚀、破裂、磨损以及其他缺陷影响直立的钢瓶、判定不能继续使用的钢瓶以及使用期超过设计使用年限的任何类型钢瓶，记录后不予检验，按报废处理。</w:t>
            </w:r>
          </w:p>
          <w:p w14:paraId="16BD7440">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2）残液抽取</w:t>
            </w:r>
            <w:r>
              <w:rPr>
                <w:rFonts w:hint="default" w:ascii="Times New Roman" w:hAnsi="Times New Roman" w:cs="Times New Roman"/>
                <w:color w:val="auto"/>
                <w:lang w:val="en-US" w:eastAsia="zh-CN"/>
              </w:rPr>
              <w:t>（</w:t>
            </w:r>
            <w:r>
              <w:rPr>
                <w:rFonts w:hint="eastAsia" w:cs="Times New Roman"/>
                <w:color w:val="auto"/>
                <w:lang w:val="en-US" w:eastAsia="zh-CN"/>
              </w:rPr>
              <w:t>只</w:t>
            </w:r>
            <w:r>
              <w:rPr>
                <w:rFonts w:hint="default" w:ascii="Times New Roman" w:hAnsi="Times New Roman" w:cs="Times New Roman"/>
                <w:color w:val="auto"/>
                <w:lang w:val="en-US" w:eastAsia="zh-CN"/>
              </w:rPr>
              <w:t>LPG气瓶）</w:t>
            </w:r>
            <w:r>
              <w:rPr>
                <w:rFonts w:hint="default" w:ascii="Times New Roman" w:hAnsi="Times New Roman" w:eastAsia="宋体" w:cs="Times New Roman"/>
                <w:color w:val="auto"/>
                <w:lang w:val="en-US" w:eastAsia="zh-CN"/>
              </w:rPr>
              <w:t>、拆阀、焚烧</w:t>
            </w:r>
          </w:p>
          <w:p w14:paraId="6C6955DB">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lang w:val="en-US" w:eastAsia="zh-CN"/>
              </w:rPr>
              <w:t>报废的</w:t>
            </w:r>
            <w:r>
              <w:rPr>
                <w:rFonts w:hint="default" w:ascii="Times New Roman" w:hAnsi="Times New Roman" w:cs="Times New Roman"/>
                <w:color w:val="auto"/>
                <w:lang w:val="en-US" w:eastAsia="zh-CN"/>
              </w:rPr>
              <w:t>LGP</w:t>
            </w:r>
            <w:r>
              <w:rPr>
                <w:rFonts w:hint="default" w:ascii="Times New Roman" w:hAnsi="Times New Roman" w:eastAsia="宋体" w:cs="Times New Roman"/>
                <w:color w:val="auto"/>
                <w:lang w:val="en-US" w:eastAsia="zh-CN"/>
              </w:rPr>
              <w:t>钢瓶与待检验</w:t>
            </w:r>
            <w:r>
              <w:rPr>
                <w:rFonts w:hint="default" w:ascii="Times New Roman" w:hAnsi="Times New Roman" w:cs="Times New Roman"/>
                <w:color w:val="auto"/>
                <w:lang w:val="en-US" w:eastAsia="zh-CN"/>
              </w:rPr>
              <w:t>LGP</w:t>
            </w:r>
            <w:r>
              <w:rPr>
                <w:rFonts w:hint="default" w:ascii="Times New Roman" w:hAnsi="Times New Roman" w:eastAsia="宋体" w:cs="Times New Roman"/>
                <w:color w:val="auto"/>
                <w:lang w:val="en-US" w:eastAsia="zh-CN"/>
              </w:rPr>
              <w:t>钢瓶内有少量的液化石油气残液，需逐只回收瓶内残液。采用残液回收装置进行回收处理。回收的残液分类送至</w:t>
            </w:r>
            <w:r>
              <w:rPr>
                <w:rFonts w:hint="default" w:ascii="Times New Roman" w:hAnsi="Times New Roman" w:cs="Times New Roman"/>
                <w:color w:val="auto"/>
                <w:lang w:val="en-US" w:eastAsia="zh-CN"/>
              </w:rPr>
              <w:t>LPG</w:t>
            </w:r>
            <w:r>
              <w:rPr>
                <w:rFonts w:hint="default" w:ascii="Times New Roman" w:hAnsi="Times New Roman" w:eastAsia="宋体" w:cs="Times New Roman"/>
                <w:color w:val="auto"/>
                <w:lang w:val="en-US" w:eastAsia="zh-CN"/>
              </w:rPr>
              <w:t>残液罐储存，该残液回收装置系统做到全封闭</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利用蒸汽吹扫至钢瓶瓶嘴连接的残液回收管道</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蒸汽吹扫前认真清理蒸汽喷嘴，防止堵塞喷嘴影响吹扫效果。蒸汽压力达到0.2MPa以上方可进行蒸汽吹扫，吹扫保持在3分钟以上。</w:t>
            </w:r>
            <w:r>
              <w:rPr>
                <w:rFonts w:hint="default" w:ascii="Times New Roman" w:hAnsi="Times New Roman" w:cs="Times New Roman"/>
                <w:color w:val="auto"/>
                <w:lang w:val="en-US" w:eastAsia="zh-CN"/>
              </w:rPr>
              <w:t>LPG气瓶</w:t>
            </w:r>
            <w:r>
              <w:rPr>
                <w:rFonts w:hint="default" w:ascii="Times New Roman" w:hAnsi="Times New Roman" w:eastAsia="宋体" w:cs="Times New Roman"/>
                <w:color w:val="auto"/>
                <w:lang w:val="en-US" w:eastAsia="zh-CN"/>
              </w:rPr>
              <w:t>残液回收后的钢瓶送至卸阀区卸下角阀</w:t>
            </w:r>
            <w:r>
              <w:rPr>
                <w:rFonts w:hint="default" w:ascii="Times New Roman" w:hAnsi="Times New Roman" w:cs="Times New Roman"/>
                <w:color w:val="auto"/>
                <w:lang w:val="en-US" w:eastAsia="zh-CN"/>
              </w:rPr>
              <w:t>。</w:t>
            </w:r>
          </w:p>
          <w:p w14:paraId="79F1DA5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丙烷钢瓶直接送至卸阀区进行卸阀。</w:t>
            </w:r>
            <w:r>
              <w:rPr>
                <w:rFonts w:hint="default" w:ascii="Times New Roman" w:hAnsi="Times New Roman" w:eastAsia="宋体" w:cs="Times New Roman"/>
                <w:color w:val="auto"/>
                <w:lang w:val="en-US" w:eastAsia="zh-CN"/>
              </w:rPr>
              <w:t>对角阀进行检查、检验后将合格角阀保留，不合格角阀报废。</w:t>
            </w:r>
          </w:p>
          <w:p w14:paraId="28907CA1">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卸阀后的钢瓶</w:t>
            </w:r>
            <w:r>
              <w:rPr>
                <w:rFonts w:hint="default" w:ascii="Times New Roman" w:hAnsi="Times New Roman" w:eastAsia="宋体" w:cs="Times New Roman"/>
                <w:color w:val="auto"/>
                <w:lang w:val="en-US" w:eastAsia="zh-CN"/>
              </w:rPr>
              <w:t>直接进入焚烧炉内</w:t>
            </w:r>
            <w:r>
              <w:rPr>
                <w:rFonts w:hint="eastAsia" w:cs="Times New Roman"/>
                <w:color w:val="auto"/>
                <w:lang w:val="en-US" w:eastAsia="zh-CN"/>
              </w:rPr>
              <w:t>焚烧</w:t>
            </w:r>
            <w:r>
              <w:rPr>
                <w:rFonts w:hint="default" w:ascii="Times New Roman" w:hAnsi="Times New Roman" w:eastAsia="宋体" w:cs="Times New Roman"/>
                <w:color w:val="auto"/>
                <w:lang w:val="en-US" w:eastAsia="zh-CN"/>
              </w:rPr>
              <w:t>。</w:t>
            </w:r>
          </w:p>
          <w:p w14:paraId="59350B4B">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项目在</w:t>
            </w:r>
            <w:r>
              <w:rPr>
                <w:rFonts w:hint="default" w:ascii="Times New Roman" w:hAnsi="Times New Roman" w:cs="Times New Roman"/>
                <w:color w:val="auto"/>
                <w:lang w:val="en-US" w:eastAsia="zh-CN"/>
              </w:rPr>
              <w:t>LPG钢瓶</w:t>
            </w:r>
            <w:r>
              <w:rPr>
                <w:rFonts w:hint="default" w:ascii="Times New Roman" w:hAnsi="Times New Roman" w:eastAsia="宋体" w:cs="Times New Roman"/>
                <w:color w:val="auto"/>
                <w:lang w:val="en-US" w:eastAsia="zh-CN"/>
              </w:rPr>
              <w:t>残液回收、瓶阀拆卸等检验过程会有极少量气体逸散到空气中，逸散的气体，主要是丙烷、丁烷等低碳氢烷烃化合物(以非甲烷总烃计)，且由于液化石油气中加有乙硫醇等加臭剂，亦会伴随有轻微的少量恶臭气味。</w:t>
            </w:r>
          </w:p>
          <w:p w14:paraId="6522D52D">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项目抽残完成后进行卸阀，随后立即进入焚烧环节，由于项目气瓶阀口极小且残液抽取后气瓶内残留气体少，内外压力基本持平，故抽残、卸阀环节产生的废气极少，主要在区域内无组织排放，本环评不予定量分析。</w:t>
            </w:r>
          </w:p>
          <w:p w14:paraId="061168B2">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拆阀后的钢瓶送至焚烧炉内进行液化石油气</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丙烷钢瓶表面焚烧，</w:t>
            </w:r>
            <w:r>
              <w:rPr>
                <w:rFonts w:hint="default" w:ascii="Times New Roman" w:hAnsi="Times New Roman" w:cs="Times New Roman"/>
                <w:color w:val="auto"/>
                <w:lang w:val="en-US" w:eastAsia="zh-CN"/>
              </w:rPr>
              <w:t>风少燃料为液化石油气，</w:t>
            </w:r>
            <w:r>
              <w:rPr>
                <w:rFonts w:hint="default" w:ascii="Times New Roman" w:hAnsi="Times New Roman" w:eastAsia="宋体" w:cs="Times New Roman"/>
                <w:color w:val="auto"/>
                <w:lang w:val="en-US" w:eastAsia="zh-CN"/>
              </w:rPr>
              <w:t>焚烧温度控制在600±50℃范围内，采用减少火头或减小火苗等办法控制焚烧温度。焚烧后的钢瓶表面涂层疏松、焚烧均匀，呈灰白色。从而达到焚烧的目的。钢瓶经过焚烧后可以有效清理表面杂质，还可以使钢瓶表面的喷涂层碳化，提高表面清理效率。主要污染为焚烧炉废气、噪声。</w:t>
            </w:r>
          </w:p>
          <w:p w14:paraId="1CB8AA5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3）抛丸</w:t>
            </w:r>
          </w:p>
          <w:p w14:paraId="49C7841A">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采用抛丸机，利用高速运动的钢丸流连续冲击工件表面，去除表面化皮等杂质提高外观质量。主要污染为抛丸粉尘、噪声、</w:t>
            </w:r>
            <w:r>
              <w:rPr>
                <w:rFonts w:hint="default" w:ascii="Times New Roman" w:hAnsi="Times New Roman" w:cs="Times New Roman"/>
                <w:color w:val="auto"/>
                <w:lang w:val="en-US" w:eastAsia="zh-CN"/>
              </w:rPr>
              <w:t>废</w:t>
            </w:r>
            <w:r>
              <w:rPr>
                <w:rFonts w:hint="default" w:ascii="Times New Roman" w:hAnsi="Times New Roman" w:eastAsia="宋体" w:cs="Times New Roman"/>
                <w:color w:val="auto"/>
                <w:lang w:val="en-US" w:eastAsia="zh-CN"/>
              </w:rPr>
              <w:t>钢丸。</w:t>
            </w:r>
          </w:p>
          <w:p w14:paraId="5F6C3874">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4）外观复检</w:t>
            </w:r>
          </w:p>
          <w:p w14:paraId="0669ACC3">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逐只目视检查瓶阀座是否有塌陷，用10倍放大镜检查瓶阀座是否有裂纹。用10倍放大镜检查瓶阀座螺纹，螺纹不允许有裂纹或裂纹性缺陷。目视检查螺纹是否存在腐蚀、磨损或其他损伤。阀座螺纹经丝锥修理后用螺纹塞规检验不合格的气瓶应报废。检验中发现不合格项和应报废的超标缺陷，由技术负责人确认，确认不合格的予以报废。</w:t>
            </w:r>
          </w:p>
          <w:p w14:paraId="7669418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逐只对气瓶进行焊缝检验。目视检查或用10倍放大镜检查焊缝及其热影响区是否有裂纹、气孔、弧坑、夹渣或未熔合等缺陷。</w:t>
            </w:r>
          </w:p>
          <w:p w14:paraId="35BF56F5">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壁厚测定：对气瓶逐只进行壁厚测定。</w:t>
            </w:r>
          </w:p>
          <w:p w14:paraId="3A8B9092">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5）容积测定</w:t>
            </w:r>
          </w:p>
          <w:p w14:paraId="266BA65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逐只将拆去瓶阀的空瓶称重，并记录重量（空瓶重量）G0(kg)。将敞口静置一昼夜的清水向瓶内注满并静置8小时。将气瓶移至磅秤上称出并记录瓶与水的总重量（注水后总重量）Gt(kg)。</w:t>
            </w:r>
          </w:p>
          <w:p w14:paraId="232E03F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6）水压试验</w:t>
            </w:r>
          </w:p>
          <w:p w14:paraId="10965CA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测量试验用水温度和环境温度。试验用水温度不得低于5℃，试验用水温度与环境温度之差不宜大于5℃。向气瓶中注水，待压力缓慢升至3.2MPa，试压泵自动停止，保压1分钟以上，然后缓慢打开“排气”阀门，待压力为零后关闭精密压力表阀门。保压期间不得出现瓶体渗漏,明显变形或压力下降现象。</w:t>
            </w:r>
          </w:p>
          <w:p w14:paraId="70817DA4">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7）瓶阀检修或更换、瓶阀气密试验</w:t>
            </w:r>
          </w:p>
          <w:p w14:paraId="4D24BF17">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将瓶阀拆卸分解后清理部件污垢。目视检查瓶阀本体及螺纹。瓶阀本体不允许有严重变形，密封台阶不得有缺损和毛刺，进气口螺纹有磨损的用螺纹环规检测。以上如不符合要求则必须更换瓶阀。</w:t>
            </w:r>
          </w:p>
          <w:p w14:paraId="3F57196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8）表面喷涂固化</w:t>
            </w:r>
          </w:p>
          <w:p w14:paraId="0E91EB57">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用静电喷塑(静电粉末喷涂)工艺，该工艺是目前能够达到的最干净的涂装技术。粉末涂料不使用有机溶剂、水等挥发性溶剂，为无溶剂型涂料，且粉末涂料是纯固体成分的涂料，可以完全采用全自动喷涂，大量或超喷的粉末，容易由回收系统收集，达到回收再利用的目的。主要污染为喷涂粉尘、噪声。</w:t>
            </w:r>
          </w:p>
          <w:p w14:paraId="2BABB9AD">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静电粉末喷涂原理如下：粉末涂料由供粉系统借压缩空气气体送入喷枪，在喷枪前端加有高压静电发生器产生的高压，由于电星放电，在其附近产生密集的电荷，粉末由枪嘴喷出时，形成带电涂料粒子，它受静电的作用，被吸到与其极性相反的工件上去，随着喷上的粉末增多，电荷积聚也越多，当达到一定厚度时，由于产生静电排斥作用，便不继续吸附，从而使整个工件获得一定厚度的粉末涂层。没有被工件吸附的过量粉末，被风机吸入脉冲反吹式过滤装置，利用脉冲反吹定期清洗吸附在过滤材料微孔中的粒子，使气流保持畅通维持恒定的回收效果。</w:t>
            </w:r>
          </w:p>
          <w:p w14:paraId="7304A55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color w:val="auto"/>
                <w:lang w:val="en-US" w:eastAsia="zh-CN"/>
              </w:rPr>
              <w:t>烘干固化：烘干固化于密闭的烘干箱内进行，采用电加热，静电喷塑后的工件需置于160~200℃的烘干线内15分钟，使粉末融、流平、固化，即在工件表面形成坚硬的涂</w:t>
            </w:r>
            <w:r>
              <w:rPr>
                <w:rFonts w:hint="eastAsia" w:cs="Times New Roman"/>
                <w:color w:val="auto"/>
                <w:lang w:val="en-US" w:eastAsia="zh-CN"/>
              </w:rPr>
              <w:t>膜</w:t>
            </w:r>
            <w:r>
              <w:rPr>
                <w:rFonts w:hint="default" w:ascii="Times New Roman" w:hAnsi="Times New Roman" w:eastAsia="宋体" w:cs="Times New Roman"/>
                <w:color w:val="auto"/>
                <w:lang w:val="en-US" w:eastAsia="zh-CN"/>
              </w:rPr>
              <w:t>。</w:t>
            </w:r>
          </w:p>
          <w:p w14:paraId="7687CACF">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9）装瓶阀、上检验标记环</w:t>
            </w:r>
          </w:p>
          <w:p w14:paraId="73EAAF40">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对照受检瓶的检验编号,找到相应的瓶阀和检验标记环，将检验标记环套在进气口螺纹上</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lang w:val="en-US" w:eastAsia="zh-CN"/>
              </w:rPr>
              <w:t>并用手将瓶阀拧在瓶阀座上。</w:t>
            </w:r>
          </w:p>
          <w:p w14:paraId="0645E74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10）气密试验</w:t>
            </w:r>
          </w:p>
          <w:p w14:paraId="3854BBC0">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气密试验介质为压缩空气。试验时的环境温度应不低于0℃。将气压充至达到2.1MPa，保压1分钟，无泄漏、无变形、无压降的气瓶为合格。</w:t>
            </w:r>
          </w:p>
          <w:p w14:paraId="5A0F25EF">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11）印字/检验标志</w:t>
            </w:r>
          </w:p>
          <w:p w14:paraId="71326C5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气瓶经表面涂敷处理后，对其进行印字、标记。固化完成的钢瓶经过自动线输送至上阀区域，对瓶体加装角阀后，继续输送至印字区域。项目检测的钢瓶需印刷标识，采用环保油墨对瓶体进行印字。主要污染为印字环节产生的非甲烷总烃、废油墨瓶。</w:t>
            </w:r>
          </w:p>
          <w:p w14:paraId="2D5DF119">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12）报废瓶处理</w:t>
            </w:r>
          </w:p>
          <w:p w14:paraId="54E5B41E">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对经过技术负责人确认的报废气瓶，由专人采用机械办法进行压扁。</w:t>
            </w:r>
          </w:p>
          <w:p w14:paraId="1E61DE7C">
            <w:pPr>
              <w:pStyle w:val="44"/>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object>
                <v:shape id="_x0000_i1032" o:spt="75" type="#_x0000_t75" style="height:654.25pt;width:375.35pt;" o:ole="t" filled="f" o:preferrelative="t" stroked="f" coordsize="21600,21600">
                  <v:path/>
                  <v:fill on="f" focussize="0,0"/>
                  <v:stroke on="f"/>
                  <v:imagedata r:id="rId38" o:title=""/>
                  <o:lock v:ext="edit" aspectratio="f"/>
                  <w10:wrap type="none"/>
                  <w10:anchorlock/>
                </v:shape>
                <o:OLEObject Type="Embed" ProgID="Visio.Drawing.15" ShapeID="_x0000_i1032" DrawAspect="Content" ObjectID="_1468075732" r:id="rId37">
                  <o:LockedField>false</o:LockedField>
                </o:OLEObject>
              </w:object>
            </w:r>
          </w:p>
          <w:p w14:paraId="7C06C71A">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b/>
                <w:bCs/>
                <w:color w:val="auto"/>
                <w:sz w:val="21"/>
                <w:szCs w:val="21"/>
                <w:highlight w:val="none"/>
                <w:lang w:val="en-US" w:eastAsia="zh-CN"/>
              </w:rPr>
              <w:t>图2</w:t>
            </w:r>
            <w:r>
              <w:rPr>
                <w:rFonts w:hint="default" w:ascii="Times New Roman" w:hAnsi="Times New Roman" w:cs="Times New Roman"/>
                <w:b/>
                <w:bCs/>
                <w:color w:val="auto"/>
                <w:sz w:val="21"/>
                <w:szCs w:val="21"/>
                <w:highlight w:val="none"/>
                <w:lang w:val="en-US" w:eastAsia="zh-CN"/>
              </w:rPr>
              <w:t>.10-6</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LPG</w:t>
            </w:r>
            <w:r>
              <w:rPr>
                <w:rFonts w:hint="default" w:ascii="Times New Roman" w:hAnsi="Times New Roman"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val="en-US" w:eastAsia="zh-CN"/>
              </w:rPr>
              <w:t>丙烷气瓶检验生产线工艺流程及产排污节点图</w:t>
            </w:r>
          </w:p>
          <w:p w14:paraId="5A24596C">
            <w:pPr>
              <w:pStyle w:val="44"/>
              <w:keepNext w:val="0"/>
              <w:keepLines w:val="0"/>
              <w:pageBreakBefore w:val="0"/>
              <w:widowControl w:val="0"/>
              <w:numPr>
                <w:ilvl w:val="0"/>
                <w:numId w:val="0"/>
              </w:numPr>
              <w:kinsoku/>
              <w:wordWrap/>
              <w:overflowPunct/>
              <w:topLinePunct w:val="0"/>
              <w:autoSpaceDE/>
              <w:autoSpaceDN/>
              <w:bidi w:val="0"/>
              <w:adjustRightInd/>
              <w:snapToGrid/>
              <w:ind w:firstLine="482" w:firstLineChars="200"/>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（2）无缝钢瓶检验生产线工艺流程</w:t>
            </w:r>
          </w:p>
          <w:p w14:paraId="3217BDA5">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1）外观检验</w:t>
            </w:r>
          </w:p>
          <w:p w14:paraId="42D3E4EF">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逐只检查记录钢瓶的制造标志和检验标志。记录的内容包括制造单位名称代号或制造许可编号、钢瓶编号、制造年月、公称工作压力、水压试验压力、钢瓶重量，公称容积、瓶体设计壁厚、上次检验日期及检验单位或代号等信息。</w:t>
            </w:r>
          </w:p>
          <w:p w14:paraId="4A61250B">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对未取得特种设备制造许可的制造企业生产的钢瓶、制造标志模糊不清或项目不全导致无法评定的钢瓶、特种设备安全监格管理部门规定不准再用的钢瓶，记录后不予检验，按报废处理。</w:t>
            </w:r>
          </w:p>
          <w:p w14:paraId="75188D39">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color w:val="auto"/>
                <w:lang w:val="en-US" w:eastAsia="zh-CN"/>
              </w:rPr>
              <w:t>对护罩用螺丝连接到瓶体的钢瓶、护罩脱落或其焊接接头断裂以及瓶体的对接接头出现裂纹的钢瓶、因底座脱落、变化、腐蚀、破裂、磨损以及其他缺陷影响直立的钢瓶、判定不能继续使用的钢瓶以及使用期超过设计使用年限的任何类型钢瓶，记录后不予检验，按报废处理。</w:t>
            </w:r>
          </w:p>
          <w:p w14:paraId="33682E9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2）拆阀</w:t>
            </w:r>
          </w:p>
          <w:p w14:paraId="4FDCA7B4">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通过外观检验的钢瓶进行卸阀，检验瓶阀应为打开状态，瓶内压力为零，以相近的瓶阀方身尺寸为准，分类堆放气瓶，使用气瓶阀装卸机拆卸角阀。</w:t>
            </w:r>
          </w:p>
          <w:p w14:paraId="03F2705B">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3）抛丸</w:t>
            </w:r>
          </w:p>
          <w:p w14:paraId="6CE2CB1C">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采用抛丸机，利用高速运动的钢丸流连续冲击工件表面，去除表面化皮等杂质提高外观质量。主要污染为抛丸粉尘、噪声、钢丸。</w:t>
            </w:r>
          </w:p>
          <w:p w14:paraId="30865AD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4）外观复检</w:t>
            </w:r>
          </w:p>
          <w:p w14:paraId="6C237B4E">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逐只目视检查瓶阀座是否有塌陷，用10倍放大镜检查瓶阀座是否有裂纹。用10倍放大镜检查瓶阀座螺纹，螺纹不允许有裂纹或裂纹性缺陷。目视检查螺纹是否存在腐蚀、磨损或其他损伤。阀座螺纹经丝锥修理后用螺纹塞规检验不合格的气瓶应报废。检验中发现不合格项和应报废的超标缺陷，由技术负责人确认，确认不合格的予以报废。</w:t>
            </w:r>
          </w:p>
          <w:p w14:paraId="16ECEB17">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逐只对气瓶进行焊缝检验。目视检查或用10倍放大镜检查焊缝及其热影响区是否有裂纹、气孔、弧坑、夹渣或未熔合等缺陷。</w:t>
            </w:r>
          </w:p>
          <w:p w14:paraId="5F5AC13B">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壁厚测定：对气瓶逐只进行壁厚测定。</w:t>
            </w:r>
          </w:p>
          <w:p w14:paraId="472F975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5）容积测定</w:t>
            </w:r>
          </w:p>
          <w:p w14:paraId="0F175E66">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逐只将拆去瓶阀的空瓶称重，并记录重量（空瓶重量）G0(kg)。将敞口静置一昼夜的清水向瓶内注满并静置8小时。将气瓶移至磅秤上称出并记录瓶与水的总重量（注水后总重量）Gt(kg)。</w:t>
            </w:r>
          </w:p>
          <w:p w14:paraId="7611CA94">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6）水压试验</w:t>
            </w:r>
          </w:p>
          <w:p w14:paraId="43D83F17">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测量试验用水温度和环境温度。试验用水温度不得低于5℃，试验用水温度与环境温度之差不宜大于5℃。向气瓶中注水，待压力缓慢升至3.2MPa，试压泵自动停止，保压1分钟以上，然后缓慢打开“排气”阀门，待压力为零后关闭精密压力表阀门。保压期间不得出现瓶体渗漏,明显变形或压力下降现象。</w:t>
            </w:r>
          </w:p>
          <w:p w14:paraId="776E6799">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7）表面喷涂固化</w:t>
            </w:r>
          </w:p>
          <w:p w14:paraId="0D947D01">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采用静电喷塑(静电粉末喷涂)工艺，该工艺是目前能够达到的最干净的涂装技术。粉末涂料不使用有机溶剂、水等挥发性溶剂，为无溶剂型涂料，且粉末涂料是纯固体成分的涂料，可以完全采用全自动喷涂，大量或超喷的粉末，容易由回收系统收集，达到回收再利用的目的。主要污染为喷涂粉尘、噪声。</w:t>
            </w:r>
          </w:p>
          <w:p w14:paraId="241D66D1">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静电粉末喷涂原理如下：粉末涂料由供粉系统借压缩空气气体送入喷枪，在喷枪前端加有高压静电发生器产生的高压，由于电星放电，在其附近产生密集的电荷，粉末由枪嘴喷出时，形成带电涂料粒子，它受静电的作用，被吸到与其极性相反的工件上去，随着喷上的粉末增多，电荷积聚也越多，当达到一定厚度时，由于产生静电排斥作用，便不继续吸附，从而使整个工件获得一定厚度的粉末涂层。没有被工件吸附的过量粉末，被风机吸入脉冲反吹式过滤装置，利用脉冲反吹定期清洗吸附在过滤材料微孔中的粒子，使气流保持畅通维持恒定的回收效果。</w:t>
            </w:r>
          </w:p>
          <w:p w14:paraId="66B9D05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color w:val="auto"/>
                <w:lang w:val="en-US" w:eastAsia="zh-CN"/>
              </w:rPr>
              <w:t>烘干固化：烘干固化于密闭的烘干箱内进行，采用电加热，静电喷塑后的工件需置于160~200℃的烘干线内15分钟，使粉末融、流平、固化，即在工件表面形成坚硬的涂抹。</w:t>
            </w:r>
          </w:p>
          <w:p w14:paraId="1F0D8625">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8）装瓶阀、上检验标记环</w:t>
            </w:r>
          </w:p>
          <w:p w14:paraId="339207A2">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对照受检瓶的检验编号,找到相应的瓶阀和检验标记环，将检验标记环套在进气口螺纹上,并用手将瓶阀拧在瓶阀座上。</w:t>
            </w:r>
          </w:p>
          <w:p w14:paraId="76D2BEBF">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9）气密试验</w:t>
            </w:r>
          </w:p>
          <w:p w14:paraId="5CA835AB">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气密试验介质为压缩空气。试验时的环境温度应不低于0℃。将气压充至达到2.1MPa，保压1分钟，无泄漏、无变形、无压降的气瓶为合格。</w:t>
            </w:r>
          </w:p>
          <w:p w14:paraId="6C0A5B98">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10）印字/检验标志</w:t>
            </w:r>
          </w:p>
          <w:p w14:paraId="642E9559">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气瓶经表面涂敷处理后，对其进行印字、标记。固化完成的钢瓶经过自动线输送至上阀区域，对瓶体加装角阀后，继续输送至印字区域。项目检测的钢瓶需印刷标识，采用环保油墨对瓶体进行印字。主要污染为印字环节产生的非甲烷总烃、废油墨瓶。</w:t>
            </w:r>
          </w:p>
          <w:p w14:paraId="228DA1C0">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11）报废瓶处理</w:t>
            </w:r>
          </w:p>
          <w:p w14:paraId="6F2B9603">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对经过技术负责人确认的报废气瓶，由专人采用机械办法进行压扁。</w:t>
            </w:r>
          </w:p>
          <w:p w14:paraId="282C1A16">
            <w:pPr>
              <w:pStyle w:val="44"/>
              <w:keepNext w:val="0"/>
              <w:keepLines w:val="0"/>
              <w:pageBreakBefore w:val="0"/>
              <w:widowControl w:val="0"/>
              <w:numPr>
                <w:ilvl w:val="0"/>
                <w:numId w:val="0"/>
              </w:numPr>
              <w:kinsoku/>
              <w:wordWrap/>
              <w:overflowPunct/>
              <w:topLinePunct w:val="0"/>
              <w:autoSpaceDE/>
              <w:autoSpaceDN/>
              <w:bidi w:val="0"/>
              <w:adjustRightInd/>
              <w:snapToGrid/>
              <w:ind w:firstLine="480" w:firstLineChars="200"/>
              <w:jc w:val="center"/>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object>
                <v:shape id="_x0000_i1033" o:spt="75" type="#_x0000_t75" style="height:640.95pt;width:305.7pt;" o:ole="t" filled="f" o:preferrelative="t" stroked="f" coordsize="21600,21600">
                  <v:path/>
                  <v:fill on="f" focussize="0,0"/>
                  <v:stroke on="f"/>
                  <v:imagedata r:id="rId40" o:title=""/>
                  <o:lock v:ext="edit" aspectratio="f"/>
                  <w10:wrap type="none"/>
                  <w10:anchorlock/>
                </v:shape>
                <o:OLEObject Type="Embed" ProgID="Visio.Drawing.15" ShapeID="_x0000_i1033" DrawAspect="Content" ObjectID="_1468075733" r:id="rId39">
                  <o:LockedField>false</o:LockedField>
                </o:OLEObject>
              </w:object>
            </w:r>
          </w:p>
          <w:p w14:paraId="7D9D1A1D">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eastAsia="宋体" w:cs="Times New Roman"/>
                <w:b/>
                <w:bCs/>
                <w:color w:val="auto"/>
                <w:sz w:val="21"/>
                <w:szCs w:val="21"/>
                <w:highlight w:val="none"/>
                <w:lang w:val="en-US" w:eastAsia="zh-CN"/>
              </w:rPr>
              <w:t>图2</w:t>
            </w:r>
            <w:r>
              <w:rPr>
                <w:rFonts w:hint="default" w:ascii="Times New Roman" w:hAnsi="Times New Roman" w:cs="Times New Roman"/>
                <w:b/>
                <w:bCs/>
                <w:color w:val="auto"/>
                <w:sz w:val="21"/>
                <w:szCs w:val="21"/>
                <w:highlight w:val="none"/>
                <w:lang w:val="en-US" w:eastAsia="zh-CN"/>
              </w:rPr>
              <w:t>.10-7</w:t>
            </w:r>
            <w:r>
              <w:rPr>
                <w:rFonts w:hint="default" w:ascii="Times New Roman" w:hAnsi="Times New Roman" w:eastAsia="宋体" w:cs="Times New Roman"/>
                <w:b/>
                <w:bCs/>
                <w:color w:val="auto"/>
                <w:sz w:val="21"/>
                <w:szCs w:val="21"/>
                <w:highlight w:val="none"/>
                <w:lang w:val="en-US" w:eastAsia="zh-CN"/>
              </w:rPr>
              <w:t xml:space="preserve">   无缝钢瓶检验生产线工艺流程及产排污节点图</w:t>
            </w:r>
          </w:p>
          <w:p w14:paraId="114CCFCF">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kern w:val="0"/>
                <w:sz w:val="24"/>
                <w:szCs w:val="24"/>
                <w:lang w:val="en-US" w:eastAsia="zh-CN" w:bidi="ar"/>
              </w:rPr>
            </w:pPr>
          </w:p>
          <w:p w14:paraId="0A3635DC">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lang w:val="en-US"/>
              </w:rPr>
            </w:pPr>
            <w:r>
              <w:rPr>
                <w:rFonts w:hint="default" w:ascii="Times New Roman" w:hAnsi="Times New Roman" w:cs="Times New Roman"/>
                <w:b/>
                <w:bCs/>
                <w:color w:val="auto"/>
                <w:kern w:val="0"/>
                <w:sz w:val="24"/>
                <w:szCs w:val="24"/>
                <w:lang w:val="en-US" w:eastAsia="zh-CN" w:bidi="ar"/>
              </w:rPr>
              <w:t>11</w:t>
            </w:r>
            <w:r>
              <w:rPr>
                <w:rFonts w:hint="default" w:ascii="Times New Roman" w:hAnsi="Times New Roman" w:eastAsia="宋体" w:cs="Times New Roman"/>
                <w:b/>
                <w:bCs/>
                <w:color w:val="auto"/>
                <w:kern w:val="0"/>
                <w:sz w:val="24"/>
                <w:szCs w:val="24"/>
                <w:lang w:val="en-US" w:eastAsia="zh-CN" w:bidi="ar"/>
              </w:rPr>
              <w:t>、产排污环节</w:t>
            </w:r>
          </w:p>
          <w:p w14:paraId="7DB05B8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caps w:val="0"/>
                <w:color w:val="auto"/>
                <w:kern w:val="0"/>
                <w:sz w:val="24"/>
                <w:szCs w:val="24"/>
                <w:lang w:val="en-US" w:eastAsia="zh-CN" w:bidi="ar-SA"/>
              </w:rPr>
            </w:pPr>
            <w:r>
              <w:rPr>
                <w:rFonts w:hint="default" w:ascii="Times New Roman" w:hAnsi="Times New Roman" w:eastAsia="宋体" w:cs="Times New Roman"/>
                <w:caps w:val="0"/>
                <w:color w:val="auto"/>
                <w:kern w:val="0"/>
                <w:sz w:val="24"/>
                <w:szCs w:val="24"/>
                <w:lang w:val="en-US" w:eastAsia="zh-CN" w:bidi="ar-SA"/>
              </w:rPr>
              <w:t>本项目产排污环节见表2</w:t>
            </w:r>
            <w:r>
              <w:rPr>
                <w:rFonts w:hint="default" w:ascii="Times New Roman" w:hAnsi="Times New Roman" w:cs="Times New Roman"/>
                <w:caps w:val="0"/>
                <w:color w:val="auto"/>
                <w:kern w:val="0"/>
                <w:sz w:val="24"/>
                <w:szCs w:val="24"/>
                <w:lang w:val="en-US" w:eastAsia="zh-CN" w:bidi="ar-SA"/>
              </w:rPr>
              <w:t>.11</w:t>
            </w:r>
            <w:r>
              <w:rPr>
                <w:rFonts w:hint="default" w:ascii="Times New Roman" w:hAnsi="Times New Roman" w:eastAsia="宋体" w:cs="Times New Roman"/>
                <w:caps w:val="0"/>
                <w:color w:val="auto"/>
                <w:kern w:val="0"/>
                <w:sz w:val="24"/>
                <w:szCs w:val="24"/>
                <w:lang w:val="en-US" w:eastAsia="zh-CN" w:bidi="ar-SA"/>
              </w:rPr>
              <w:t>-1。</w:t>
            </w:r>
          </w:p>
          <w:p w14:paraId="696BDEFB">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aps w:val="0"/>
                <w:color w:val="0000FF"/>
                <w:kern w:val="0"/>
                <w:sz w:val="21"/>
                <w:szCs w:val="21"/>
                <w:lang w:val="en-US" w:eastAsia="zh-CN" w:bidi="ar-SA"/>
              </w:rPr>
            </w:pPr>
            <w:r>
              <w:rPr>
                <w:rFonts w:hint="default" w:ascii="Times New Roman" w:hAnsi="Times New Roman" w:eastAsia="宋体" w:cs="Times New Roman"/>
                <w:b/>
                <w:bCs/>
                <w:caps w:val="0"/>
                <w:color w:val="0000FF"/>
                <w:kern w:val="0"/>
                <w:sz w:val="21"/>
                <w:szCs w:val="21"/>
                <w:lang w:val="en-US" w:eastAsia="zh-CN" w:bidi="ar-SA"/>
              </w:rPr>
              <w:t>表2</w:t>
            </w:r>
            <w:r>
              <w:rPr>
                <w:rFonts w:hint="default" w:ascii="Times New Roman" w:hAnsi="Times New Roman" w:cs="Times New Roman"/>
                <w:b/>
                <w:bCs/>
                <w:caps w:val="0"/>
                <w:color w:val="0000FF"/>
                <w:kern w:val="0"/>
                <w:sz w:val="21"/>
                <w:szCs w:val="21"/>
                <w:lang w:val="en-US" w:eastAsia="zh-CN" w:bidi="ar-SA"/>
              </w:rPr>
              <w:t>.11-1</w:t>
            </w:r>
            <w:r>
              <w:rPr>
                <w:rFonts w:hint="default" w:ascii="Times New Roman" w:hAnsi="Times New Roman" w:eastAsia="宋体" w:cs="Times New Roman"/>
                <w:b/>
                <w:bCs/>
                <w:caps w:val="0"/>
                <w:color w:val="0000FF"/>
                <w:kern w:val="0"/>
                <w:sz w:val="21"/>
                <w:szCs w:val="21"/>
                <w:lang w:val="en-US" w:eastAsia="zh-CN" w:bidi="ar-SA"/>
              </w:rPr>
              <w:t xml:space="preserve">   本项目产排污环节一览表 </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9"/>
              <w:gridCol w:w="1096"/>
              <w:gridCol w:w="1497"/>
              <w:gridCol w:w="2207"/>
              <w:gridCol w:w="2095"/>
            </w:tblGrid>
            <w:tr w14:paraId="206FC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noWrap w:val="0"/>
                  <w:vAlign w:val="center"/>
                </w:tcPr>
                <w:p w14:paraId="555A060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aps w:val="0"/>
                      <w:color w:val="0000FF"/>
                      <w:kern w:val="0"/>
                      <w:sz w:val="21"/>
                      <w:szCs w:val="21"/>
                      <w:vertAlign w:val="baseline"/>
                      <w:lang w:val="en-US" w:eastAsia="zh-CN" w:bidi="ar-SA"/>
                    </w:rPr>
                  </w:pPr>
                  <w:r>
                    <w:rPr>
                      <w:rFonts w:hint="default" w:ascii="Times New Roman" w:hAnsi="Times New Roman" w:eastAsia="宋体" w:cs="Times New Roman"/>
                      <w:b/>
                      <w:bCs/>
                      <w:caps w:val="0"/>
                      <w:color w:val="0000FF"/>
                      <w:kern w:val="0"/>
                      <w:sz w:val="21"/>
                      <w:szCs w:val="21"/>
                      <w:vertAlign w:val="baseline"/>
                      <w:lang w:val="en-US" w:eastAsia="zh-CN" w:bidi="ar-SA"/>
                    </w:rPr>
                    <w:t>产生阶段</w:t>
                  </w:r>
                </w:p>
              </w:tc>
              <w:tc>
                <w:tcPr>
                  <w:tcW w:w="686" w:type="pct"/>
                  <w:noWrap w:val="0"/>
                  <w:vAlign w:val="center"/>
                </w:tcPr>
                <w:p w14:paraId="6A3D3B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aps w:val="0"/>
                      <w:color w:val="0000FF"/>
                      <w:kern w:val="0"/>
                      <w:sz w:val="21"/>
                      <w:szCs w:val="21"/>
                      <w:vertAlign w:val="baseline"/>
                      <w:lang w:val="en-US" w:eastAsia="zh-CN" w:bidi="ar-SA"/>
                    </w:rPr>
                  </w:pPr>
                  <w:r>
                    <w:rPr>
                      <w:rFonts w:hint="default" w:ascii="Times New Roman" w:hAnsi="Times New Roman" w:eastAsia="宋体" w:cs="Times New Roman"/>
                      <w:b/>
                      <w:bCs/>
                      <w:caps w:val="0"/>
                      <w:color w:val="0000FF"/>
                      <w:kern w:val="0"/>
                      <w:sz w:val="21"/>
                      <w:szCs w:val="21"/>
                      <w:vertAlign w:val="baseline"/>
                      <w:lang w:val="en-US" w:eastAsia="zh-CN" w:bidi="ar-SA"/>
                    </w:rPr>
                    <w:t>环境要素</w:t>
                  </w:r>
                </w:p>
              </w:tc>
              <w:tc>
                <w:tcPr>
                  <w:tcW w:w="937" w:type="pct"/>
                  <w:noWrap w:val="0"/>
                  <w:vAlign w:val="center"/>
                </w:tcPr>
                <w:p w14:paraId="2D84D4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aps w:val="0"/>
                      <w:color w:val="0000FF"/>
                      <w:kern w:val="0"/>
                      <w:sz w:val="21"/>
                      <w:szCs w:val="21"/>
                      <w:vertAlign w:val="baseline"/>
                      <w:lang w:val="en-US" w:eastAsia="zh-CN" w:bidi="ar-SA"/>
                    </w:rPr>
                  </w:pPr>
                  <w:r>
                    <w:rPr>
                      <w:rFonts w:hint="default" w:ascii="Times New Roman" w:hAnsi="Times New Roman" w:eastAsia="宋体" w:cs="Times New Roman"/>
                      <w:b/>
                      <w:bCs/>
                      <w:caps w:val="0"/>
                      <w:color w:val="0000FF"/>
                      <w:kern w:val="0"/>
                      <w:sz w:val="21"/>
                      <w:szCs w:val="21"/>
                      <w:vertAlign w:val="baseline"/>
                      <w:lang w:val="en-US" w:eastAsia="zh-CN" w:bidi="ar-SA"/>
                    </w:rPr>
                    <w:t>产生环节</w:t>
                  </w:r>
                </w:p>
              </w:tc>
              <w:tc>
                <w:tcPr>
                  <w:tcW w:w="1381" w:type="pct"/>
                  <w:noWrap w:val="0"/>
                  <w:vAlign w:val="center"/>
                </w:tcPr>
                <w:p w14:paraId="74DB487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aps w:val="0"/>
                      <w:color w:val="0000FF"/>
                      <w:kern w:val="0"/>
                      <w:sz w:val="21"/>
                      <w:szCs w:val="21"/>
                      <w:vertAlign w:val="baseline"/>
                      <w:lang w:val="en-US" w:eastAsia="zh-CN" w:bidi="ar-SA"/>
                    </w:rPr>
                  </w:pPr>
                  <w:r>
                    <w:rPr>
                      <w:rFonts w:hint="default" w:ascii="Times New Roman" w:hAnsi="Times New Roman" w:eastAsia="宋体" w:cs="Times New Roman"/>
                      <w:b/>
                      <w:bCs/>
                      <w:caps w:val="0"/>
                      <w:color w:val="0000FF"/>
                      <w:kern w:val="0"/>
                      <w:sz w:val="21"/>
                      <w:szCs w:val="21"/>
                      <w:vertAlign w:val="baseline"/>
                      <w:lang w:val="en-US" w:eastAsia="zh-CN" w:bidi="ar-SA"/>
                    </w:rPr>
                    <w:t>污染源</w:t>
                  </w:r>
                </w:p>
              </w:tc>
              <w:tc>
                <w:tcPr>
                  <w:tcW w:w="1311" w:type="pct"/>
                  <w:noWrap w:val="0"/>
                  <w:vAlign w:val="center"/>
                </w:tcPr>
                <w:p w14:paraId="6614DB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aps w:val="0"/>
                      <w:color w:val="0000FF"/>
                      <w:kern w:val="0"/>
                      <w:sz w:val="21"/>
                      <w:szCs w:val="21"/>
                      <w:vertAlign w:val="baseline"/>
                      <w:lang w:val="en-US" w:eastAsia="zh-CN" w:bidi="ar-SA"/>
                    </w:rPr>
                  </w:pPr>
                  <w:r>
                    <w:rPr>
                      <w:rFonts w:hint="default" w:ascii="Times New Roman" w:hAnsi="Times New Roman" w:eastAsia="宋体" w:cs="Times New Roman"/>
                      <w:b/>
                      <w:bCs/>
                      <w:caps w:val="0"/>
                      <w:color w:val="0000FF"/>
                      <w:kern w:val="0"/>
                      <w:sz w:val="21"/>
                      <w:szCs w:val="21"/>
                      <w:vertAlign w:val="baseline"/>
                      <w:lang w:val="en-US" w:eastAsia="zh-CN" w:bidi="ar-SA"/>
                    </w:rPr>
                    <w:t>污染因子</w:t>
                  </w:r>
                </w:p>
              </w:tc>
            </w:tr>
            <w:tr w14:paraId="42C75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restart"/>
                  <w:noWrap w:val="0"/>
                  <w:vAlign w:val="center"/>
                </w:tcPr>
                <w:p w14:paraId="6C2B84E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施工期</w:t>
                  </w:r>
                </w:p>
              </w:tc>
              <w:tc>
                <w:tcPr>
                  <w:tcW w:w="686" w:type="pct"/>
                  <w:noWrap w:val="0"/>
                  <w:vAlign w:val="center"/>
                </w:tcPr>
                <w:p w14:paraId="6D6CDD2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废气</w:t>
                  </w:r>
                </w:p>
              </w:tc>
              <w:tc>
                <w:tcPr>
                  <w:tcW w:w="937" w:type="pct"/>
                  <w:noWrap w:val="0"/>
                  <w:vAlign w:val="center"/>
                </w:tcPr>
                <w:p w14:paraId="38C025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场地平整、建筑材料运输、材料存放</w:t>
                  </w:r>
                </w:p>
              </w:tc>
              <w:tc>
                <w:tcPr>
                  <w:tcW w:w="1381" w:type="pct"/>
                  <w:shd w:val="clear" w:color="auto" w:fill="auto"/>
                  <w:noWrap w:val="0"/>
                  <w:vAlign w:val="center"/>
                </w:tcPr>
                <w:p w14:paraId="24FFE66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施工扬尘、汽车尾气</w:t>
                  </w:r>
                </w:p>
              </w:tc>
              <w:tc>
                <w:tcPr>
                  <w:tcW w:w="1311" w:type="pct"/>
                  <w:shd w:val="clear" w:color="auto" w:fill="auto"/>
                  <w:noWrap w:val="0"/>
                  <w:vAlign w:val="center"/>
                </w:tcPr>
                <w:p w14:paraId="587C2FD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FF"/>
                      <w:lang w:val="en-US" w:eastAsia="zh-CN"/>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颗粒物、NOx</w:t>
                  </w:r>
                  <w:r>
                    <w:rPr>
                      <w:rFonts w:hint="eastAsia" w:cs="Times New Roman"/>
                      <w:b w:val="0"/>
                      <w:bCs w:val="0"/>
                      <w:caps w:val="0"/>
                      <w:color w:val="0000FF"/>
                      <w:kern w:val="0"/>
                      <w:sz w:val="21"/>
                      <w:szCs w:val="21"/>
                      <w:highlight w:val="none"/>
                      <w:vertAlign w:val="baseline"/>
                      <w:lang w:val="en-US" w:eastAsia="zh-CN" w:bidi="ar-SA"/>
                    </w:rPr>
                    <w:t>、THC</w:t>
                  </w: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等</w:t>
                  </w:r>
                </w:p>
              </w:tc>
            </w:tr>
            <w:tr w14:paraId="501C7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continue"/>
                  <w:noWrap w:val="0"/>
                  <w:vAlign w:val="center"/>
                </w:tcPr>
                <w:p w14:paraId="019B37C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noWrap w:val="0"/>
                  <w:vAlign w:val="center"/>
                </w:tcPr>
                <w:p w14:paraId="010ED87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废水</w:t>
                  </w:r>
                </w:p>
              </w:tc>
              <w:tc>
                <w:tcPr>
                  <w:tcW w:w="937" w:type="pct"/>
                  <w:noWrap w:val="0"/>
                  <w:vAlign w:val="center"/>
                </w:tcPr>
                <w:p w14:paraId="37FD31F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施工过程</w:t>
                  </w:r>
                </w:p>
              </w:tc>
              <w:tc>
                <w:tcPr>
                  <w:tcW w:w="1381" w:type="pct"/>
                  <w:shd w:val="clear" w:color="auto" w:fill="auto"/>
                  <w:noWrap w:val="0"/>
                  <w:vAlign w:val="center"/>
                </w:tcPr>
                <w:p w14:paraId="17023E7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生活污水</w:t>
                  </w:r>
                </w:p>
              </w:tc>
              <w:tc>
                <w:tcPr>
                  <w:tcW w:w="1311" w:type="pct"/>
                  <w:shd w:val="clear" w:color="auto" w:fill="auto"/>
                  <w:noWrap w:val="0"/>
                  <w:vAlign w:val="center"/>
                </w:tcPr>
                <w:p w14:paraId="0F2EEA4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COD、BOD</w:t>
                  </w:r>
                  <w:r>
                    <w:rPr>
                      <w:rFonts w:hint="default" w:ascii="Times New Roman" w:hAnsi="Times New Roman" w:cs="Times New Roman"/>
                      <w:b w:val="0"/>
                      <w:bCs w:val="0"/>
                      <w:caps w:val="0"/>
                      <w:color w:val="0000FF"/>
                      <w:kern w:val="0"/>
                      <w:sz w:val="21"/>
                      <w:szCs w:val="21"/>
                      <w:vertAlign w:val="subscript"/>
                      <w:lang w:val="en-US" w:eastAsia="zh-CN" w:bidi="ar-SA"/>
                    </w:rPr>
                    <w:t>5</w:t>
                  </w:r>
                  <w:r>
                    <w:rPr>
                      <w:rFonts w:hint="default" w:ascii="Times New Roman" w:hAnsi="Times New Roman" w:eastAsia="宋体" w:cs="Times New Roman"/>
                      <w:b w:val="0"/>
                      <w:bCs w:val="0"/>
                      <w:caps w:val="0"/>
                      <w:color w:val="0000FF"/>
                      <w:kern w:val="0"/>
                      <w:sz w:val="21"/>
                      <w:szCs w:val="21"/>
                      <w:vertAlign w:val="baseline"/>
                      <w:lang w:val="en-US" w:eastAsia="zh-CN" w:bidi="ar-SA"/>
                    </w:rPr>
                    <w:t>、SS、氨氮等</w:t>
                  </w:r>
                </w:p>
              </w:tc>
            </w:tr>
            <w:tr w14:paraId="586EA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continue"/>
                  <w:noWrap w:val="0"/>
                  <w:vAlign w:val="center"/>
                </w:tcPr>
                <w:p w14:paraId="0BBCCDA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noWrap w:val="0"/>
                  <w:vAlign w:val="center"/>
                </w:tcPr>
                <w:p w14:paraId="0CA624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噪声</w:t>
                  </w:r>
                </w:p>
              </w:tc>
              <w:tc>
                <w:tcPr>
                  <w:tcW w:w="937" w:type="pct"/>
                  <w:noWrap w:val="0"/>
                  <w:vAlign w:val="center"/>
                </w:tcPr>
                <w:p w14:paraId="506BC3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施工过程</w:t>
                  </w:r>
                </w:p>
              </w:tc>
              <w:tc>
                <w:tcPr>
                  <w:tcW w:w="1381" w:type="pct"/>
                  <w:shd w:val="clear" w:color="auto" w:fill="auto"/>
                  <w:noWrap w:val="0"/>
                  <w:vAlign w:val="center"/>
                </w:tcPr>
                <w:p w14:paraId="79B44D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机械噪声、车辆噪声</w:t>
                  </w:r>
                </w:p>
              </w:tc>
              <w:tc>
                <w:tcPr>
                  <w:tcW w:w="1311" w:type="pct"/>
                  <w:shd w:val="clear" w:color="auto" w:fill="auto"/>
                  <w:noWrap w:val="0"/>
                  <w:vAlign w:val="center"/>
                </w:tcPr>
                <w:p w14:paraId="0C28E7F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等效连续A声级</w:t>
                  </w:r>
                </w:p>
              </w:tc>
            </w:tr>
            <w:tr w14:paraId="09F0A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continue"/>
                  <w:noWrap w:val="0"/>
                  <w:vAlign w:val="center"/>
                </w:tcPr>
                <w:p w14:paraId="4ECE6A1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noWrap w:val="0"/>
                  <w:vAlign w:val="center"/>
                </w:tcPr>
                <w:p w14:paraId="71AE5F5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固体废物</w:t>
                  </w:r>
                </w:p>
              </w:tc>
              <w:tc>
                <w:tcPr>
                  <w:tcW w:w="937" w:type="pct"/>
                  <w:noWrap w:val="0"/>
                  <w:vAlign w:val="center"/>
                </w:tcPr>
                <w:p w14:paraId="5349B76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施工过程</w:t>
                  </w:r>
                </w:p>
              </w:tc>
              <w:tc>
                <w:tcPr>
                  <w:tcW w:w="1381" w:type="pct"/>
                  <w:shd w:val="clear" w:color="auto" w:fill="auto"/>
                  <w:noWrap w:val="0"/>
                  <w:vAlign w:val="center"/>
                </w:tcPr>
                <w:p w14:paraId="0419742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建筑垃圾、生活垃圾</w:t>
                  </w:r>
                </w:p>
              </w:tc>
              <w:tc>
                <w:tcPr>
                  <w:tcW w:w="1311" w:type="pct"/>
                  <w:shd w:val="clear" w:color="auto" w:fill="auto"/>
                  <w:noWrap w:val="0"/>
                  <w:vAlign w:val="center"/>
                </w:tcPr>
                <w:p w14:paraId="60EE1D4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w:t>
                  </w:r>
                </w:p>
              </w:tc>
            </w:tr>
            <w:tr w14:paraId="45459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restart"/>
                  <w:noWrap w:val="0"/>
                  <w:vAlign w:val="center"/>
                </w:tcPr>
                <w:p w14:paraId="33F499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运营期</w:t>
                  </w:r>
                </w:p>
              </w:tc>
              <w:tc>
                <w:tcPr>
                  <w:tcW w:w="686" w:type="pct"/>
                  <w:vMerge w:val="restart"/>
                  <w:noWrap w:val="0"/>
                  <w:vAlign w:val="center"/>
                </w:tcPr>
                <w:p w14:paraId="0ABCA7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废气</w:t>
                  </w:r>
                </w:p>
              </w:tc>
              <w:tc>
                <w:tcPr>
                  <w:tcW w:w="937" w:type="pct"/>
                  <w:vMerge w:val="restart"/>
                  <w:noWrap w:val="0"/>
                  <w:vAlign w:val="center"/>
                </w:tcPr>
                <w:p w14:paraId="05654D9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液化石油气、</w:t>
                  </w:r>
                  <w:r>
                    <w:rPr>
                      <w:rFonts w:hint="default" w:ascii="Times New Roman" w:hAnsi="Times New Roman" w:cs="Times New Roman"/>
                      <w:b w:val="0"/>
                      <w:bCs w:val="0"/>
                      <w:caps w:val="0"/>
                      <w:color w:val="0000FF"/>
                      <w:kern w:val="0"/>
                      <w:sz w:val="21"/>
                      <w:szCs w:val="21"/>
                      <w:highlight w:val="none"/>
                      <w:vertAlign w:val="baseline"/>
                      <w:lang w:val="en-US" w:eastAsia="zh-CN" w:bidi="ar-SA"/>
                    </w:rPr>
                    <w:t>改性</w:t>
                  </w: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丙烷</w:t>
                  </w:r>
                  <w:r>
                    <w:rPr>
                      <w:rFonts w:hint="default" w:ascii="Times New Roman" w:hAnsi="Times New Roman" w:cs="Times New Roman"/>
                      <w:b w:val="0"/>
                      <w:bCs w:val="0"/>
                      <w:caps w:val="0"/>
                      <w:color w:val="0000FF"/>
                      <w:kern w:val="0"/>
                      <w:sz w:val="21"/>
                      <w:szCs w:val="21"/>
                      <w:highlight w:val="none"/>
                      <w:vertAlign w:val="baseline"/>
                      <w:lang w:val="en-US" w:eastAsia="zh-CN" w:bidi="ar-SA"/>
                    </w:rPr>
                    <w:t>灌</w:t>
                  </w: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装</w:t>
                  </w:r>
                </w:p>
              </w:tc>
              <w:tc>
                <w:tcPr>
                  <w:tcW w:w="1381" w:type="pct"/>
                  <w:shd w:val="clear" w:color="auto" w:fill="auto"/>
                  <w:noWrap w:val="0"/>
                  <w:vAlign w:val="center"/>
                </w:tcPr>
                <w:p w14:paraId="44E633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装卸过程（液体转存于储罐的过程中及储罐泄压）</w:t>
                  </w:r>
                </w:p>
              </w:tc>
              <w:tc>
                <w:tcPr>
                  <w:tcW w:w="1311" w:type="pct"/>
                  <w:shd w:val="clear" w:color="auto" w:fill="auto"/>
                  <w:noWrap w:val="0"/>
                  <w:vAlign w:val="center"/>
                </w:tcPr>
                <w:p w14:paraId="399B2A9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t>非甲烷总烃</w:t>
                  </w:r>
                  <w:r>
                    <w:rPr>
                      <w:rFonts w:hint="default" w:ascii="Times New Roman" w:hAnsi="Times New Roman" w:cs="Times New Roman"/>
                      <w:b w:val="0"/>
                      <w:bCs w:val="0"/>
                      <w:caps w:val="0"/>
                      <w:color w:val="0000FF"/>
                      <w:kern w:val="0"/>
                      <w:sz w:val="21"/>
                      <w:szCs w:val="21"/>
                      <w:vertAlign w:val="baseline"/>
                      <w:lang w:val="en-US" w:eastAsia="zh-CN" w:bidi="ar-SA"/>
                    </w:rPr>
                    <w:t>、臭气浓度</w:t>
                  </w:r>
                </w:p>
              </w:tc>
            </w:tr>
            <w:tr w14:paraId="768EA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continue"/>
                  <w:noWrap w:val="0"/>
                  <w:vAlign w:val="center"/>
                </w:tcPr>
                <w:p w14:paraId="6622ECC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3127AE5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3D14184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2D15D1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储罐呼吸</w:t>
                  </w:r>
                </w:p>
              </w:tc>
              <w:tc>
                <w:tcPr>
                  <w:tcW w:w="1311" w:type="pct"/>
                  <w:shd w:val="clear" w:color="auto" w:fill="auto"/>
                  <w:noWrap w:val="0"/>
                  <w:vAlign w:val="center"/>
                </w:tcPr>
                <w:p w14:paraId="41608AC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非甲烷总烃</w:t>
                  </w:r>
                  <w:r>
                    <w:rPr>
                      <w:rFonts w:hint="default" w:ascii="Times New Roman" w:hAnsi="Times New Roman" w:cs="Times New Roman"/>
                      <w:b w:val="0"/>
                      <w:bCs w:val="0"/>
                      <w:caps w:val="0"/>
                      <w:color w:val="0000FF"/>
                      <w:kern w:val="0"/>
                      <w:sz w:val="21"/>
                      <w:szCs w:val="21"/>
                      <w:vertAlign w:val="baseline"/>
                      <w:lang w:val="en-US" w:eastAsia="zh-CN" w:bidi="ar-SA"/>
                    </w:rPr>
                    <w:t>、臭气浓度</w:t>
                  </w:r>
                </w:p>
              </w:tc>
            </w:tr>
            <w:tr w14:paraId="52FA8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82" w:type="pct"/>
                  <w:vMerge w:val="continue"/>
                  <w:noWrap w:val="0"/>
                  <w:vAlign w:val="center"/>
                </w:tcPr>
                <w:p w14:paraId="665DF64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1324B6C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527C52E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3A82A6B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灌装</w:t>
                  </w:r>
                </w:p>
              </w:tc>
              <w:tc>
                <w:tcPr>
                  <w:tcW w:w="1311" w:type="pct"/>
                  <w:shd w:val="clear" w:color="auto" w:fill="auto"/>
                  <w:noWrap w:val="0"/>
                  <w:vAlign w:val="center"/>
                </w:tcPr>
                <w:p w14:paraId="668FCA9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非甲烷总烃</w:t>
                  </w:r>
                  <w:r>
                    <w:rPr>
                      <w:rFonts w:hint="default" w:ascii="Times New Roman" w:hAnsi="Times New Roman" w:cs="Times New Roman"/>
                      <w:b w:val="0"/>
                      <w:bCs w:val="0"/>
                      <w:caps w:val="0"/>
                      <w:color w:val="0000FF"/>
                      <w:kern w:val="0"/>
                      <w:sz w:val="21"/>
                      <w:szCs w:val="21"/>
                      <w:vertAlign w:val="baseline"/>
                      <w:lang w:val="en-US" w:eastAsia="zh-CN" w:bidi="ar-SA"/>
                    </w:rPr>
                    <w:t>、臭气浓度</w:t>
                  </w:r>
                </w:p>
              </w:tc>
            </w:tr>
            <w:tr w14:paraId="655DF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82" w:type="pct"/>
                  <w:vMerge w:val="continue"/>
                  <w:noWrap w:val="0"/>
                  <w:vAlign w:val="center"/>
                </w:tcPr>
                <w:p w14:paraId="1D2C4CA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3DC6E09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1E61014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26950DE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eastAsia" w:cs="Times New Roman"/>
                      <w:b w:val="0"/>
                      <w:bCs w:val="0"/>
                      <w:caps w:val="0"/>
                      <w:color w:val="0000FF"/>
                      <w:kern w:val="0"/>
                      <w:sz w:val="21"/>
                      <w:szCs w:val="21"/>
                      <w:vertAlign w:val="baseline"/>
                      <w:lang w:val="en-US" w:eastAsia="zh-CN" w:bidi="ar-SA"/>
                    </w:rPr>
                    <w:t>残液回收废气</w:t>
                  </w:r>
                </w:p>
              </w:tc>
              <w:tc>
                <w:tcPr>
                  <w:tcW w:w="1311" w:type="pct"/>
                  <w:shd w:val="clear" w:color="auto" w:fill="auto"/>
                  <w:noWrap w:val="0"/>
                  <w:vAlign w:val="center"/>
                </w:tcPr>
                <w:p w14:paraId="37BA9B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非甲烷总烃</w:t>
                  </w:r>
                  <w:r>
                    <w:rPr>
                      <w:rFonts w:hint="default" w:ascii="Times New Roman" w:hAnsi="Times New Roman" w:cs="Times New Roman"/>
                      <w:b w:val="0"/>
                      <w:bCs w:val="0"/>
                      <w:caps w:val="0"/>
                      <w:color w:val="0000FF"/>
                      <w:kern w:val="0"/>
                      <w:sz w:val="21"/>
                      <w:szCs w:val="21"/>
                      <w:vertAlign w:val="baseline"/>
                      <w:lang w:val="en-US" w:eastAsia="zh-CN" w:bidi="ar-SA"/>
                    </w:rPr>
                    <w:t>、臭气浓度</w:t>
                  </w:r>
                </w:p>
              </w:tc>
            </w:tr>
            <w:tr w14:paraId="52F1E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82" w:type="pct"/>
                  <w:vMerge w:val="continue"/>
                  <w:noWrap w:val="0"/>
                  <w:vAlign w:val="center"/>
                </w:tcPr>
                <w:p w14:paraId="6804D79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7AD2BF9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65B5C38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1B6EA26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eastAsia" w:cs="Times New Roman"/>
                      <w:b w:val="0"/>
                      <w:bCs w:val="0"/>
                      <w:caps w:val="0"/>
                      <w:color w:val="0000FF"/>
                      <w:kern w:val="0"/>
                      <w:sz w:val="21"/>
                      <w:szCs w:val="21"/>
                      <w:vertAlign w:val="baseline"/>
                      <w:lang w:val="en-US" w:eastAsia="zh-CN" w:bidi="ar-SA"/>
                    </w:rPr>
                    <w:t>设备管道接口无组织</w:t>
                  </w:r>
                </w:p>
              </w:tc>
              <w:tc>
                <w:tcPr>
                  <w:tcW w:w="1311" w:type="pct"/>
                  <w:shd w:val="clear" w:color="auto" w:fill="auto"/>
                  <w:noWrap w:val="0"/>
                  <w:vAlign w:val="center"/>
                </w:tcPr>
                <w:p w14:paraId="7371409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非甲烷总烃</w:t>
                  </w:r>
                  <w:r>
                    <w:rPr>
                      <w:rFonts w:hint="default" w:ascii="Times New Roman" w:hAnsi="Times New Roman" w:cs="Times New Roman"/>
                      <w:b w:val="0"/>
                      <w:bCs w:val="0"/>
                      <w:caps w:val="0"/>
                      <w:color w:val="0000FF"/>
                      <w:kern w:val="0"/>
                      <w:sz w:val="21"/>
                      <w:szCs w:val="21"/>
                      <w:vertAlign w:val="baseline"/>
                      <w:lang w:val="en-US" w:eastAsia="zh-CN" w:bidi="ar-SA"/>
                    </w:rPr>
                    <w:t>、臭气浓度</w:t>
                  </w:r>
                </w:p>
              </w:tc>
            </w:tr>
            <w:tr w14:paraId="4C3891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682" w:type="pct"/>
                  <w:vMerge w:val="continue"/>
                  <w:noWrap w:val="0"/>
                  <w:vAlign w:val="center"/>
                </w:tcPr>
                <w:p w14:paraId="7AFB714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54D7B24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52F1CA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3A7A56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eastAsia" w:cs="Times New Roman"/>
                      <w:b w:val="0"/>
                      <w:bCs w:val="0"/>
                      <w:caps w:val="0"/>
                      <w:color w:val="0000FF"/>
                      <w:kern w:val="0"/>
                      <w:sz w:val="21"/>
                      <w:szCs w:val="21"/>
                      <w:vertAlign w:val="baseline"/>
                      <w:lang w:val="en-US" w:eastAsia="zh-CN" w:bidi="ar-SA"/>
                    </w:rPr>
                    <w:t>医用气瓶擦拭消毒</w:t>
                  </w:r>
                </w:p>
              </w:tc>
              <w:tc>
                <w:tcPr>
                  <w:tcW w:w="1311" w:type="pct"/>
                  <w:shd w:val="clear" w:color="auto" w:fill="auto"/>
                  <w:noWrap w:val="0"/>
                  <w:vAlign w:val="center"/>
                </w:tcPr>
                <w:p w14:paraId="2C79CA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eastAsia" w:cs="Times New Roman"/>
                      <w:b w:val="0"/>
                      <w:bCs w:val="0"/>
                      <w:caps w:val="0"/>
                      <w:color w:val="0000FF"/>
                      <w:kern w:val="0"/>
                      <w:sz w:val="21"/>
                      <w:szCs w:val="21"/>
                      <w:vertAlign w:val="baseline"/>
                      <w:lang w:val="en-US" w:eastAsia="zh-CN" w:bidi="ar-SA"/>
                    </w:rPr>
                    <w:t>非甲烷总烃</w:t>
                  </w:r>
                </w:p>
              </w:tc>
            </w:tr>
            <w:tr w14:paraId="0866A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82" w:type="pct"/>
                  <w:vMerge w:val="continue"/>
                  <w:noWrap w:val="0"/>
                  <w:vAlign w:val="center"/>
                </w:tcPr>
                <w:p w14:paraId="05518ED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252C0C4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restart"/>
                  <w:noWrap w:val="0"/>
                  <w:vAlign w:val="center"/>
                </w:tcPr>
                <w:p w14:paraId="590AAAB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r>
                    <w:rPr>
                      <w:rFonts w:hint="default" w:ascii="Times New Roman" w:hAnsi="Times New Roman" w:cs="Times New Roman"/>
                      <w:b w:val="0"/>
                      <w:bCs w:val="0"/>
                      <w:caps w:val="0"/>
                      <w:color w:val="0000FF"/>
                      <w:kern w:val="0"/>
                      <w:sz w:val="21"/>
                      <w:szCs w:val="21"/>
                      <w:highlight w:val="none"/>
                      <w:vertAlign w:val="baseline"/>
                      <w:lang w:val="en-US" w:eastAsia="zh-CN" w:bidi="ar-SA"/>
                    </w:rPr>
                    <w:t>气瓶检验站</w:t>
                  </w:r>
                </w:p>
              </w:tc>
              <w:tc>
                <w:tcPr>
                  <w:tcW w:w="1381" w:type="pct"/>
                  <w:shd w:val="clear" w:color="auto" w:fill="auto"/>
                  <w:noWrap w:val="0"/>
                  <w:vAlign w:val="center"/>
                </w:tcPr>
                <w:p w14:paraId="7A5A5EE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卸阀废气</w:t>
                  </w:r>
                </w:p>
              </w:tc>
              <w:tc>
                <w:tcPr>
                  <w:tcW w:w="1311" w:type="pct"/>
                  <w:shd w:val="clear" w:color="auto" w:fill="auto"/>
                  <w:noWrap w:val="0"/>
                  <w:vAlign w:val="center"/>
                </w:tcPr>
                <w:p w14:paraId="193BD4E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非甲烷总烃、臭气浓度</w:t>
                  </w:r>
                </w:p>
              </w:tc>
            </w:tr>
            <w:tr w14:paraId="7C661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82" w:type="pct"/>
                  <w:vMerge w:val="continue"/>
                  <w:noWrap w:val="0"/>
                  <w:vAlign w:val="center"/>
                </w:tcPr>
                <w:p w14:paraId="269BEB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084BE3F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334282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208B72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焚烧废气</w:t>
                  </w:r>
                </w:p>
              </w:tc>
              <w:tc>
                <w:tcPr>
                  <w:tcW w:w="1311" w:type="pct"/>
                  <w:shd w:val="clear" w:color="auto" w:fill="auto"/>
                  <w:noWrap w:val="0"/>
                  <w:vAlign w:val="center"/>
                </w:tcPr>
                <w:p w14:paraId="6BC1CB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颗粒物、SO</w:t>
                  </w:r>
                  <w:r>
                    <w:rPr>
                      <w:rFonts w:hint="default" w:ascii="Times New Roman" w:hAnsi="Times New Roman" w:cs="Times New Roman"/>
                      <w:b w:val="0"/>
                      <w:bCs w:val="0"/>
                      <w:caps w:val="0"/>
                      <w:color w:val="0000FF"/>
                      <w:kern w:val="0"/>
                      <w:sz w:val="21"/>
                      <w:szCs w:val="21"/>
                      <w:vertAlign w:val="subscript"/>
                      <w:lang w:val="en-US" w:eastAsia="zh-CN" w:bidi="ar-SA"/>
                    </w:rPr>
                    <w:t>2</w:t>
                  </w:r>
                  <w:r>
                    <w:rPr>
                      <w:rFonts w:hint="default" w:ascii="Times New Roman" w:hAnsi="Times New Roman" w:cs="Times New Roman"/>
                      <w:b w:val="0"/>
                      <w:bCs w:val="0"/>
                      <w:caps w:val="0"/>
                      <w:color w:val="0000FF"/>
                      <w:kern w:val="0"/>
                      <w:sz w:val="21"/>
                      <w:szCs w:val="21"/>
                      <w:vertAlign w:val="baseline"/>
                      <w:lang w:val="en-US" w:eastAsia="zh-CN" w:bidi="ar-SA"/>
                    </w:rPr>
                    <w:t>、NOx</w:t>
                  </w:r>
                </w:p>
              </w:tc>
            </w:tr>
            <w:tr w14:paraId="402E1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682" w:type="pct"/>
                  <w:vMerge w:val="continue"/>
                  <w:noWrap w:val="0"/>
                  <w:vAlign w:val="center"/>
                </w:tcPr>
                <w:p w14:paraId="07D5F6B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7D4F1D2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7521C99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4A65EFD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抛丸废气</w:t>
                  </w:r>
                </w:p>
              </w:tc>
              <w:tc>
                <w:tcPr>
                  <w:tcW w:w="1311" w:type="pct"/>
                  <w:shd w:val="clear" w:color="auto" w:fill="auto"/>
                  <w:noWrap w:val="0"/>
                  <w:vAlign w:val="center"/>
                </w:tcPr>
                <w:p w14:paraId="7D32160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颗粒物</w:t>
                  </w:r>
                </w:p>
              </w:tc>
            </w:tr>
            <w:tr w14:paraId="45092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682" w:type="pct"/>
                  <w:vMerge w:val="continue"/>
                  <w:noWrap w:val="0"/>
                  <w:vAlign w:val="center"/>
                </w:tcPr>
                <w:p w14:paraId="7AD186C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272683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46F375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180938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eastAsia" w:cs="Times New Roman"/>
                      <w:b w:val="0"/>
                      <w:bCs w:val="0"/>
                      <w:caps w:val="0"/>
                      <w:color w:val="0000FF"/>
                      <w:kern w:val="0"/>
                      <w:sz w:val="21"/>
                      <w:szCs w:val="21"/>
                      <w:vertAlign w:val="baseline"/>
                      <w:lang w:val="en-US" w:eastAsia="zh-CN" w:bidi="ar-SA"/>
                    </w:rPr>
                    <w:t>喷塑废气</w:t>
                  </w:r>
                </w:p>
              </w:tc>
              <w:tc>
                <w:tcPr>
                  <w:tcW w:w="1311" w:type="pct"/>
                  <w:shd w:val="clear" w:color="auto" w:fill="auto"/>
                  <w:noWrap w:val="0"/>
                  <w:vAlign w:val="center"/>
                </w:tcPr>
                <w:p w14:paraId="0829F57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eastAsia" w:cs="Times New Roman"/>
                      <w:b w:val="0"/>
                      <w:bCs w:val="0"/>
                      <w:caps w:val="0"/>
                      <w:color w:val="0000FF"/>
                      <w:kern w:val="0"/>
                      <w:sz w:val="21"/>
                      <w:szCs w:val="21"/>
                      <w:vertAlign w:val="baseline"/>
                      <w:lang w:val="en-US" w:eastAsia="zh-CN" w:bidi="ar-SA"/>
                    </w:rPr>
                    <w:t>颗粒物</w:t>
                  </w:r>
                </w:p>
              </w:tc>
            </w:tr>
            <w:tr w14:paraId="0955B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82" w:type="pct"/>
                  <w:vMerge w:val="continue"/>
                  <w:noWrap w:val="0"/>
                  <w:vAlign w:val="center"/>
                </w:tcPr>
                <w:p w14:paraId="77B110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2D6E626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318E5C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7804A0C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固化废气</w:t>
                  </w:r>
                </w:p>
              </w:tc>
              <w:tc>
                <w:tcPr>
                  <w:tcW w:w="1311" w:type="pct"/>
                  <w:shd w:val="clear" w:color="auto" w:fill="auto"/>
                  <w:noWrap w:val="0"/>
                  <w:vAlign w:val="center"/>
                </w:tcPr>
                <w:p w14:paraId="26D204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非甲烷总烃</w:t>
                  </w:r>
                </w:p>
              </w:tc>
            </w:tr>
            <w:tr w14:paraId="1671A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682" w:type="pct"/>
                  <w:vMerge w:val="continue"/>
                  <w:noWrap w:val="0"/>
                  <w:vAlign w:val="center"/>
                </w:tcPr>
                <w:p w14:paraId="3A13C16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493C91B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noWrap w:val="0"/>
                  <w:vAlign w:val="center"/>
                </w:tcPr>
                <w:p w14:paraId="7724117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highlight w:val="none"/>
                      <w:vertAlign w:val="baseline"/>
                      <w:lang w:val="en-US" w:eastAsia="zh-CN" w:bidi="ar-SA"/>
                    </w:rPr>
                  </w:pPr>
                </w:p>
              </w:tc>
              <w:tc>
                <w:tcPr>
                  <w:tcW w:w="1381" w:type="pct"/>
                  <w:shd w:val="clear" w:color="auto" w:fill="auto"/>
                  <w:noWrap w:val="0"/>
                  <w:vAlign w:val="center"/>
                </w:tcPr>
                <w:p w14:paraId="733026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丝印废气</w:t>
                  </w:r>
                </w:p>
              </w:tc>
              <w:tc>
                <w:tcPr>
                  <w:tcW w:w="1311" w:type="pct"/>
                  <w:shd w:val="clear" w:color="auto" w:fill="auto"/>
                  <w:noWrap w:val="0"/>
                  <w:vAlign w:val="center"/>
                </w:tcPr>
                <w:p w14:paraId="221732F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非甲烷总烃</w:t>
                  </w:r>
                </w:p>
              </w:tc>
            </w:tr>
            <w:tr w14:paraId="5FEA8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2" w:type="pct"/>
                  <w:vMerge w:val="continue"/>
                  <w:noWrap w:val="0"/>
                  <w:vAlign w:val="center"/>
                </w:tcPr>
                <w:p w14:paraId="2F3808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noWrap w:val="0"/>
                  <w:vAlign w:val="center"/>
                </w:tcPr>
                <w:p w14:paraId="4F8F05F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废水</w:t>
                  </w:r>
                </w:p>
              </w:tc>
              <w:tc>
                <w:tcPr>
                  <w:tcW w:w="937" w:type="pct"/>
                  <w:noWrap w:val="0"/>
                  <w:vAlign w:val="center"/>
                </w:tcPr>
                <w:p w14:paraId="7FC9DE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职工生活</w:t>
                  </w:r>
                </w:p>
              </w:tc>
              <w:tc>
                <w:tcPr>
                  <w:tcW w:w="1381" w:type="pct"/>
                  <w:noWrap w:val="0"/>
                  <w:vAlign w:val="center"/>
                </w:tcPr>
                <w:p w14:paraId="63DCA9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生活污水</w:t>
                  </w:r>
                </w:p>
              </w:tc>
              <w:tc>
                <w:tcPr>
                  <w:tcW w:w="1311" w:type="pct"/>
                  <w:noWrap w:val="0"/>
                  <w:vAlign w:val="center"/>
                </w:tcPr>
                <w:p w14:paraId="26446D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COD、BOD</w:t>
                  </w:r>
                  <w:r>
                    <w:rPr>
                      <w:rFonts w:hint="default" w:ascii="Times New Roman" w:hAnsi="Times New Roman" w:cs="Times New Roman"/>
                      <w:b w:val="0"/>
                      <w:bCs w:val="0"/>
                      <w:caps w:val="0"/>
                      <w:color w:val="0000FF"/>
                      <w:kern w:val="0"/>
                      <w:sz w:val="21"/>
                      <w:szCs w:val="21"/>
                      <w:vertAlign w:val="subscript"/>
                      <w:lang w:val="en-US" w:eastAsia="zh-CN" w:bidi="ar-SA"/>
                    </w:rPr>
                    <w:t>5</w:t>
                  </w:r>
                  <w:r>
                    <w:rPr>
                      <w:rFonts w:hint="default" w:ascii="Times New Roman" w:hAnsi="Times New Roman" w:eastAsia="宋体" w:cs="Times New Roman"/>
                      <w:b w:val="0"/>
                      <w:bCs w:val="0"/>
                      <w:caps w:val="0"/>
                      <w:color w:val="0000FF"/>
                      <w:kern w:val="0"/>
                      <w:sz w:val="21"/>
                      <w:szCs w:val="21"/>
                      <w:vertAlign w:val="baseline"/>
                      <w:lang w:val="en-US" w:eastAsia="zh-CN" w:bidi="ar-SA"/>
                    </w:rPr>
                    <w:t>、SS、氨氮等</w:t>
                  </w:r>
                </w:p>
              </w:tc>
            </w:tr>
            <w:tr w14:paraId="792E9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682" w:type="pct"/>
                  <w:vMerge w:val="continue"/>
                  <w:noWrap w:val="0"/>
                  <w:vAlign w:val="center"/>
                </w:tcPr>
                <w:p w14:paraId="156FE2F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restart"/>
                  <w:noWrap w:val="0"/>
                  <w:vAlign w:val="center"/>
                </w:tcPr>
                <w:p w14:paraId="42457A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噪声</w:t>
                  </w:r>
                </w:p>
              </w:tc>
              <w:tc>
                <w:tcPr>
                  <w:tcW w:w="937" w:type="pct"/>
                  <w:shd w:val="clear" w:color="auto" w:fill="auto"/>
                  <w:noWrap w:val="0"/>
                  <w:vAlign w:val="center"/>
                </w:tcPr>
                <w:p w14:paraId="209AE8A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气体灌装站</w:t>
                  </w:r>
                </w:p>
              </w:tc>
              <w:tc>
                <w:tcPr>
                  <w:tcW w:w="1381" w:type="pct"/>
                  <w:shd w:val="clear" w:color="auto" w:fill="auto"/>
                  <w:noWrap w:val="0"/>
                  <w:vAlign w:val="center"/>
                </w:tcPr>
                <w:p w14:paraId="3732F16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压缩机</w:t>
                  </w:r>
                  <w:r>
                    <w:rPr>
                      <w:rFonts w:hint="default" w:ascii="Times New Roman" w:hAnsi="Times New Roman" w:cs="Times New Roman"/>
                      <w:b w:val="0"/>
                      <w:bCs w:val="0"/>
                      <w:caps w:val="0"/>
                      <w:color w:val="0000FF"/>
                      <w:kern w:val="0"/>
                      <w:sz w:val="21"/>
                      <w:szCs w:val="21"/>
                      <w:vertAlign w:val="baseline"/>
                      <w:lang w:val="en-US" w:eastAsia="zh-CN" w:bidi="ar-SA"/>
                    </w:rPr>
                    <w:t>、</w:t>
                  </w:r>
                  <w:r>
                    <w:rPr>
                      <w:rFonts w:hint="default" w:ascii="Times New Roman" w:hAnsi="Times New Roman" w:eastAsia="宋体" w:cs="Times New Roman"/>
                      <w:b w:val="0"/>
                      <w:bCs w:val="0"/>
                      <w:caps w:val="0"/>
                      <w:color w:val="0000FF"/>
                      <w:kern w:val="0"/>
                      <w:sz w:val="21"/>
                      <w:szCs w:val="21"/>
                      <w:vertAlign w:val="baseline"/>
                      <w:lang w:val="en-US" w:eastAsia="zh-CN" w:bidi="ar-SA"/>
                    </w:rPr>
                    <w:t>气化器、</w:t>
                  </w:r>
                  <w:r>
                    <w:rPr>
                      <w:rFonts w:hint="default" w:ascii="Times New Roman" w:hAnsi="Times New Roman" w:cs="Times New Roman"/>
                      <w:b w:val="0"/>
                      <w:bCs w:val="0"/>
                      <w:caps w:val="0"/>
                      <w:color w:val="0000FF"/>
                      <w:kern w:val="0"/>
                      <w:sz w:val="21"/>
                      <w:szCs w:val="21"/>
                      <w:vertAlign w:val="baseline"/>
                      <w:lang w:val="en-US" w:eastAsia="zh-CN" w:bidi="ar-SA"/>
                    </w:rPr>
                    <w:t>汇流排、</w:t>
                  </w:r>
                  <w:r>
                    <w:rPr>
                      <w:rFonts w:hint="default" w:ascii="Times New Roman" w:hAnsi="Times New Roman" w:eastAsia="宋体" w:cs="Times New Roman"/>
                      <w:b w:val="0"/>
                      <w:bCs w:val="0"/>
                      <w:caps w:val="0"/>
                      <w:color w:val="0000FF"/>
                      <w:kern w:val="0"/>
                      <w:sz w:val="21"/>
                      <w:szCs w:val="21"/>
                      <w:vertAlign w:val="baseline"/>
                      <w:lang w:val="en-US" w:eastAsia="zh-CN" w:bidi="ar-SA"/>
                    </w:rPr>
                    <w:t>泵等</w:t>
                  </w:r>
                </w:p>
              </w:tc>
              <w:tc>
                <w:tcPr>
                  <w:tcW w:w="1311" w:type="pct"/>
                  <w:shd w:val="clear" w:color="auto" w:fill="auto"/>
                  <w:noWrap w:val="0"/>
                  <w:vAlign w:val="center"/>
                </w:tcPr>
                <w:p w14:paraId="735F3BD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等效连续A声级</w:t>
                  </w:r>
                </w:p>
              </w:tc>
            </w:tr>
            <w:tr w14:paraId="7B5A2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682" w:type="pct"/>
                  <w:vMerge w:val="continue"/>
                  <w:noWrap w:val="0"/>
                  <w:vAlign w:val="center"/>
                </w:tcPr>
                <w:p w14:paraId="582063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76856D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shd w:val="clear" w:color="auto" w:fill="auto"/>
                  <w:noWrap w:val="0"/>
                  <w:vAlign w:val="center"/>
                </w:tcPr>
                <w:p w14:paraId="08F2403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气瓶检验站</w:t>
                  </w:r>
                </w:p>
              </w:tc>
              <w:tc>
                <w:tcPr>
                  <w:tcW w:w="1381" w:type="pct"/>
                  <w:shd w:val="clear" w:color="auto" w:fill="auto"/>
                  <w:noWrap w:val="0"/>
                  <w:vAlign w:val="center"/>
                </w:tcPr>
                <w:p w14:paraId="77F57C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抛丸、空压机、泵、风机等</w:t>
                  </w:r>
                </w:p>
              </w:tc>
              <w:tc>
                <w:tcPr>
                  <w:tcW w:w="1311" w:type="pct"/>
                  <w:shd w:val="clear" w:color="auto" w:fill="auto"/>
                  <w:noWrap w:val="0"/>
                  <w:vAlign w:val="center"/>
                </w:tcPr>
                <w:p w14:paraId="6FD37AF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等效连续A声级</w:t>
                  </w:r>
                </w:p>
              </w:tc>
            </w:tr>
            <w:tr w14:paraId="65FDC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682" w:type="pct"/>
                  <w:vMerge w:val="continue"/>
                  <w:noWrap w:val="0"/>
                  <w:vAlign w:val="center"/>
                </w:tcPr>
                <w:p w14:paraId="47B24D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restart"/>
                  <w:noWrap w:val="0"/>
                  <w:vAlign w:val="center"/>
                </w:tcPr>
                <w:p w14:paraId="13D0C1B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固废</w:t>
                  </w:r>
                </w:p>
              </w:tc>
              <w:tc>
                <w:tcPr>
                  <w:tcW w:w="937" w:type="pct"/>
                  <w:vMerge w:val="restart"/>
                  <w:shd w:val="clear" w:color="auto" w:fill="auto"/>
                  <w:noWrap w:val="0"/>
                  <w:vAlign w:val="center"/>
                </w:tcPr>
                <w:p w14:paraId="34416FA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气体灌装站</w:t>
                  </w:r>
                </w:p>
              </w:tc>
              <w:tc>
                <w:tcPr>
                  <w:tcW w:w="1381" w:type="pct"/>
                  <w:shd w:val="clear" w:color="auto" w:fill="auto"/>
                  <w:noWrap w:val="0"/>
                  <w:vAlign w:val="center"/>
                </w:tcPr>
                <w:p w14:paraId="68BC48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回收LPG气瓶</w:t>
                  </w:r>
                </w:p>
              </w:tc>
              <w:tc>
                <w:tcPr>
                  <w:tcW w:w="1311" w:type="pct"/>
                  <w:shd w:val="clear" w:color="auto" w:fill="auto"/>
                  <w:noWrap w:val="0"/>
                  <w:vAlign w:val="center"/>
                </w:tcPr>
                <w:p w14:paraId="48D720C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LPG</w:t>
                  </w:r>
                  <w:r>
                    <w:rPr>
                      <w:rFonts w:hint="default" w:ascii="Times New Roman" w:hAnsi="Times New Roman" w:eastAsia="宋体" w:cs="Times New Roman"/>
                      <w:b w:val="0"/>
                      <w:bCs w:val="0"/>
                      <w:caps w:val="0"/>
                      <w:color w:val="0000FF"/>
                      <w:kern w:val="0"/>
                      <w:sz w:val="21"/>
                      <w:szCs w:val="21"/>
                      <w:vertAlign w:val="baseline"/>
                      <w:lang w:val="en-US" w:eastAsia="zh-CN" w:bidi="ar-SA"/>
                    </w:rPr>
                    <w:t>残液</w:t>
                  </w:r>
                </w:p>
              </w:tc>
            </w:tr>
            <w:tr w14:paraId="3977F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682" w:type="pct"/>
                  <w:vMerge w:val="continue"/>
                  <w:noWrap w:val="0"/>
                  <w:vAlign w:val="center"/>
                </w:tcPr>
                <w:p w14:paraId="01BA75B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401985E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restart"/>
                  <w:shd w:val="clear" w:color="auto" w:fill="auto"/>
                  <w:noWrap w:val="0"/>
                  <w:vAlign w:val="center"/>
                </w:tcPr>
                <w:p w14:paraId="7E4BB36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气瓶检验站</w:t>
                  </w:r>
                </w:p>
              </w:tc>
              <w:tc>
                <w:tcPr>
                  <w:tcW w:w="1381" w:type="pct"/>
                  <w:shd w:val="clear" w:color="auto" w:fill="auto"/>
                  <w:noWrap w:val="0"/>
                  <w:vAlign w:val="center"/>
                </w:tcPr>
                <w:p w14:paraId="3C8BCDF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钢瓶压扁报废</w:t>
                  </w:r>
                </w:p>
              </w:tc>
              <w:tc>
                <w:tcPr>
                  <w:tcW w:w="1311" w:type="pct"/>
                  <w:shd w:val="clear" w:color="auto" w:fill="auto"/>
                  <w:noWrap w:val="0"/>
                  <w:vAlign w:val="center"/>
                </w:tcPr>
                <w:p w14:paraId="6519F9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废钢瓶</w:t>
                  </w:r>
                </w:p>
              </w:tc>
            </w:tr>
            <w:tr w14:paraId="3586B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35944D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29FFAA8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4D56DB2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1EBA9CB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焚烧</w:t>
                  </w:r>
                </w:p>
              </w:tc>
              <w:tc>
                <w:tcPr>
                  <w:tcW w:w="1311" w:type="pct"/>
                  <w:shd w:val="clear" w:color="auto" w:fill="auto"/>
                  <w:noWrap w:val="0"/>
                  <w:vAlign w:val="center"/>
                </w:tcPr>
                <w:p w14:paraId="2082074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炉渣</w:t>
                  </w:r>
                </w:p>
              </w:tc>
            </w:tr>
            <w:tr w14:paraId="7DCC9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589E383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41DE62D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25DDA1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7C1CB2F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焚烧废气处理</w:t>
                  </w:r>
                </w:p>
              </w:tc>
              <w:tc>
                <w:tcPr>
                  <w:tcW w:w="1311" w:type="pct"/>
                  <w:shd w:val="clear" w:color="auto" w:fill="auto"/>
                  <w:noWrap w:val="0"/>
                  <w:vAlign w:val="center"/>
                </w:tcPr>
                <w:p w14:paraId="5841FD3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污泥</w:t>
                  </w:r>
                </w:p>
              </w:tc>
            </w:tr>
            <w:tr w14:paraId="1FE88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6A94502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6CDFB42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44C1640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2AB94CE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抛丸</w:t>
                  </w:r>
                </w:p>
              </w:tc>
              <w:tc>
                <w:tcPr>
                  <w:tcW w:w="1311" w:type="pct"/>
                  <w:shd w:val="clear" w:color="auto" w:fill="auto"/>
                  <w:noWrap w:val="0"/>
                  <w:vAlign w:val="center"/>
                </w:tcPr>
                <w:p w14:paraId="11D391F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废钢丸</w:t>
                  </w:r>
                </w:p>
              </w:tc>
            </w:tr>
            <w:tr w14:paraId="1899E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4593F8D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3BF2D4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35DD7AE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589F737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抛丸废气处理</w:t>
                  </w:r>
                </w:p>
              </w:tc>
              <w:tc>
                <w:tcPr>
                  <w:tcW w:w="1311" w:type="pct"/>
                  <w:shd w:val="clear" w:color="auto" w:fill="auto"/>
                  <w:noWrap w:val="0"/>
                  <w:vAlign w:val="center"/>
                </w:tcPr>
                <w:p w14:paraId="4E73752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除尘灰</w:t>
                  </w:r>
                </w:p>
              </w:tc>
            </w:tr>
            <w:tr w14:paraId="29101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0D0A16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438119D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11A14B3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5C09668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抛丸废气处理</w:t>
                  </w:r>
                </w:p>
              </w:tc>
              <w:tc>
                <w:tcPr>
                  <w:tcW w:w="1311" w:type="pct"/>
                  <w:shd w:val="clear" w:color="auto" w:fill="auto"/>
                  <w:noWrap w:val="0"/>
                  <w:vAlign w:val="center"/>
                </w:tcPr>
                <w:p w14:paraId="3F8002C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废布袋</w:t>
                  </w:r>
                </w:p>
              </w:tc>
            </w:tr>
            <w:tr w14:paraId="6146C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587970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71F705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78EE3CD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7030B01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拆阀</w:t>
                  </w:r>
                </w:p>
              </w:tc>
              <w:tc>
                <w:tcPr>
                  <w:tcW w:w="1311" w:type="pct"/>
                  <w:shd w:val="clear" w:color="auto" w:fill="auto"/>
                  <w:noWrap w:val="0"/>
                  <w:vAlign w:val="center"/>
                </w:tcPr>
                <w:p w14:paraId="7E6F56E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废角阀</w:t>
                  </w:r>
                </w:p>
              </w:tc>
            </w:tr>
            <w:tr w14:paraId="40B46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5F6693F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2A211E8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00DAC2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227A4C2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喷塑-塑粉回收</w:t>
                  </w:r>
                </w:p>
              </w:tc>
              <w:tc>
                <w:tcPr>
                  <w:tcW w:w="1311" w:type="pct"/>
                  <w:shd w:val="clear" w:color="auto" w:fill="auto"/>
                  <w:noWrap w:val="0"/>
                  <w:vAlign w:val="center"/>
                </w:tcPr>
                <w:p w14:paraId="592ECB5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废滤芯</w:t>
                  </w:r>
                </w:p>
              </w:tc>
            </w:tr>
            <w:tr w14:paraId="71DA2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32B6417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179D83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0389F9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5C16E4B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highlight w:val="none"/>
                      <w:vertAlign w:val="baseline"/>
                      <w:lang w:val="en-US" w:eastAsia="zh-CN" w:bidi="ar-SA"/>
                    </w:rPr>
                  </w:pPr>
                  <w:r>
                    <w:rPr>
                      <w:rFonts w:hint="default" w:ascii="Times New Roman" w:hAnsi="Times New Roman" w:cs="Times New Roman"/>
                      <w:b w:val="0"/>
                      <w:bCs w:val="0"/>
                      <w:caps w:val="0"/>
                      <w:color w:val="0000FF"/>
                      <w:kern w:val="0"/>
                      <w:sz w:val="21"/>
                      <w:szCs w:val="21"/>
                      <w:highlight w:val="none"/>
                      <w:vertAlign w:val="baseline"/>
                      <w:lang w:val="en-US" w:eastAsia="zh-CN" w:bidi="ar-SA"/>
                    </w:rPr>
                    <w:t>喷塑废气处理</w:t>
                  </w:r>
                </w:p>
              </w:tc>
              <w:tc>
                <w:tcPr>
                  <w:tcW w:w="1311" w:type="pct"/>
                  <w:shd w:val="clear" w:color="auto" w:fill="auto"/>
                  <w:noWrap w:val="0"/>
                  <w:vAlign w:val="center"/>
                </w:tcPr>
                <w:p w14:paraId="6834D6F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highlight w:val="none"/>
                      <w:vertAlign w:val="baseline"/>
                      <w:lang w:val="en-US" w:eastAsia="zh-CN" w:bidi="ar-SA"/>
                    </w:rPr>
                  </w:pPr>
                  <w:r>
                    <w:rPr>
                      <w:rFonts w:hint="default" w:ascii="Times New Roman" w:hAnsi="Times New Roman" w:cs="Times New Roman"/>
                      <w:b w:val="0"/>
                      <w:bCs w:val="0"/>
                      <w:caps w:val="0"/>
                      <w:color w:val="0000FF"/>
                      <w:kern w:val="0"/>
                      <w:sz w:val="21"/>
                      <w:szCs w:val="21"/>
                      <w:highlight w:val="none"/>
                      <w:vertAlign w:val="baseline"/>
                      <w:lang w:val="en-US" w:eastAsia="zh-CN" w:bidi="ar-SA"/>
                    </w:rPr>
                    <w:t>回收塑粉</w:t>
                  </w:r>
                </w:p>
                <w:p w14:paraId="1597612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highlight w:val="none"/>
                      <w:vertAlign w:val="baseline"/>
                      <w:lang w:val="en-US" w:eastAsia="zh-CN" w:bidi="ar-SA"/>
                    </w:rPr>
                  </w:pPr>
                  <w:r>
                    <w:rPr>
                      <w:rFonts w:hint="default" w:ascii="Times New Roman" w:hAnsi="Times New Roman" w:cs="Times New Roman"/>
                      <w:b w:val="0"/>
                      <w:bCs w:val="0"/>
                      <w:caps w:val="0"/>
                      <w:color w:val="0000FF"/>
                      <w:kern w:val="0"/>
                      <w:sz w:val="21"/>
                      <w:szCs w:val="21"/>
                      <w:highlight w:val="none"/>
                      <w:vertAlign w:val="baseline"/>
                      <w:lang w:val="en-US" w:eastAsia="zh-CN" w:bidi="ar-SA"/>
                    </w:rPr>
                    <w:t>（不作为固废管理）</w:t>
                  </w:r>
                </w:p>
              </w:tc>
            </w:tr>
            <w:tr w14:paraId="19BDD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4CA2BCC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27512B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7B883B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5D8B47A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highlight w:val="none"/>
                      <w:vertAlign w:val="baseline"/>
                      <w:lang w:val="en-US" w:eastAsia="zh-CN" w:bidi="ar-SA"/>
                    </w:rPr>
                  </w:pPr>
                  <w:r>
                    <w:rPr>
                      <w:rFonts w:hint="eastAsia" w:cs="Times New Roman"/>
                      <w:b w:val="0"/>
                      <w:bCs w:val="0"/>
                      <w:caps w:val="0"/>
                      <w:color w:val="0000FF"/>
                      <w:kern w:val="0"/>
                      <w:sz w:val="21"/>
                      <w:szCs w:val="21"/>
                      <w:highlight w:val="none"/>
                      <w:vertAlign w:val="baseline"/>
                      <w:lang w:val="en-US" w:eastAsia="zh-CN" w:bidi="ar-SA"/>
                    </w:rPr>
                    <w:t>原料拆包</w:t>
                  </w:r>
                </w:p>
              </w:tc>
              <w:tc>
                <w:tcPr>
                  <w:tcW w:w="1311" w:type="pct"/>
                  <w:shd w:val="clear" w:color="auto" w:fill="auto"/>
                  <w:noWrap w:val="0"/>
                  <w:vAlign w:val="center"/>
                </w:tcPr>
                <w:p w14:paraId="2A1EEB6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highlight w:val="none"/>
                      <w:vertAlign w:val="baseline"/>
                      <w:lang w:val="en-US" w:eastAsia="zh-CN" w:bidi="ar-SA"/>
                    </w:rPr>
                  </w:pPr>
                  <w:r>
                    <w:rPr>
                      <w:rFonts w:hint="eastAsia" w:cs="Times New Roman"/>
                      <w:b w:val="0"/>
                      <w:bCs w:val="0"/>
                      <w:caps w:val="0"/>
                      <w:color w:val="0000FF"/>
                      <w:kern w:val="0"/>
                      <w:sz w:val="21"/>
                      <w:szCs w:val="21"/>
                      <w:highlight w:val="none"/>
                      <w:vertAlign w:val="baseline"/>
                      <w:lang w:val="en-US" w:eastAsia="zh-CN" w:bidi="ar-SA"/>
                    </w:rPr>
                    <w:t>一般废包装</w:t>
                  </w:r>
                </w:p>
              </w:tc>
            </w:tr>
            <w:tr w14:paraId="60D60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2FD2CE5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445DF8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2B6BBEF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72926B1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丝印</w:t>
                  </w:r>
                </w:p>
              </w:tc>
              <w:tc>
                <w:tcPr>
                  <w:tcW w:w="1311" w:type="pct"/>
                  <w:shd w:val="clear" w:color="auto" w:fill="auto"/>
                  <w:noWrap w:val="0"/>
                  <w:vAlign w:val="center"/>
                </w:tcPr>
                <w:p w14:paraId="175A795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废丝印版</w:t>
                  </w:r>
                </w:p>
              </w:tc>
            </w:tr>
            <w:tr w14:paraId="2BC1D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0E0DA77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73337EE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6255256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5886F23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丝印</w:t>
                  </w:r>
                </w:p>
              </w:tc>
              <w:tc>
                <w:tcPr>
                  <w:tcW w:w="1311" w:type="pct"/>
                  <w:shd w:val="clear" w:color="auto" w:fill="auto"/>
                  <w:noWrap w:val="0"/>
                  <w:vAlign w:val="center"/>
                </w:tcPr>
                <w:p w14:paraId="4344135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废油墨桶</w:t>
                  </w:r>
                </w:p>
              </w:tc>
            </w:tr>
            <w:tr w14:paraId="54D59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125C71C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29D65C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vMerge w:val="continue"/>
                  <w:shd w:val="clear" w:color="auto" w:fill="auto"/>
                  <w:noWrap w:val="0"/>
                  <w:vAlign w:val="center"/>
                </w:tcPr>
                <w:p w14:paraId="195F9C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p>
              </w:tc>
              <w:tc>
                <w:tcPr>
                  <w:tcW w:w="1381" w:type="pct"/>
                  <w:shd w:val="clear" w:color="auto" w:fill="auto"/>
                  <w:noWrap w:val="0"/>
                  <w:vAlign w:val="center"/>
                </w:tcPr>
                <w:p w14:paraId="63A970F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丝印</w:t>
                  </w:r>
                </w:p>
              </w:tc>
              <w:tc>
                <w:tcPr>
                  <w:tcW w:w="1311" w:type="pct"/>
                  <w:shd w:val="clear" w:color="auto" w:fill="auto"/>
                  <w:noWrap w:val="0"/>
                  <w:vAlign w:val="center"/>
                </w:tcPr>
                <w:p w14:paraId="62688CF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aps w:val="0"/>
                      <w:color w:val="0000FF"/>
                      <w:kern w:val="0"/>
                      <w:sz w:val="21"/>
                      <w:szCs w:val="21"/>
                      <w:vertAlign w:val="baseline"/>
                      <w:lang w:val="en-US" w:eastAsia="zh-CN" w:bidi="ar-SA"/>
                    </w:rPr>
                  </w:pPr>
                  <w:r>
                    <w:rPr>
                      <w:rFonts w:hint="default" w:ascii="Times New Roman" w:hAnsi="Times New Roman" w:cs="Times New Roman"/>
                      <w:b w:val="0"/>
                      <w:bCs w:val="0"/>
                      <w:caps w:val="0"/>
                      <w:color w:val="0000FF"/>
                      <w:kern w:val="0"/>
                      <w:sz w:val="21"/>
                      <w:szCs w:val="21"/>
                      <w:vertAlign w:val="baseline"/>
                      <w:lang w:val="en-US" w:eastAsia="zh-CN" w:bidi="ar-SA"/>
                    </w:rPr>
                    <w:t>废抹布（危废）</w:t>
                  </w:r>
                </w:p>
              </w:tc>
            </w:tr>
            <w:tr w14:paraId="3C4E6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5C7154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5AEAFA1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shd w:val="clear" w:color="auto" w:fill="auto"/>
                  <w:noWrap w:val="0"/>
                  <w:vAlign w:val="center"/>
                </w:tcPr>
                <w:p w14:paraId="72017FB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设备维护</w:t>
                  </w:r>
                </w:p>
              </w:tc>
              <w:tc>
                <w:tcPr>
                  <w:tcW w:w="1381" w:type="pct"/>
                  <w:shd w:val="clear" w:color="auto" w:fill="auto"/>
                  <w:noWrap w:val="0"/>
                  <w:vAlign w:val="center"/>
                </w:tcPr>
                <w:p w14:paraId="5379E7D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废</w:t>
                  </w:r>
                  <w:r>
                    <w:rPr>
                      <w:rFonts w:hint="eastAsia" w:cs="Times New Roman"/>
                      <w:b w:val="0"/>
                      <w:bCs w:val="0"/>
                      <w:caps w:val="0"/>
                      <w:color w:val="0000FF"/>
                      <w:kern w:val="0"/>
                      <w:sz w:val="21"/>
                      <w:szCs w:val="21"/>
                      <w:vertAlign w:val="baseline"/>
                      <w:lang w:val="en-US" w:eastAsia="zh-CN" w:bidi="ar-SA"/>
                    </w:rPr>
                    <w:t>矿物油</w:t>
                  </w:r>
                </w:p>
              </w:tc>
              <w:tc>
                <w:tcPr>
                  <w:tcW w:w="1311" w:type="pct"/>
                  <w:shd w:val="clear" w:color="auto" w:fill="auto"/>
                  <w:noWrap w:val="0"/>
                  <w:vAlign w:val="center"/>
                </w:tcPr>
                <w:p w14:paraId="10380A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油类物质</w:t>
                  </w:r>
                </w:p>
              </w:tc>
            </w:tr>
            <w:tr w14:paraId="24032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82" w:type="pct"/>
                  <w:vMerge w:val="continue"/>
                  <w:noWrap w:val="0"/>
                  <w:vAlign w:val="center"/>
                </w:tcPr>
                <w:p w14:paraId="7C6A61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686" w:type="pct"/>
                  <w:vMerge w:val="continue"/>
                  <w:noWrap w:val="0"/>
                  <w:vAlign w:val="center"/>
                </w:tcPr>
                <w:p w14:paraId="50549D8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p>
              </w:tc>
              <w:tc>
                <w:tcPr>
                  <w:tcW w:w="937" w:type="pct"/>
                  <w:shd w:val="clear" w:color="auto" w:fill="auto"/>
                  <w:noWrap w:val="0"/>
                  <w:vAlign w:val="center"/>
                </w:tcPr>
                <w:p w14:paraId="4C175DC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职工生活</w:t>
                  </w:r>
                </w:p>
              </w:tc>
              <w:tc>
                <w:tcPr>
                  <w:tcW w:w="1381" w:type="pct"/>
                  <w:shd w:val="clear" w:color="auto" w:fill="auto"/>
                  <w:noWrap w:val="0"/>
                  <w:vAlign w:val="center"/>
                </w:tcPr>
                <w:p w14:paraId="58B2BF8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生活垃圾</w:t>
                  </w:r>
                </w:p>
              </w:tc>
              <w:tc>
                <w:tcPr>
                  <w:tcW w:w="1311" w:type="pct"/>
                  <w:shd w:val="clear" w:color="auto" w:fill="auto"/>
                  <w:noWrap w:val="0"/>
                  <w:vAlign w:val="center"/>
                </w:tcPr>
                <w:p w14:paraId="6CACB75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aps w:val="0"/>
                      <w:color w:val="0000FF"/>
                      <w:kern w:val="0"/>
                      <w:sz w:val="21"/>
                      <w:szCs w:val="21"/>
                      <w:vertAlign w:val="baseline"/>
                      <w:lang w:val="en-US" w:eastAsia="zh-CN" w:bidi="ar-SA"/>
                    </w:rPr>
                  </w:pPr>
                  <w:r>
                    <w:rPr>
                      <w:rFonts w:hint="default" w:ascii="Times New Roman" w:hAnsi="Times New Roman" w:eastAsia="宋体" w:cs="Times New Roman"/>
                      <w:b w:val="0"/>
                      <w:bCs w:val="0"/>
                      <w:caps w:val="0"/>
                      <w:color w:val="0000FF"/>
                      <w:kern w:val="0"/>
                      <w:sz w:val="21"/>
                      <w:szCs w:val="21"/>
                      <w:vertAlign w:val="baseline"/>
                      <w:lang w:val="en-US" w:eastAsia="zh-CN" w:bidi="ar-SA"/>
                    </w:rPr>
                    <w:t>/</w:t>
                  </w:r>
                </w:p>
              </w:tc>
            </w:tr>
          </w:tbl>
          <w:p w14:paraId="51A299EC">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both"/>
              <w:textAlignment w:val="auto"/>
              <w:rPr>
                <w:rFonts w:hint="default" w:ascii="Times New Roman" w:hAnsi="Times New Roman" w:eastAsia="宋体" w:cs="Times New Roman"/>
                <w:b/>
                <w:bCs/>
                <w:color w:val="auto"/>
                <w:sz w:val="24"/>
                <w:szCs w:val="24"/>
                <w:highlight w:val="none"/>
                <w:lang w:val="en-US" w:eastAsia="zh-CN"/>
              </w:rPr>
            </w:pPr>
          </w:p>
        </w:tc>
      </w:tr>
      <w:tr w14:paraId="1663C9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9" w:type="dxa"/>
            <w:noWrap w:val="0"/>
            <w:vAlign w:val="center"/>
          </w:tcPr>
          <w:p w14:paraId="5FD90723">
            <w:pPr>
              <w:pStyle w:val="26"/>
              <w:adjustRightInd w:val="0"/>
              <w:snapToGrid w:val="0"/>
              <w:spacing w:before="0" w:beforeAutospacing="0" w:after="0" w:afterAutospacing="0"/>
              <w:jc w:val="center"/>
              <w:rPr>
                <w:rFonts w:hint="default" w:ascii="Times New Roman" w:hAnsi="Times New Roman" w:cs="Times New Roman"/>
                <w:bCs/>
                <w:color w:val="auto"/>
                <w:kern w:val="2"/>
                <w:sz w:val="24"/>
                <w:szCs w:val="24"/>
              </w:rPr>
            </w:pPr>
            <w:r>
              <w:rPr>
                <w:rFonts w:hint="default" w:ascii="Times New Roman" w:hAnsi="Times New Roman" w:cs="Times New Roman"/>
                <w:bCs/>
                <w:color w:val="auto"/>
                <w:kern w:val="2"/>
                <w:sz w:val="24"/>
                <w:szCs w:val="24"/>
              </w:rPr>
              <w:t>与项目有</w:t>
            </w:r>
          </w:p>
          <w:p w14:paraId="50766C15">
            <w:pPr>
              <w:pStyle w:val="26"/>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bCs/>
                <w:color w:val="auto"/>
                <w:kern w:val="2"/>
                <w:sz w:val="24"/>
                <w:szCs w:val="24"/>
              </w:rPr>
              <w:t>关的原有环境污染问题</w:t>
            </w:r>
          </w:p>
        </w:tc>
        <w:tc>
          <w:tcPr>
            <w:tcW w:w="8141" w:type="dxa"/>
            <w:noWrap w:val="0"/>
            <w:vAlign w:val="center"/>
          </w:tcPr>
          <w:p w14:paraId="1336CEAA">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1、项目拟建厂址原项目基本情况</w:t>
            </w:r>
          </w:p>
          <w:p w14:paraId="38E8698A">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color w:val="auto"/>
                <w:kern w:val="2"/>
                <w:sz w:val="24"/>
                <w:szCs w:val="24"/>
                <w:lang w:val="en-US" w:eastAsia="zh-CN" w:bidi="ar-SA"/>
              </w:rPr>
              <w:t>2022年，包头市安达立气瓶技术开发有限责任公司（以下简称安达立公司）拟在</w:t>
            </w:r>
            <w:r>
              <w:rPr>
                <w:rFonts w:hint="eastAsia" w:cs="Times New Roman"/>
                <w:color w:val="0000FF"/>
                <w:kern w:val="2"/>
                <w:sz w:val="24"/>
                <w:szCs w:val="24"/>
                <w:lang w:val="en-US" w:eastAsia="zh-CN" w:bidi="ar-SA"/>
              </w:rPr>
              <w:t>内蒙古包头</w:t>
            </w:r>
            <w:r>
              <w:rPr>
                <w:rFonts w:hint="default" w:ascii="Times New Roman" w:hAnsi="Times New Roman" w:eastAsia="宋体" w:cs="Times New Roman"/>
                <w:color w:val="0000FF"/>
                <w:kern w:val="2"/>
                <w:sz w:val="24"/>
                <w:szCs w:val="24"/>
                <w:lang w:val="en-US" w:eastAsia="zh-CN" w:bidi="ar-SA"/>
              </w:rPr>
              <w:t>九原工业</w:t>
            </w:r>
            <w:r>
              <w:rPr>
                <w:rFonts w:hint="default" w:ascii="Times New Roman" w:hAnsi="Times New Roman" w:cs="Times New Roman"/>
                <w:b w:val="0"/>
                <w:bCs w:val="0"/>
                <w:color w:val="0000FF"/>
                <w:sz w:val="24"/>
                <w:lang w:val="en-US" w:eastAsia="zh-CN"/>
              </w:rPr>
              <w:t>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cs="Times New Roman"/>
                <w:b w:val="0"/>
                <w:bCs w:val="0"/>
                <w:color w:val="0000FF"/>
                <w:sz w:val="24"/>
                <w:lang w:val="en-US" w:eastAsia="zh-CN"/>
              </w:rPr>
              <w:t>新型化工及高分子材料产业区</w:t>
            </w:r>
            <w:r>
              <w:rPr>
                <w:rFonts w:hint="default" w:ascii="Times New Roman" w:hAnsi="Times New Roman" w:eastAsia="宋体" w:cs="Times New Roman"/>
                <w:color w:val="auto"/>
                <w:kern w:val="2"/>
                <w:sz w:val="24"/>
                <w:szCs w:val="24"/>
                <w:lang w:val="en-US" w:eastAsia="zh-CN" w:bidi="ar-SA"/>
              </w:rPr>
              <w:t>建设“</w:t>
            </w:r>
            <w:r>
              <w:rPr>
                <w:rFonts w:hint="default" w:ascii="Times New Roman" w:hAnsi="Times New Roman" w:eastAsia="宋体" w:cs="Times New Roman"/>
                <w:color w:val="auto"/>
                <w:sz w:val="24"/>
                <w:szCs w:val="24"/>
                <w:shd w:val="clear" w:color="auto" w:fill="auto"/>
                <w:lang w:val="en-US" w:eastAsia="zh-CN"/>
              </w:rPr>
              <w:t>复合气瓶制造及配套LPG新型气瓶充装站建设项目</w:t>
            </w:r>
            <w:r>
              <w:rPr>
                <w:rFonts w:hint="default" w:ascii="Times New Roman" w:hAnsi="Times New Roman" w:eastAsia="宋体" w:cs="Times New Roman"/>
                <w:color w:val="auto"/>
                <w:kern w:val="2"/>
                <w:sz w:val="24"/>
                <w:szCs w:val="24"/>
                <w:lang w:val="en-US" w:eastAsia="zh-CN" w:bidi="ar-SA"/>
              </w:rPr>
              <w:t>”（以下简称复合气瓶项目）。该项目拟</w:t>
            </w:r>
            <w:r>
              <w:rPr>
                <w:rFonts w:hint="default" w:ascii="Times New Roman" w:hAnsi="Times New Roman" w:eastAsia="宋体" w:cs="Times New Roman"/>
                <w:b w:val="0"/>
                <w:bCs w:val="0"/>
                <w:color w:val="auto"/>
                <w:sz w:val="24"/>
                <w:szCs w:val="24"/>
                <w:lang w:val="en-US" w:eastAsia="zh-CN"/>
              </w:rPr>
              <w:t>建设全自动液化石油气复合气瓶生产线3条，可年产液化石油气复合气瓶108万只；配套液化石油气灌装站1座，液化石油气年加注量为1800t。</w:t>
            </w:r>
          </w:p>
          <w:p w14:paraId="66909ECF">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复合气瓶项目环境影响评价于2022年12月通过评审，并于2022年12月23日取得包头市生态环境局环评批复，批复文号包环管字150207[2022]023号</w:t>
            </w:r>
            <w:r>
              <w:rPr>
                <w:rFonts w:hint="default" w:ascii="Times New Roman" w:hAnsi="Times New Roman" w:cs="Times New Roman"/>
                <w:b w:val="0"/>
                <w:bCs w:val="0"/>
                <w:color w:val="auto"/>
                <w:sz w:val="24"/>
                <w:szCs w:val="24"/>
                <w:lang w:val="en-US" w:eastAsia="zh-CN"/>
              </w:rPr>
              <w:t>（见附件5）</w:t>
            </w:r>
            <w:r>
              <w:rPr>
                <w:rFonts w:hint="default" w:ascii="Times New Roman" w:hAnsi="Times New Roman" w:eastAsia="宋体" w:cs="Times New Roman"/>
                <w:b w:val="0"/>
                <w:bCs w:val="0"/>
                <w:color w:val="auto"/>
                <w:sz w:val="24"/>
                <w:szCs w:val="24"/>
                <w:lang w:val="en-US" w:eastAsia="zh-CN"/>
              </w:rPr>
              <w:t>。项目批复后，至今未开工建设。</w:t>
            </w:r>
          </w:p>
          <w:p w14:paraId="514E6AA7">
            <w:pPr>
              <w:spacing w:line="360" w:lineRule="auto"/>
              <w:ind w:firstLine="480" w:firstLineChars="20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后因安达立公司调整企业发展方向，</w:t>
            </w:r>
            <w:r>
              <w:rPr>
                <w:rFonts w:hint="default" w:ascii="Times New Roman" w:hAnsi="Times New Roman" w:cs="Times New Roman"/>
                <w:color w:val="auto"/>
                <w:kern w:val="2"/>
                <w:sz w:val="24"/>
                <w:szCs w:val="24"/>
                <w:lang w:val="en-US" w:eastAsia="zh-CN" w:bidi="ar-SA"/>
              </w:rPr>
              <w:t>于2025年9月3日将</w:t>
            </w:r>
            <w:r>
              <w:rPr>
                <w:rFonts w:hint="default" w:ascii="Times New Roman" w:hAnsi="Times New Roman" w:eastAsia="宋体" w:cs="Times New Roman"/>
                <w:color w:val="auto"/>
                <w:kern w:val="2"/>
                <w:sz w:val="24"/>
                <w:szCs w:val="24"/>
                <w:lang w:val="en-US" w:eastAsia="zh-CN" w:bidi="ar-SA"/>
              </w:rPr>
              <w:t>公司</w:t>
            </w:r>
            <w:r>
              <w:rPr>
                <w:rFonts w:hint="default" w:ascii="Times New Roman" w:hAnsi="Times New Roman" w:cs="Times New Roman"/>
                <w:color w:val="auto"/>
                <w:kern w:val="2"/>
                <w:sz w:val="24"/>
                <w:szCs w:val="24"/>
                <w:lang w:val="en-US" w:eastAsia="zh-CN" w:bidi="ar-SA"/>
              </w:rPr>
              <w:t>名称变更为“内蒙古东方神气科技有限责任公司”，并取得包头市九原区市场监督管理局办理更名登记（包九原-变更登记字[2025]第00224089号）（见附件6），上述已取得环评批复的</w:t>
            </w:r>
            <w:r>
              <w:rPr>
                <w:rFonts w:hint="default" w:ascii="Times New Roman" w:hAnsi="Times New Roman" w:eastAsia="宋体" w:cs="Times New Roman"/>
                <w:color w:val="auto"/>
                <w:kern w:val="2"/>
                <w:sz w:val="24"/>
                <w:szCs w:val="24"/>
                <w:lang w:val="en-US" w:eastAsia="zh-CN" w:bidi="ar-SA"/>
              </w:rPr>
              <w:t>“复合气瓶制造及配套LPG新型气瓶充装站建设项目”不再建设。</w:t>
            </w:r>
          </w:p>
          <w:p w14:paraId="4EF3E9B2">
            <w:pPr>
              <w:spacing w:line="360" w:lineRule="auto"/>
              <w:ind w:firstLine="480" w:firstLineChars="200"/>
              <w:jc w:val="both"/>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caps w:val="0"/>
                <w:color w:val="auto"/>
                <w:kern w:val="0"/>
                <w:sz w:val="24"/>
                <w:szCs w:val="24"/>
                <w:lang w:val="en-US" w:eastAsia="zh-CN" w:bidi="ar-SA"/>
              </w:rPr>
              <w:t>2</w:t>
            </w:r>
            <w:r>
              <w:rPr>
                <w:rFonts w:hint="default" w:ascii="Times New Roman" w:hAnsi="Times New Roman" w:eastAsia="宋体" w:cs="Times New Roman"/>
                <w:caps w:val="0"/>
                <w:color w:val="auto"/>
                <w:kern w:val="0"/>
                <w:sz w:val="24"/>
                <w:szCs w:val="24"/>
                <w:lang w:val="en-US" w:eastAsia="zh-CN" w:bidi="ar-SA"/>
              </w:rPr>
              <w:t>、</w:t>
            </w:r>
            <w:r>
              <w:rPr>
                <w:rFonts w:hint="default" w:ascii="Times New Roman" w:hAnsi="Times New Roman" w:cs="Times New Roman"/>
                <w:caps w:val="0"/>
                <w:color w:val="auto"/>
                <w:kern w:val="0"/>
                <w:sz w:val="24"/>
                <w:szCs w:val="24"/>
                <w:lang w:val="en-US" w:eastAsia="zh-CN" w:bidi="ar-SA"/>
              </w:rPr>
              <w:t>与项目有关的主要环境问题</w:t>
            </w:r>
          </w:p>
          <w:p w14:paraId="4972729D">
            <w:pPr>
              <w:spacing w:line="360" w:lineRule="auto"/>
              <w:ind w:firstLine="480" w:firstLineChars="200"/>
              <w:jc w:val="both"/>
              <w:rPr>
                <w:rFonts w:hint="default" w:ascii="Times New Roman" w:hAnsi="Times New Roman" w:eastAsia="宋体" w:cs="Times New Roman"/>
                <w:bCs/>
                <w:color w:val="auto"/>
                <w:szCs w:val="21"/>
                <w:lang w:eastAsia="zh-CN"/>
              </w:rPr>
            </w:pPr>
            <w:r>
              <w:rPr>
                <w:rFonts w:hint="default" w:ascii="Times New Roman" w:hAnsi="Times New Roman" w:cs="Times New Roman"/>
                <w:color w:val="auto"/>
                <w:sz w:val="24"/>
                <w:szCs w:val="24"/>
                <w:lang w:val="en-US" w:eastAsia="zh-CN"/>
              </w:rPr>
              <w:t>复合气瓶项</w:t>
            </w:r>
            <w:r>
              <w:rPr>
                <w:rFonts w:hint="default" w:ascii="Times New Roman" w:hAnsi="Times New Roman" w:eastAsia="宋体" w:cs="Times New Roman"/>
                <w:color w:val="auto"/>
                <w:sz w:val="24"/>
                <w:szCs w:val="24"/>
              </w:rPr>
              <w:t>目</w:t>
            </w:r>
            <w:r>
              <w:rPr>
                <w:rFonts w:hint="default" w:ascii="Times New Roman" w:hAnsi="Times New Roman" w:cs="Times New Roman"/>
                <w:color w:val="auto"/>
                <w:sz w:val="24"/>
                <w:szCs w:val="24"/>
                <w:lang w:val="en-US" w:eastAsia="zh-CN"/>
              </w:rPr>
              <w:t>取得环评批复后未开工建设，无实际排污。本项目</w:t>
            </w:r>
            <w:r>
              <w:rPr>
                <w:rFonts w:hint="default" w:ascii="Times New Roman" w:hAnsi="Times New Roman" w:eastAsia="宋体" w:cs="Times New Roman"/>
                <w:color w:val="auto"/>
                <w:sz w:val="24"/>
                <w:szCs w:val="24"/>
                <w:lang w:val="en-US" w:eastAsia="zh-CN"/>
              </w:rPr>
              <w:t>建设性质属于新建，根据现场踏勘，项目区为空地</w:t>
            </w:r>
            <w:r>
              <w:rPr>
                <w:rFonts w:hint="default" w:ascii="Times New Roman" w:hAnsi="Times New Roman" w:eastAsia="宋体" w:cs="Times New Roman"/>
                <w:color w:val="auto"/>
                <w:sz w:val="24"/>
                <w:szCs w:val="24"/>
                <w:lang w:eastAsia="zh-CN"/>
              </w:rPr>
              <w:t>，不存在</w:t>
            </w:r>
            <w:r>
              <w:rPr>
                <w:rFonts w:hint="default" w:ascii="Times New Roman" w:hAnsi="Times New Roman" w:cs="Times New Roman"/>
                <w:bCs/>
                <w:color w:val="auto"/>
                <w:kern w:val="2"/>
                <w:sz w:val="24"/>
                <w:szCs w:val="24"/>
              </w:rPr>
              <w:t>与项目有关的原有环境污染问题</w:t>
            </w:r>
            <w:r>
              <w:rPr>
                <w:rFonts w:hint="default" w:ascii="Times New Roman" w:hAnsi="Times New Roman" w:cs="Times New Roman"/>
                <w:bCs/>
                <w:color w:val="auto"/>
                <w:kern w:val="2"/>
                <w:sz w:val="24"/>
                <w:szCs w:val="24"/>
                <w:lang w:eastAsia="zh-CN"/>
              </w:rPr>
              <w:t>。</w:t>
            </w:r>
          </w:p>
        </w:tc>
      </w:tr>
    </w:tbl>
    <w:p w14:paraId="0D6500A8">
      <w:pPr>
        <w:pStyle w:val="26"/>
        <w:jc w:val="center"/>
        <w:rPr>
          <w:rFonts w:hint="default" w:ascii="Times New Roman" w:hAnsi="Times New Roman" w:eastAsia="黑体" w:cs="Times New Roman"/>
          <w:snapToGrid w:val="0"/>
          <w:color w:val="auto"/>
          <w:sz w:val="36"/>
          <w:szCs w:val="36"/>
        </w:rPr>
        <w:sectPr>
          <w:footerReference r:id="rId3" w:type="default"/>
          <w:pgSz w:w="11906" w:h="16838"/>
          <w:pgMar w:top="1417" w:right="1531" w:bottom="1417" w:left="1701" w:header="851" w:footer="851" w:gutter="0"/>
          <w:pgBorders w:offsetFrom="page">
            <w:top w:val="none" w:sz="0" w:space="0"/>
            <w:left w:val="none" w:sz="0" w:space="0"/>
            <w:bottom w:val="none" w:sz="0" w:space="0"/>
            <w:right w:val="none" w:sz="0" w:space="0"/>
          </w:pgBorders>
          <w:pgNumType w:fmt="decimal" w:start="1"/>
          <w:cols w:space="720" w:num="1"/>
          <w:docGrid w:linePitch="312" w:charSpace="0"/>
        </w:sectPr>
      </w:pPr>
    </w:p>
    <w:p w14:paraId="59458FA3">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15" w:lineRule="auto"/>
        <w:jc w:val="center"/>
        <w:textAlignment w:val="auto"/>
        <w:outlineLvl w:val="9"/>
        <w:rPr>
          <w:rFonts w:hint="default" w:ascii="Times New Roman" w:hAnsi="Times New Roman" w:eastAsia="黑体" w:cs="Times New Roman"/>
          <w:snapToGrid w:val="0"/>
          <w:color w:val="auto"/>
          <w:sz w:val="30"/>
          <w:szCs w:val="30"/>
        </w:rPr>
      </w:pPr>
    </w:p>
    <w:p w14:paraId="4831B981">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三、区域环境质量现状、环境保护目标及评价标准</w:t>
      </w: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6"/>
      </w:tblGrid>
      <w:tr w14:paraId="75C768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8" w:hRule="atLeast"/>
          <w:jc w:val="center"/>
        </w:trPr>
        <w:tc>
          <w:tcPr>
            <w:tcW w:w="800" w:type="dxa"/>
            <w:noWrap w:val="0"/>
            <w:vAlign w:val="center"/>
          </w:tcPr>
          <w:p w14:paraId="7EA72667">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区域</w:t>
            </w:r>
          </w:p>
          <w:p w14:paraId="407125D2">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环境</w:t>
            </w:r>
          </w:p>
          <w:p w14:paraId="5424A35D">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质量</w:t>
            </w:r>
          </w:p>
          <w:p w14:paraId="13D112AC">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szCs w:val="24"/>
              </w:rPr>
              <w:t>现状</w:t>
            </w:r>
          </w:p>
        </w:tc>
        <w:tc>
          <w:tcPr>
            <w:tcW w:w="8148" w:type="dxa"/>
            <w:noWrap w:val="0"/>
            <w:vAlign w:val="center"/>
          </w:tcPr>
          <w:p w14:paraId="210DBD81">
            <w:pPr>
              <w:keepNext w:val="0"/>
              <w:keepLines w:val="0"/>
              <w:pageBreakBefore w:val="0"/>
              <w:widowControl w:val="0"/>
              <w:numPr>
                <w:ilvl w:val="0"/>
                <w:numId w:val="0"/>
              </w:numPr>
              <w:tabs>
                <w:tab w:val="left" w:pos="1992"/>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en-US" w:eastAsia="zh-CN"/>
              </w:rPr>
              <w:t>1、</w:t>
            </w:r>
            <w:r>
              <w:rPr>
                <w:rFonts w:hint="default" w:ascii="Times New Roman" w:hAnsi="Times New Roman" w:cs="Times New Roman"/>
                <w:b/>
                <w:bCs/>
                <w:color w:val="auto"/>
                <w:sz w:val="24"/>
                <w:szCs w:val="24"/>
              </w:rPr>
              <w:t>环境空气质量现状</w:t>
            </w:r>
          </w:p>
          <w:p w14:paraId="4CE7F56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1.1项目所在区域达标判定</w:t>
            </w:r>
          </w:p>
          <w:p w14:paraId="0E4C7083">
            <w:pPr>
              <w:tabs>
                <w:tab w:val="left" w:pos="426"/>
                <w:tab w:val="left" w:pos="709"/>
              </w:tabs>
              <w:topLinePunct/>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根据《环境影响评价技术导则 大气环境》（HJ2.2-2018）中6.4.1.1中的内容“城市环境空气质量达标评价指标为SO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、NO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、PM</w:t>
            </w:r>
            <w:r>
              <w:rPr>
                <w:rFonts w:hint="default" w:ascii="Times New Roman" w:hAnsi="Times New Roman" w:cs="Times New Roman"/>
                <w:color w:val="auto"/>
                <w:sz w:val="24"/>
                <w:szCs w:val="24"/>
                <w:vertAlign w:val="subscript"/>
              </w:rPr>
              <w:t>10</w:t>
            </w:r>
            <w:r>
              <w:rPr>
                <w:rFonts w:hint="default" w:ascii="Times New Roman" w:hAnsi="Times New Roman" w:cs="Times New Roman"/>
                <w:color w:val="auto"/>
                <w:sz w:val="24"/>
                <w:szCs w:val="24"/>
              </w:rPr>
              <w:t>、PM</w:t>
            </w:r>
            <w:r>
              <w:rPr>
                <w:rFonts w:hint="default" w:ascii="Times New Roman" w:hAnsi="Times New Roman" w:cs="Times New Roman"/>
                <w:color w:val="auto"/>
                <w:sz w:val="24"/>
                <w:szCs w:val="24"/>
                <w:vertAlign w:val="subscript"/>
              </w:rPr>
              <w:t>2.5</w:t>
            </w:r>
            <w:r>
              <w:rPr>
                <w:rFonts w:hint="default" w:ascii="Times New Roman" w:hAnsi="Times New Roman" w:cs="Times New Roman"/>
                <w:color w:val="auto"/>
                <w:sz w:val="24"/>
                <w:szCs w:val="24"/>
              </w:rPr>
              <w:t>、CO和O</w:t>
            </w:r>
            <w:r>
              <w:rPr>
                <w:rFonts w:hint="default" w:ascii="Times New Roman" w:hAnsi="Times New Roman" w:cs="Times New Roman"/>
                <w:color w:val="auto"/>
                <w:sz w:val="24"/>
                <w:szCs w:val="24"/>
                <w:vertAlign w:val="subscript"/>
              </w:rPr>
              <w:t>3</w:t>
            </w:r>
            <w:r>
              <w:rPr>
                <w:rFonts w:hint="default" w:ascii="Times New Roman" w:hAnsi="Times New Roman" w:cs="Times New Roman"/>
                <w:color w:val="auto"/>
                <w:sz w:val="24"/>
                <w:szCs w:val="24"/>
              </w:rPr>
              <w:t>，六项污染物全部达标即为城市环境空气质量达标”。</w:t>
            </w:r>
          </w:p>
          <w:p w14:paraId="6BEBC1E4">
            <w:pPr>
              <w:tabs>
                <w:tab w:val="left" w:pos="426"/>
                <w:tab w:val="left" w:pos="709"/>
              </w:tabs>
              <w:topLinePunct/>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根据《环境影响评价技术导则 大气环境》（HJ2.2-2018），项目所在区域达标判定优先采用国家或地方生态环境主管部门公开发布的评价基准年环境质量公告或环境质量报告中的数据或结论。其中评价基准年为近3年中数据相对完整的1个日历年作为评价基准年。</w:t>
            </w:r>
          </w:p>
          <w:p w14:paraId="7070CD9D">
            <w:pPr>
              <w:pStyle w:val="31"/>
              <w:spacing w:after="0" w:line="360" w:lineRule="auto"/>
              <w:ind w:left="0" w:leftChars="0"/>
              <w:rPr>
                <w:rFonts w:hint="default" w:ascii="Times New Roman" w:hAnsi="Times New Roman" w:cs="Times New Roman"/>
                <w:color w:val="000000"/>
                <w:szCs w:val="21"/>
                <w:highlight w:val="none"/>
              </w:rPr>
            </w:pPr>
            <w:r>
              <w:rPr>
                <w:rFonts w:hint="default" w:ascii="Times New Roman" w:hAnsi="Times New Roman" w:cs="Times New Roman"/>
                <w:color w:val="auto"/>
                <w:sz w:val="24"/>
                <w:szCs w:val="24"/>
              </w:rPr>
              <w:t>本项目设定的评价基准年为</w:t>
            </w:r>
            <w:r>
              <w:rPr>
                <w:rFonts w:hint="default" w:ascii="Times New Roman" w:hAnsi="Times New Roman" w:cs="Times New Roman"/>
                <w:color w:val="auto"/>
                <w:sz w:val="24"/>
                <w:szCs w:val="24"/>
                <w:lang w:val="en-US" w:eastAsia="zh-CN"/>
              </w:rPr>
              <w:t>2024</w:t>
            </w:r>
            <w:r>
              <w:rPr>
                <w:rFonts w:hint="default" w:ascii="Times New Roman" w:hAnsi="Times New Roman" w:cs="Times New Roman"/>
                <w:color w:val="auto"/>
                <w:sz w:val="24"/>
                <w:szCs w:val="24"/>
              </w:rPr>
              <w:t>年，</w:t>
            </w:r>
            <w:r>
              <w:rPr>
                <w:rFonts w:hint="default" w:ascii="Times New Roman" w:hAnsi="Times New Roman" w:cs="Times New Roman"/>
                <w:color w:val="000000"/>
                <w:sz w:val="24"/>
                <w:szCs w:val="24"/>
                <w:highlight w:val="none"/>
              </w:rPr>
              <w:t>本次评价收集了2024年包头市1-12月包头市环境空气质量状况专报九原区环境空气质量监测数据，该监测点环境空气质量监测基本项目SO</w:t>
            </w:r>
            <w:r>
              <w:rPr>
                <w:rFonts w:hint="default" w:ascii="Times New Roman" w:hAnsi="Times New Roman" w:cs="Times New Roman"/>
                <w:color w:val="000000"/>
                <w:sz w:val="24"/>
                <w:szCs w:val="24"/>
                <w:highlight w:val="none"/>
                <w:vertAlign w:val="subscript"/>
              </w:rPr>
              <w:t>2</w:t>
            </w:r>
            <w:r>
              <w:rPr>
                <w:rFonts w:hint="default" w:ascii="Times New Roman" w:hAnsi="Times New Roman" w:cs="Times New Roman"/>
                <w:color w:val="000000"/>
                <w:sz w:val="24"/>
                <w:szCs w:val="24"/>
                <w:highlight w:val="none"/>
              </w:rPr>
              <w:t>、NO</w:t>
            </w:r>
            <w:r>
              <w:rPr>
                <w:rFonts w:hint="default" w:ascii="Times New Roman" w:hAnsi="Times New Roman" w:cs="Times New Roman"/>
                <w:color w:val="000000"/>
                <w:sz w:val="24"/>
                <w:szCs w:val="24"/>
                <w:highlight w:val="none"/>
                <w:vertAlign w:val="subscript"/>
              </w:rPr>
              <w:t>2</w:t>
            </w:r>
            <w:r>
              <w:rPr>
                <w:rFonts w:hint="default" w:ascii="Times New Roman" w:hAnsi="Times New Roman" w:cs="Times New Roman"/>
                <w:color w:val="000000"/>
                <w:sz w:val="24"/>
                <w:szCs w:val="24"/>
                <w:highlight w:val="none"/>
              </w:rPr>
              <w:t>、CO、O</w:t>
            </w:r>
            <w:r>
              <w:rPr>
                <w:rFonts w:hint="default" w:ascii="Times New Roman" w:hAnsi="Times New Roman" w:cs="Times New Roman"/>
                <w:color w:val="000000"/>
                <w:sz w:val="24"/>
                <w:szCs w:val="24"/>
                <w:highlight w:val="none"/>
                <w:vertAlign w:val="subscript"/>
              </w:rPr>
              <w:t>3</w:t>
            </w:r>
            <w:r>
              <w:rPr>
                <w:rFonts w:hint="default" w:ascii="Times New Roman" w:hAnsi="Times New Roman" w:cs="Times New Roman"/>
                <w:color w:val="000000"/>
                <w:sz w:val="24"/>
                <w:szCs w:val="24"/>
                <w:highlight w:val="none"/>
              </w:rPr>
              <w:t>、PM</w:t>
            </w:r>
            <w:r>
              <w:rPr>
                <w:rFonts w:hint="default" w:ascii="Times New Roman" w:hAnsi="Times New Roman" w:cs="Times New Roman"/>
                <w:color w:val="000000"/>
                <w:sz w:val="24"/>
                <w:szCs w:val="24"/>
                <w:highlight w:val="none"/>
                <w:vertAlign w:val="subscript"/>
              </w:rPr>
              <w:t>10</w:t>
            </w:r>
            <w:r>
              <w:rPr>
                <w:rFonts w:hint="default" w:ascii="Times New Roman" w:hAnsi="Times New Roman" w:cs="Times New Roman"/>
                <w:color w:val="000000"/>
                <w:sz w:val="24"/>
                <w:szCs w:val="24"/>
                <w:highlight w:val="none"/>
              </w:rPr>
              <w:t>、PM</w:t>
            </w:r>
            <w:r>
              <w:rPr>
                <w:rFonts w:hint="default" w:ascii="Times New Roman" w:hAnsi="Times New Roman" w:cs="Times New Roman"/>
                <w:color w:val="000000"/>
                <w:sz w:val="24"/>
                <w:szCs w:val="24"/>
                <w:highlight w:val="none"/>
                <w:vertAlign w:val="subscript"/>
              </w:rPr>
              <w:t>2.5</w:t>
            </w:r>
            <w:r>
              <w:rPr>
                <w:rFonts w:hint="default" w:ascii="Times New Roman" w:hAnsi="Times New Roman" w:cs="Times New Roman"/>
                <w:color w:val="000000"/>
                <w:sz w:val="24"/>
                <w:szCs w:val="24"/>
                <w:highlight w:val="none"/>
              </w:rPr>
              <w:t>数据见下表，根据《环境空气质量评价技术规范》（HJ663—2013）达标判定结果见表</w:t>
            </w:r>
            <w:r>
              <w:rPr>
                <w:rFonts w:hint="default" w:ascii="Times New Roman" w:hAnsi="Times New Roman" w:cs="Times New Roman"/>
                <w:color w:val="000000"/>
                <w:sz w:val="24"/>
                <w:szCs w:val="24"/>
                <w:highlight w:val="none"/>
                <w:lang w:val="en-US" w:eastAsia="zh-CN"/>
              </w:rPr>
              <w:t>3.1-1</w:t>
            </w:r>
            <w:r>
              <w:rPr>
                <w:rFonts w:hint="default" w:ascii="Times New Roman" w:hAnsi="Times New Roman" w:cs="Times New Roman"/>
                <w:color w:val="000000"/>
                <w:sz w:val="24"/>
                <w:szCs w:val="24"/>
                <w:highlight w:val="none"/>
              </w:rPr>
              <w:t>。</w:t>
            </w:r>
          </w:p>
          <w:p w14:paraId="04A4ECBF">
            <w:pPr>
              <w:pStyle w:val="31"/>
              <w:spacing w:after="0" w:line="360" w:lineRule="auto"/>
              <w:ind w:left="0" w:leftChars="0"/>
              <w:rPr>
                <w:rFonts w:hint="default" w:ascii="Times New Roman" w:hAnsi="Times New Roman" w:cs="Times New Roman"/>
                <w:color w:val="0000FF"/>
                <w:szCs w:val="21"/>
                <w:highlight w:val="none"/>
              </w:rPr>
            </w:pPr>
            <w:r>
              <w:rPr>
                <w:rFonts w:hint="default" w:ascii="Times New Roman" w:hAnsi="Times New Roman" w:cs="Times New Roman"/>
                <w:color w:val="0000FF"/>
                <w:sz w:val="24"/>
                <w:szCs w:val="24"/>
              </w:rPr>
              <w:t>本项目设定的评价基准年为</w:t>
            </w:r>
            <w:r>
              <w:rPr>
                <w:rFonts w:hint="default" w:ascii="Times New Roman" w:hAnsi="Times New Roman" w:cs="Times New Roman"/>
                <w:color w:val="0000FF"/>
                <w:sz w:val="24"/>
                <w:szCs w:val="24"/>
                <w:lang w:val="en-US" w:eastAsia="zh-CN"/>
              </w:rPr>
              <w:t>2024</w:t>
            </w:r>
            <w:r>
              <w:rPr>
                <w:rFonts w:hint="default" w:ascii="Times New Roman" w:hAnsi="Times New Roman" w:cs="Times New Roman"/>
                <w:color w:val="0000FF"/>
                <w:sz w:val="24"/>
                <w:szCs w:val="24"/>
              </w:rPr>
              <w:t>年，</w:t>
            </w:r>
            <w:r>
              <w:rPr>
                <w:rFonts w:hint="default" w:ascii="Times New Roman" w:hAnsi="Times New Roman" w:cs="Times New Roman"/>
                <w:color w:val="0000FF"/>
                <w:sz w:val="24"/>
                <w:szCs w:val="24"/>
                <w:highlight w:val="none"/>
              </w:rPr>
              <w:t>本次评价收集了2024年包头市1-12月包头市环境空气质量状况专报九原区环境空气质量监测数据，该监测点环境空气质量监测基本项目SO</w:t>
            </w:r>
            <w:r>
              <w:rPr>
                <w:rFonts w:hint="default" w:ascii="Times New Roman" w:hAnsi="Times New Roman" w:cs="Times New Roman"/>
                <w:color w:val="0000FF"/>
                <w:sz w:val="24"/>
                <w:szCs w:val="24"/>
                <w:highlight w:val="none"/>
                <w:vertAlign w:val="subscript"/>
              </w:rPr>
              <w:t>2</w:t>
            </w:r>
            <w:r>
              <w:rPr>
                <w:rFonts w:hint="default" w:ascii="Times New Roman" w:hAnsi="Times New Roman" w:cs="Times New Roman"/>
                <w:color w:val="0000FF"/>
                <w:sz w:val="24"/>
                <w:szCs w:val="24"/>
                <w:highlight w:val="none"/>
              </w:rPr>
              <w:t>、NO</w:t>
            </w:r>
            <w:r>
              <w:rPr>
                <w:rFonts w:hint="default" w:ascii="Times New Roman" w:hAnsi="Times New Roman" w:cs="Times New Roman"/>
                <w:color w:val="0000FF"/>
                <w:sz w:val="24"/>
                <w:szCs w:val="24"/>
                <w:highlight w:val="none"/>
                <w:vertAlign w:val="subscript"/>
              </w:rPr>
              <w:t>2</w:t>
            </w:r>
            <w:r>
              <w:rPr>
                <w:rFonts w:hint="default" w:ascii="Times New Roman" w:hAnsi="Times New Roman" w:cs="Times New Roman"/>
                <w:color w:val="0000FF"/>
                <w:sz w:val="24"/>
                <w:szCs w:val="24"/>
                <w:highlight w:val="none"/>
              </w:rPr>
              <w:t>、CO、O</w:t>
            </w:r>
            <w:r>
              <w:rPr>
                <w:rFonts w:hint="default" w:ascii="Times New Roman" w:hAnsi="Times New Roman" w:cs="Times New Roman"/>
                <w:color w:val="0000FF"/>
                <w:sz w:val="24"/>
                <w:szCs w:val="24"/>
                <w:highlight w:val="none"/>
                <w:vertAlign w:val="subscript"/>
              </w:rPr>
              <w:t>3</w:t>
            </w:r>
            <w:r>
              <w:rPr>
                <w:rFonts w:hint="default" w:ascii="Times New Roman" w:hAnsi="Times New Roman" w:cs="Times New Roman"/>
                <w:color w:val="0000FF"/>
                <w:sz w:val="24"/>
                <w:szCs w:val="24"/>
                <w:highlight w:val="none"/>
              </w:rPr>
              <w:t>、PM</w:t>
            </w:r>
            <w:r>
              <w:rPr>
                <w:rFonts w:hint="default" w:ascii="Times New Roman" w:hAnsi="Times New Roman" w:cs="Times New Roman"/>
                <w:color w:val="0000FF"/>
                <w:sz w:val="24"/>
                <w:szCs w:val="24"/>
                <w:highlight w:val="none"/>
                <w:vertAlign w:val="subscript"/>
              </w:rPr>
              <w:t>10</w:t>
            </w:r>
            <w:r>
              <w:rPr>
                <w:rFonts w:hint="default" w:ascii="Times New Roman" w:hAnsi="Times New Roman" w:cs="Times New Roman"/>
                <w:color w:val="0000FF"/>
                <w:sz w:val="24"/>
                <w:szCs w:val="24"/>
                <w:highlight w:val="none"/>
              </w:rPr>
              <w:t>、PM</w:t>
            </w:r>
            <w:r>
              <w:rPr>
                <w:rFonts w:hint="default" w:ascii="Times New Roman" w:hAnsi="Times New Roman" w:cs="Times New Roman"/>
                <w:color w:val="0000FF"/>
                <w:sz w:val="24"/>
                <w:szCs w:val="24"/>
                <w:highlight w:val="none"/>
                <w:vertAlign w:val="subscript"/>
              </w:rPr>
              <w:t>2.5</w:t>
            </w:r>
            <w:r>
              <w:rPr>
                <w:rFonts w:hint="default" w:ascii="Times New Roman" w:hAnsi="Times New Roman" w:cs="Times New Roman"/>
                <w:color w:val="0000FF"/>
                <w:sz w:val="24"/>
                <w:szCs w:val="24"/>
                <w:highlight w:val="none"/>
              </w:rPr>
              <w:t>数据见下表，根据《环境空气质量评价技术规范》（HJ663—2013）达标判定结果见表</w:t>
            </w:r>
            <w:r>
              <w:rPr>
                <w:rFonts w:hint="default" w:ascii="Times New Roman" w:hAnsi="Times New Roman" w:cs="Times New Roman"/>
                <w:color w:val="0000FF"/>
                <w:sz w:val="24"/>
                <w:szCs w:val="24"/>
                <w:highlight w:val="none"/>
                <w:lang w:val="en-US" w:eastAsia="zh-CN"/>
              </w:rPr>
              <w:t>3.1-1</w:t>
            </w:r>
            <w:r>
              <w:rPr>
                <w:rFonts w:hint="default" w:ascii="Times New Roman" w:hAnsi="Times New Roman" w:cs="Times New Roman"/>
                <w:color w:val="0000FF"/>
                <w:sz w:val="24"/>
                <w:szCs w:val="24"/>
                <w:highlight w:val="none"/>
              </w:rPr>
              <w:t>。</w:t>
            </w:r>
          </w:p>
          <w:p w14:paraId="390FC27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b/>
                <w:bCs/>
                <w:color w:val="0000FF"/>
                <w:kern w:val="0"/>
                <w:sz w:val="21"/>
                <w:szCs w:val="21"/>
                <w:highlight w:val="none"/>
                <w:lang w:val="en-US" w:eastAsia="zh-CN"/>
              </w:rPr>
            </w:pPr>
            <w:r>
              <w:rPr>
                <w:rFonts w:hint="default" w:ascii="Times New Roman" w:hAnsi="Times New Roman" w:eastAsia="宋体" w:cs="Times New Roman"/>
                <w:b/>
                <w:bCs/>
                <w:color w:val="0000FF"/>
                <w:kern w:val="0"/>
                <w:sz w:val="21"/>
                <w:szCs w:val="21"/>
                <w:highlight w:val="none"/>
                <w:lang w:val="en-US" w:eastAsia="zh-CN"/>
              </w:rPr>
              <w:t>表3.1-1  区域环境质量达标情况</w:t>
            </w:r>
          </w:p>
          <w:tbl>
            <w:tblPr>
              <w:tblStyle w:val="32"/>
              <w:tblW w:w="79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1548"/>
              <w:gridCol w:w="966"/>
              <w:gridCol w:w="828"/>
              <w:gridCol w:w="906"/>
              <w:gridCol w:w="1015"/>
              <w:gridCol w:w="830"/>
              <w:gridCol w:w="989"/>
            </w:tblGrid>
            <w:tr w14:paraId="01B4A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76" w:type="dxa"/>
                  <w:noWrap w:val="0"/>
                  <w:vAlign w:val="center"/>
                </w:tcPr>
                <w:p w14:paraId="353E8CA3">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污染物</w:t>
                  </w:r>
                </w:p>
              </w:tc>
              <w:tc>
                <w:tcPr>
                  <w:tcW w:w="1548" w:type="dxa"/>
                  <w:noWrap w:val="0"/>
                  <w:vAlign w:val="center"/>
                </w:tcPr>
                <w:p w14:paraId="00CA665C">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年评价指标</w:t>
                  </w:r>
                </w:p>
              </w:tc>
              <w:tc>
                <w:tcPr>
                  <w:tcW w:w="966" w:type="dxa"/>
                  <w:noWrap w:val="0"/>
                  <w:vAlign w:val="center"/>
                </w:tcPr>
                <w:p w14:paraId="56C3669E">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监测浓度</w:t>
                  </w:r>
                </w:p>
              </w:tc>
              <w:tc>
                <w:tcPr>
                  <w:tcW w:w="828" w:type="dxa"/>
                  <w:noWrap w:val="0"/>
                  <w:vAlign w:val="center"/>
                </w:tcPr>
                <w:p w14:paraId="1EEFCA71">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标准值</w:t>
                  </w:r>
                </w:p>
              </w:tc>
              <w:tc>
                <w:tcPr>
                  <w:tcW w:w="906" w:type="dxa"/>
                  <w:noWrap w:val="0"/>
                  <w:vAlign w:val="center"/>
                </w:tcPr>
                <w:p w14:paraId="0EE68597">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单位</w:t>
                  </w:r>
                </w:p>
              </w:tc>
              <w:tc>
                <w:tcPr>
                  <w:tcW w:w="1015" w:type="dxa"/>
                  <w:noWrap w:val="0"/>
                  <w:vAlign w:val="center"/>
                </w:tcPr>
                <w:p w14:paraId="3F1F50DC">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占标率</w:t>
                  </w:r>
                </w:p>
              </w:tc>
              <w:tc>
                <w:tcPr>
                  <w:tcW w:w="830" w:type="dxa"/>
                  <w:noWrap w:val="0"/>
                  <w:vAlign w:val="center"/>
                </w:tcPr>
                <w:p w14:paraId="2FBB7110">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超标倍数</w:t>
                  </w:r>
                </w:p>
              </w:tc>
              <w:tc>
                <w:tcPr>
                  <w:tcW w:w="989" w:type="dxa"/>
                  <w:noWrap w:val="0"/>
                  <w:vAlign w:val="center"/>
                </w:tcPr>
                <w:p w14:paraId="49BE634E">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达标情况</w:t>
                  </w:r>
                </w:p>
              </w:tc>
            </w:tr>
            <w:tr w14:paraId="1F006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76" w:type="dxa"/>
                  <w:noWrap w:val="0"/>
                  <w:vAlign w:val="center"/>
                </w:tcPr>
                <w:p w14:paraId="56CF3ABC">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SO</w:t>
                  </w:r>
                  <w:r>
                    <w:rPr>
                      <w:rFonts w:hint="default" w:ascii="Times New Roman" w:hAnsi="Times New Roman" w:cs="Times New Roman"/>
                      <w:bCs/>
                      <w:color w:val="0000FF"/>
                      <w:kern w:val="0"/>
                      <w:szCs w:val="21"/>
                      <w:highlight w:val="none"/>
                      <w:vertAlign w:val="subscript"/>
                    </w:rPr>
                    <w:t>2</w:t>
                  </w:r>
                </w:p>
              </w:tc>
              <w:tc>
                <w:tcPr>
                  <w:tcW w:w="1548" w:type="dxa"/>
                  <w:noWrap w:val="0"/>
                  <w:vAlign w:val="center"/>
                </w:tcPr>
                <w:p w14:paraId="1BB2778A">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年平均质量浓度</w:t>
                  </w:r>
                </w:p>
              </w:tc>
              <w:tc>
                <w:tcPr>
                  <w:tcW w:w="966" w:type="dxa"/>
                  <w:noWrap w:val="0"/>
                  <w:vAlign w:val="center"/>
                </w:tcPr>
                <w:p w14:paraId="08CEC7A1">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16</w:t>
                  </w:r>
                </w:p>
              </w:tc>
              <w:tc>
                <w:tcPr>
                  <w:tcW w:w="828" w:type="dxa"/>
                  <w:noWrap w:val="0"/>
                  <w:vAlign w:val="center"/>
                </w:tcPr>
                <w:p w14:paraId="634091D6">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60</w:t>
                  </w:r>
                </w:p>
              </w:tc>
              <w:tc>
                <w:tcPr>
                  <w:tcW w:w="906" w:type="dxa"/>
                  <w:noWrap w:val="0"/>
                  <w:vAlign w:val="center"/>
                </w:tcPr>
                <w:p w14:paraId="48D0249C">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μg/m</w:t>
                  </w:r>
                  <w:r>
                    <w:rPr>
                      <w:rFonts w:hint="default" w:ascii="Times New Roman" w:hAnsi="Times New Roman" w:cs="Times New Roman"/>
                      <w:bCs/>
                      <w:color w:val="0000FF"/>
                      <w:kern w:val="0"/>
                      <w:szCs w:val="21"/>
                      <w:highlight w:val="none"/>
                      <w:vertAlign w:val="superscript"/>
                    </w:rPr>
                    <w:t>3</w:t>
                  </w:r>
                </w:p>
              </w:tc>
              <w:tc>
                <w:tcPr>
                  <w:tcW w:w="1015" w:type="dxa"/>
                  <w:noWrap w:val="0"/>
                  <w:vAlign w:val="center"/>
                </w:tcPr>
                <w:p w14:paraId="1B96C94B">
                  <w:pPr>
                    <w:jc w:val="center"/>
                    <w:textAlignment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26.67％</w:t>
                  </w:r>
                </w:p>
              </w:tc>
              <w:tc>
                <w:tcPr>
                  <w:tcW w:w="830" w:type="dxa"/>
                  <w:noWrap w:val="0"/>
                  <w:vAlign w:val="center"/>
                </w:tcPr>
                <w:p w14:paraId="3C200C20">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w:t>
                  </w:r>
                </w:p>
              </w:tc>
              <w:tc>
                <w:tcPr>
                  <w:tcW w:w="989" w:type="dxa"/>
                  <w:noWrap w:val="0"/>
                  <w:vAlign w:val="center"/>
                </w:tcPr>
                <w:p w14:paraId="3490611A">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达标</w:t>
                  </w:r>
                </w:p>
              </w:tc>
            </w:tr>
            <w:tr w14:paraId="4B46C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76" w:type="dxa"/>
                  <w:noWrap w:val="0"/>
                  <w:vAlign w:val="center"/>
                </w:tcPr>
                <w:p w14:paraId="01BB814F">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NO</w:t>
                  </w:r>
                  <w:r>
                    <w:rPr>
                      <w:rFonts w:hint="default" w:ascii="Times New Roman" w:hAnsi="Times New Roman" w:cs="Times New Roman"/>
                      <w:bCs/>
                      <w:color w:val="0000FF"/>
                      <w:kern w:val="0"/>
                      <w:szCs w:val="21"/>
                      <w:highlight w:val="none"/>
                      <w:vertAlign w:val="subscript"/>
                    </w:rPr>
                    <w:t>2</w:t>
                  </w:r>
                </w:p>
              </w:tc>
              <w:tc>
                <w:tcPr>
                  <w:tcW w:w="1548" w:type="dxa"/>
                  <w:noWrap w:val="0"/>
                  <w:vAlign w:val="center"/>
                </w:tcPr>
                <w:p w14:paraId="660AC812">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年平均质量浓度</w:t>
                  </w:r>
                </w:p>
              </w:tc>
              <w:tc>
                <w:tcPr>
                  <w:tcW w:w="966" w:type="dxa"/>
                  <w:noWrap w:val="0"/>
                  <w:vAlign w:val="center"/>
                </w:tcPr>
                <w:p w14:paraId="24BC97E5">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35</w:t>
                  </w:r>
                </w:p>
              </w:tc>
              <w:tc>
                <w:tcPr>
                  <w:tcW w:w="828" w:type="dxa"/>
                  <w:noWrap w:val="0"/>
                  <w:vAlign w:val="center"/>
                </w:tcPr>
                <w:p w14:paraId="2839A9AA">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40</w:t>
                  </w:r>
                </w:p>
              </w:tc>
              <w:tc>
                <w:tcPr>
                  <w:tcW w:w="906" w:type="dxa"/>
                  <w:noWrap w:val="0"/>
                  <w:vAlign w:val="center"/>
                </w:tcPr>
                <w:p w14:paraId="48520019">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μg/m</w:t>
                  </w:r>
                  <w:r>
                    <w:rPr>
                      <w:rFonts w:hint="default" w:ascii="Times New Roman" w:hAnsi="Times New Roman" w:cs="Times New Roman"/>
                      <w:bCs/>
                      <w:color w:val="0000FF"/>
                      <w:kern w:val="0"/>
                      <w:szCs w:val="21"/>
                      <w:highlight w:val="none"/>
                      <w:vertAlign w:val="superscript"/>
                    </w:rPr>
                    <w:t>3</w:t>
                  </w:r>
                </w:p>
              </w:tc>
              <w:tc>
                <w:tcPr>
                  <w:tcW w:w="1015" w:type="dxa"/>
                  <w:noWrap w:val="0"/>
                  <w:vAlign w:val="center"/>
                </w:tcPr>
                <w:p w14:paraId="7803611A">
                  <w:pPr>
                    <w:jc w:val="center"/>
                    <w:textAlignment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87.50％</w:t>
                  </w:r>
                </w:p>
              </w:tc>
              <w:tc>
                <w:tcPr>
                  <w:tcW w:w="830" w:type="dxa"/>
                  <w:noWrap w:val="0"/>
                  <w:vAlign w:val="center"/>
                </w:tcPr>
                <w:p w14:paraId="263B0C40">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w:t>
                  </w:r>
                </w:p>
              </w:tc>
              <w:tc>
                <w:tcPr>
                  <w:tcW w:w="989" w:type="dxa"/>
                  <w:noWrap w:val="0"/>
                  <w:vAlign w:val="center"/>
                </w:tcPr>
                <w:p w14:paraId="0FCFFD12">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达标</w:t>
                  </w:r>
                </w:p>
              </w:tc>
            </w:tr>
            <w:tr w14:paraId="3808A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76" w:type="dxa"/>
                  <w:noWrap w:val="0"/>
                  <w:vAlign w:val="center"/>
                </w:tcPr>
                <w:p w14:paraId="07F70E40">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PM</w:t>
                  </w:r>
                  <w:r>
                    <w:rPr>
                      <w:rFonts w:hint="default" w:ascii="Times New Roman" w:hAnsi="Times New Roman" w:cs="Times New Roman"/>
                      <w:bCs/>
                      <w:color w:val="0000FF"/>
                      <w:kern w:val="0"/>
                      <w:szCs w:val="21"/>
                      <w:highlight w:val="none"/>
                      <w:vertAlign w:val="subscript"/>
                    </w:rPr>
                    <w:t>10</w:t>
                  </w:r>
                </w:p>
              </w:tc>
              <w:tc>
                <w:tcPr>
                  <w:tcW w:w="1548" w:type="dxa"/>
                  <w:noWrap w:val="0"/>
                  <w:vAlign w:val="center"/>
                </w:tcPr>
                <w:p w14:paraId="41B2DCD3">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年平均质量浓度</w:t>
                  </w:r>
                </w:p>
              </w:tc>
              <w:tc>
                <w:tcPr>
                  <w:tcW w:w="966" w:type="dxa"/>
                  <w:noWrap w:val="0"/>
                  <w:vAlign w:val="center"/>
                </w:tcPr>
                <w:p w14:paraId="2C92B938">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60</w:t>
                  </w:r>
                </w:p>
              </w:tc>
              <w:tc>
                <w:tcPr>
                  <w:tcW w:w="828" w:type="dxa"/>
                  <w:noWrap w:val="0"/>
                  <w:vAlign w:val="center"/>
                </w:tcPr>
                <w:p w14:paraId="52C9AB9B">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70</w:t>
                  </w:r>
                </w:p>
              </w:tc>
              <w:tc>
                <w:tcPr>
                  <w:tcW w:w="906" w:type="dxa"/>
                  <w:noWrap w:val="0"/>
                  <w:vAlign w:val="center"/>
                </w:tcPr>
                <w:p w14:paraId="53C4DF68">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μg/m</w:t>
                  </w:r>
                  <w:r>
                    <w:rPr>
                      <w:rFonts w:hint="default" w:ascii="Times New Roman" w:hAnsi="Times New Roman" w:cs="Times New Roman"/>
                      <w:bCs/>
                      <w:color w:val="0000FF"/>
                      <w:kern w:val="0"/>
                      <w:szCs w:val="21"/>
                      <w:highlight w:val="none"/>
                      <w:vertAlign w:val="superscript"/>
                    </w:rPr>
                    <w:t>3</w:t>
                  </w:r>
                </w:p>
              </w:tc>
              <w:tc>
                <w:tcPr>
                  <w:tcW w:w="1015" w:type="dxa"/>
                  <w:noWrap w:val="0"/>
                  <w:vAlign w:val="center"/>
                </w:tcPr>
                <w:p w14:paraId="59A97039">
                  <w:pPr>
                    <w:jc w:val="center"/>
                    <w:textAlignment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85.71％</w:t>
                  </w:r>
                </w:p>
              </w:tc>
              <w:tc>
                <w:tcPr>
                  <w:tcW w:w="830" w:type="dxa"/>
                  <w:noWrap w:val="0"/>
                  <w:vAlign w:val="center"/>
                </w:tcPr>
                <w:p w14:paraId="242AB767">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w:t>
                  </w:r>
                </w:p>
              </w:tc>
              <w:tc>
                <w:tcPr>
                  <w:tcW w:w="989" w:type="dxa"/>
                  <w:noWrap w:val="0"/>
                  <w:vAlign w:val="center"/>
                </w:tcPr>
                <w:p w14:paraId="1D0776F8">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达标</w:t>
                  </w:r>
                </w:p>
              </w:tc>
            </w:tr>
            <w:tr w14:paraId="5902B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76" w:type="dxa"/>
                  <w:noWrap w:val="0"/>
                  <w:vAlign w:val="center"/>
                </w:tcPr>
                <w:p w14:paraId="5446FEFC">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PM</w:t>
                  </w:r>
                  <w:r>
                    <w:rPr>
                      <w:rFonts w:hint="default" w:ascii="Times New Roman" w:hAnsi="Times New Roman" w:cs="Times New Roman"/>
                      <w:bCs/>
                      <w:color w:val="0000FF"/>
                      <w:kern w:val="0"/>
                      <w:szCs w:val="21"/>
                      <w:highlight w:val="none"/>
                      <w:vertAlign w:val="subscript"/>
                    </w:rPr>
                    <w:t>2.5</w:t>
                  </w:r>
                </w:p>
              </w:tc>
              <w:tc>
                <w:tcPr>
                  <w:tcW w:w="1548" w:type="dxa"/>
                  <w:noWrap w:val="0"/>
                  <w:vAlign w:val="center"/>
                </w:tcPr>
                <w:p w14:paraId="4F65C51B">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年平均质量浓度</w:t>
                  </w:r>
                </w:p>
              </w:tc>
              <w:tc>
                <w:tcPr>
                  <w:tcW w:w="966" w:type="dxa"/>
                  <w:noWrap w:val="0"/>
                  <w:vAlign w:val="center"/>
                </w:tcPr>
                <w:p w14:paraId="220D039B">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27</w:t>
                  </w:r>
                </w:p>
              </w:tc>
              <w:tc>
                <w:tcPr>
                  <w:tcW w:w="828" w:type="dxa"/>
                  <w:noWrap w:val="0"/>
                  <w:vAlign w:val="center"/>
                </w:tcPr>
                <w:p w14:paraId="417542F2">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35</w:t>
                  </w:r>
                </w:p>
              </w:tc>
              <w:tc>
                <w:tcPr>
                  <w:tcW w:w="906" w:type="dxa"/>
                  <w:noWrap w:val="0"/>
                  <w:vAlign w:val="center"/>
                </w:tcPr>
                <w:p w14:paraId="7AEDB5CD">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μg/m</w:t>
                  </w:r>
                  <w:r>
                    <w:rPr>
                      <w:rFonts w:hint="default" w:ascii="Times New Roman" w:hAnsi="Times New Roman" w:cs="Times New Roman"/>
                      <w:bCs/>
                      <w:color w:val="0000FF"/>
                      <w:kern w:val="0"/>
                      <w:szCs w:val="21"/>
                      <w:highlight w:val="none"/>
                      <w:vertAlign w:val="superscript"/>
                    </w:rPr>
                    <w:t>3</w:t>
                  </w:r>
                </w:p>
              </w:tc>
              <w:tc>
                <w:tcPr>
                  <w:tcW w:w="1015" w:type="dxa"/>
                  <w:noWrap w:val="0"/>
                  <w:vAlign w:val="center"/>
                </w:tcPr>
                <w:p w14:paraId="34083E87">
                  <w:pPr>
                    <w:jc w:val="center"/>
                    <w:textAlignment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77.14％</w:t>
                  </w:r>
                </w:p>
              </w:tc>
              <w:tc>
                <w:tcPr>
                  <w:tcW w:w="830" w:type="dxa"/>
                  <w:noWrap w:val="0"/>
                  <w:vAlign w:val="center"/>
                </w:tcPr>
                <w:p w14:paraId="3B50BEF5">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w:t>
                  </w:r>
                </w:p>
              </w:tc>
              <w:tc>
                <w:tcPr>
                  <w:tcW w:w="989" w:type="dxa"/>
                  <w:noWrap w:val="0"/>
                  <w:vAlign w:val="center"/>
                </w:tcPr>
                <w:p w14:paraId="066139BF">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达标</w:t>
                  </w:r>
                </w:p>
              </w:tc>
            </w:tr>
            <w:tr w14:paraId="68833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trPr>
              <w:tc>
                <w:tcPr>
                  <w:tcW w:w="876" w:type="dxa"/>
                  <w:noWrap w:val="0"/>
                  <w:vAlign w:val="center"/>
                </w:tcPr>
                <w:p w14:paraId="1ACA71EB">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CO</w:t>
                  </w:r>
                </w:p>
              </w:tc>
              <w:tc>
                <w:tcPr>
                  <w:tcW w:w="1548" w:type="dxa"/>
                  <w:noWrap w:val="0"/>
                  <w:vAlign w:val="center"/>
                </w:tcPr>
                <w:p w14:paraId="0FDEDEA4">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95%日平均浓度</w:t>
                  </w:r>
                </w:p>
              </w:tc>
              <w:tc>
                <w:tcPr>
                  <w:tcW w:w="966" w:type="dxa"/>
                  <w:noWrap w:val="0"/>
                  <w:vAlign w:val="center"/>
                </w:tcPr>
                <w:p w14:paraId="7B890299">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1.9</w:t>
                  </w:r>
                </w:p>
              </w:tc>
              <w:tc>
                <w:tcPr>
                  <w:tcW w:w="828" w:type="dxa"/>
                  <w:noWrap w:val="0"/>
                  <w:vAlign w:val="center"/>
                </w:tcPr>
                <w:p w14:paraId="50CC63F7">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4</w:t>
                  </w:r>
                </w:p>
              </w:tc>
              <w:tc>
                <w:tcPr>
                  <w:tcW w:w="906" w:type="dxa"/>
                  <w:noWrap w:val="0"/>
                  <w:vAlign w:val="center"/>
                </w:tcPr>
                <w:p w14:paraId="6ECEF5B4">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mg/m</w:t>
                  </w:r>
                  <w:r>
                    <w:rPr>
                      <w:rFonts w:hint="default" w:ascii="Times New Roman" w:hAnsi="Times New Roman" w:cs="Times New Roman"/>
                      <w:bCs/>
                      <w:color w:val="0000FF"/>
                      <w:kern w:val="0"/>
                      <w:szCs w:val="21"/>
                      <w:highlight w:val="none"/>
                      <w:vertAlign w:val="superscript"/>
                    </w:rPr>
                    <w:t>3</w:t>
                  </w:r>
                </w:p>
              </w:tc>
              <w:tc>
                <w:tcPr>
                  <w:tcW w:w="1015" w:type="dxa"/>
                  <w:noWrap w:val="0"/>
                  <w:vAlign w:val="center"/>
                </w:tcPr>
                <w:p w14:paraId="4648AEEA">
                  <w:pPr>
                    <w:jc w:val="center"/>
                    <w:textAlignment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47.50％</w:t>
                  </w:r>
                </w:p>
              </w:tc>
              <w:tc>
                <w:tcPr>
                  <w:tcW w:w="830" w:type="dxa"/>
                  <w:noWrap w:val="0"/>
                  <w:vAlign w:val="center"/>
                </w:tcPr>
                <w:p w14:paraId="5BE57A97">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w:t>
                  </w:r>
                </w:p>
              </w:tc>
              <w:tc>
                <w:tcPr>
                  <w:tcW w:w="989" w:type="dxa"/>
                  <w:noWrap w:val="0"/>
                  <w:vAlign w:val="center"/>
                </w:tcPr>
                <w:p w14:paraId="54049C7B">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达标</w:t>
                  </w:r>
                </w:p>
              </w:tc>
            </w:tr>
            <w:tr w14:paraId="6D8B8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76" w:type="dxa"/>
                  <w:noWrap w:val="0"/>
                  <w:vAlign w:val="center"/>
                </w:tcPr>
                <w:p w14:paraId="10D7B1BE">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O</w:t>
                  </w:r>
                  <w:r>
                    <w:rPr>
                      <w:rFonts w:hint="default" w:ascii="Times New Roman" w:hAnsi="Times New Roman" w:cs="Times New Roman"/>
                      <w:bCs/>
                      <w:color w:val="0000FF"/>
                      <w:kern w:val="0"/>
                      <w:szCs w:val="21"/>
                      <w:highlight w:val="none"/>
                      <w:vertAlign w:val="subscript"/>
                    </w:rPr>
                    <w:t>3</w:t>
                  </w:r>
                </w:p>
              </w:tc>
              <w:tc>
                <w:tcPr>
                  <w:tcW w:w="1548" w:type="dxa"/>
                  <w:noWrap w:val="0"/>
                  <w:vAlign w:val="center"/>
                </w:tcPr>
                <w:p w14:paraId="7B93401B">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90%8h平均浓度</w:t>
                  </w:r>
                </w:p>
              </w:tc>
              <w:tc>
                <w:tcPr>
                  <w:tcW w:w="966" w:type="dxa"/>
                  <w:noWrap w:val="0"/>
                  <w:vAlign w:val="center"/>
                </w:tcPr>
                <w:p w14:paraId="34A1EA7B">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158</w:t>
                  </w:r>
                </w:p>
              </w:tc>
              <w:tc>
                <w:tcPr>
                  <w:tcW w:w="828" w:type="dxa"/>
                  <w:noWrap w:val="0"/>
                  <w:vAlign w:val="center"/>
                </w:tcPr>
                <w:p w14:paraId="69624BF9">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160</w:t>
                  </w:r>
                </w:p>
              </w:tc>
              <w:tc>
                <w:tcPr>
                  <w:tcW w:w="906" w:type="dxa"/>
                  <w:noWrap w:val="0"/>
                  <w:vAlign w:val="center"/>
                </w:tcPr>
                <w:p w14:paraId="0210D4FD">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μg/m</w:t>
                  </w:r>
                  <w:r>
                    <w:rPr>
                      <w:rFonts w:hint="default" w:ascii="Times New Roman" w:hAnsi="Times New Roman" w:cs="Times New Roman"/>
                      <w:bCs/>
                      <w:color w:val="0000FF"/>
                      <w:kern w:val="0"/>
                      <w:szCs w:val="21"/>
                      <w:highlight w:val="none"/>
                      <w:vertAlign w:val="superscript"/>
                    </w:rPr>
                    <w:t>3</w:t>
                  </w:r>
                </w:p>
              </w:tc>
              <w:tc>
                <w:tcPr>
                  <w:tcW w:w="1015" w:type="dxa"/>
                  <w:noWrap w:val="0"/>
                  <w:vAlign w:val="center"/>
                </w:tcPr>
                <w:p w14:paraId="69929CF6">
                  <w:pPr>
                    <w:jc w:val="center"/>
                    <w:textAlignment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98.75％</w:t>
                  </w:r>
                </w:p>
              </w:tc>
              <w:tc>
                <w:tcPr>
                  <w:tcW w:w="830" w:type="dxa"/>
                  <w:noWrap w:val="0"/>
                  <w:vAlign w:val="center"/>
                </w:tcPr>
                <w:p w14:paraId="115E8196">
                  <w:pPr>
                    <w:jc w:val="center"/>
                    <w:rPr>
                      <w:rFonts w:hint="default" w:ascii="Times New Roman" w:hAnsi="Times New Roman" w:cs="Times New Roman"/>
                      <w:bCs/>
                      <w:color w:val="0000FF"/>
                      <w:kern w:val="0"/>
                      <w:szCs w:val="21"/>
                      <w:highlight w:val="none"/>
                    </w:rPr>
                  </w:pPr>
                  <w:r>
                    <w:rPr>
                      <w:rFonts w:hint="default" w:ascii="Times New Roman" w:hAnsi="Times New Roman" w:cs="Times New Roman"/>
                      <w:bCs/>
                      <w:color w:val="0000FF"/>
                      <w:kern w:val="0"/>
                      <w:szCs w:val="21"/>
                      <w:highlight w:val="none"/>
                    </w:rPr>
                    <w:t>/</w:t>
                  </w:r>
                </w:p>
              </w:tc>
              <w:tc>
                <w:tcPr>
                  <w:tcW w:w="989" w:type="dxa"/>
                  <w:noWrap w:val="0"/>
                  <w:vAlign w:val="center"/>
                </w:tcPr>
                <w:p w14:paraId="3B1BD452">
                  <w:pPr>
                    <w:jc w:val="center"/>
                    <w:rPr>
                      <w:rFonts w:hint="default" w:ascii="Times New Roman" w:hAnsi="Times New Roman" w:cs="Times New Roman"/>
                      <w:color w:val="0000FF"/>
                      <w:szCs w:val="21"/>
                      <w:highlight w:val="none"/>
                    </w:rPr>
                  </w:pPr>
                  <w:r>
                    <w:rPr>
                      <w:rFonts w:hint="default" w:ascii="Times New Roman" w:hAnsi="Times New Roman" w:cs="Times New Roman"/>
                      <w:color w:val="0000FF"/>
                      <w:szCs w:val="21"/>
                      <w:highlight w:val="none"/>
                    </w:rPr>
                    <w:t>达标</w:t>
                  </w:r>
                </w:p>
              </w:tc>
            </w:tr>
          </w:tbl>
          <w:p w14:paraId="107EBE14">
            <w:pPr>
              <w:pStyle w:val="58"/>
              <w:widowControl w:val="0"/>
              <w:adjustRightInd/>
              <w:snapToGrid/>
              <w:ind w:firstLine="0" w:firstLineChars="0"/>
              <w:rPr>
                <w:rFonts w:hint="default" w:ascii="Times New Roman" w:hAnsi="Times New Roman" w:cs="Times New Roman"/>
                <w:color w:val="0000FF"/>
                <w:highlight w:val="none"/>
              </w:rPr>
            </w:pPr>
          </w:p>
          <w:p w14:paraId="1E05365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cs="Times New Roman"/>
                <w:color w:val="0000FF"/>
                <w:sz w:val="24"/>
                <w:szCs w:val="24"/>
                <w:highlight w:val="none"/>
              </w:rPr>
              <w:t>由表可知，SO</w:t>
            </w:r>
            <w:r>
              <w:rPr>
                <w:rFonts w:hint="default" w:ascii="Times New Roman" w:hAnsi="Times New Roman" w:cs="Times New Roman"/>
                <w:color w:val="0000FF"/>
                <w:sz w:val="24"/>
                <w:szCs w:val="24"/>
                <w:highlight w:val="none"/>
                <w:vertAlign w:val="subscript"/>
              </w:rPr>
              <w:t>2</w:t>
            </w:r>
            <w:r>
              <w:rPr>
                <w:rFonts w:hint="default" w:ascii="Times New Roman" w:hAnsi="Times New Roman" w:cs="Times New Roman"/>
                <w:color w:val="0000FF"/>
                <w:sz w:val="24"/>
                <w:szCs w:val="24"/>
                <w:highlight w:val="none"/>
              </w:rPr>
              <w:t>年均值，NO</w:t>
            </w:r>
            <w:r>
              <w:rPr>
                <w:rFonts w:hint="default" w:ascii="Times New Roman" w:hAnsi="Times New Roman" w:cs="Times New Roman"/>
                <w:color w:val="0000FF"/>
                <w:sz w:val="24"/>
                <w:szCs w:val="24"/>
                <w:highlight w:val="none"/>
                <w:vertAlign w:val="subscript"/>
              </w:rPr>
              <w:t>2</w:t>
            </w:r>
            <w:r>
              <w:rPr>
                <w:rFonts w:hint="default" w:ascii="Times New Roman" w:hAnsi="Times New Roman" w:cs="Times New Roman"/>
                <w:color w:val="0000FF"/>
                <w:sz w:val="24"/>
                <w:szCs w:val="24"/>
                <w:highlight w:val="none"/>
              </w:rPr>
              <w:t>年均值，PM</w:t>
            </w:r>
            <w:r>
              <w:rPr>
                <w:rFonts w:hint="default" w:ascii="Times New Roman" w:hAnsi="Times New Roman" w:cs="Times New Roman"/>
                <w:color w:val="0000FF"/>
                <w:sz w:val="24"/>
                <w:szCs w:val="24"/>
                <w:highlight w:val="none"/>
                <w:vertAlign w:val="subscript"/>
              </w:rPr>
              <w:t>10</w:t>
            </w:r>
            <w:r>
              <w:rPr>
                <w:rFonts w:hint="default" w:ascii="Times New Roman" w:hAnsi="Times New Roman" w:cs="Times New Roman"/>
                <w:color w:val="0000FF"/>
                <w:sz w:val="24"/>
                <w:szCs w:val="24"/>
                <w:highlight w:val="none"/>
              </w:rPr>
              <w:t>年均值，PM</w:t>
            </w:r>
            <w:r>
              <w:rPr>
                <w:rFonts w:hint="default" w:ascii="Times New Roman" w:hAnsi="Times New Roman" w:cs="Times New Roman"/>
                <w:color w:val="0000FF"/>
                <w:sz w:val="24"/>
                <w:szCs w:val="24"/>
                <w:highlight w:val="none"/>
                <w:vertAlign w:val="subscript"/>
              </w:rPr>
              <w:t>2.5</w:t>
            </w:r>
            <w:r>
              <w:rPr>
                <w:rFonts w:hint="default" w:ascii="Times New Roman" w:hAnsi="Times New Roman" w:cs="Times New Roman"/>
                <w:color w:val="0000FF"/>
                <w:sz w:val="24"/>
                <w:szCs w:val="24"/>
                <w:highlight w:val="none"/>
              </w:rPr>
              <w:t>年均值，CO95%日均值，均值能满足《环境空气质量标准》（GB3095-2012）</w:t>
            </w:r>
            <w:r>
              <w:rPr>
                <w:rFonts w:hint="default" w:ascii="Times New Roman" w:hAnsi="Times New Roman" w:cs="Times New Roman"/>
                <w:color w:val="0000FF"/>
                <w:sz w:val="24"/>
                <w:szCs w:val="24"/>
                <w:highlight w:val="none"/>
                <w:lang w:val="en-US" w:eastAsia="zh-CN"/>
              </w:rPr>
              <w:t>及其修改单</w:t>
            </w:r>
            <w:r>
              <w:rPr>
                <w:rFonts w:hint="default" w:ascii="Times New Roman" w:hAnsi="Times New Roman" w:cs="Times New Roman"/>
                <w:color w:val="0000FF"/>
                <w:sz w:val="24"/>
                <w:szCs w:val="24"/>
                <w:highlight w:val="none"/>
              </w:rPr>
              <w:t>中二级标准的要求，O</w:t>
            </w:r>
            <w:r>
              <w:rPr>
                <w:rFonts w:hint="default" w:ascii="Times New Roman" w:hAnsi="Times New Roman" w:cs="Times New Roman"/>
                <w:color w:val="0000FF"/>
                <w:sz w:val="24"/>
                <w:szCs w:val="24"/>
                <w:highlight w:val="none"/>
                <w:vertAlign w:val="subscript"/>
              </w:rPr>
              <w:t>3</w:t>
            </w:r>
            <w:r>
              <w:rPr>
                <w:rFonts w:hint="default" w:ascii="Times New Roman" w:hAnsi="Times New Roman" w:cs="Times New Roman"/>
                <w:color w:val="0000FF"/>
                <w:sz w:val="24"/>
                <w:szCs w:val="24"/>
                <w:highlight w:val="none"/>
              </w:rPr>
              <w:t>90%8h平均浓度满足《环境空气质量标准》（GB3095-2012）</w:t>
            </w:r>
            <w:r>
              <w:rPr>
                <w:rFonts w:hint="default" w:ascii="Times New Roman" w:hAnsi="Times New Roman" w:cs="Times New Roman"/>
                <w:color w:val="0000FF"/>
                <w:sz w:val="24"/>
                <w:szCs w:val="24"/>
                <w:highlight w:val="none"/>
                <w:lang w:val="en-US" w:eastAsia="zh-CN"/>
              </w:rPr>
              <w:t>及修改单</w:t>
            </w:r>
            <w:r>
              <w:rPr>
                <w:rFonts w:hint="default" w:ascii="Times New Roman" w:hAnsi="Times New Roman" w:cs="Times New Roman"/>
                <w:color w:val="0000FF"/>
                <w:sz w:val="24"/>
                <w:szCs w:val="24"/>
                <w:highlight w:val="none"/>
              </w:rPr>
              <w:t>中二级标准的要求，所以项目所在区域为达标区。</w:t>
            </w:r>
          </w:p>
          <w:p w14:paraId="0FC4B96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1.2其它污染物环境质量现状</w:t>
            </w:r>
          </w:p>
          <w:p w14:paraId="47A17F73">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color w:val="auto"/>
                <w:sz w:val="24"/>
                <w:szCs w:val="24"/>
                <w:highlight w:val="yellow"/>
              </w:rPr>
            </w:pPr>
            <w:r>
              <w:rPr>
                <w:rFonts w:hint="default" w:ascii="Times New Roman" w:hAnsi="Times New Roman" w:cs="Times New Roman"/>
                <w:color w:val="auto"/>
                <w:sz w:val="24"/>
                <w:szCs w:val="24"/>
                <w:lang w:val="en-US" w:eastAsia="zh-CN"/>
              </w:rPr>
              <w:t>为了掌握评价区环境空气质量现状，本评价特收集项目所在区域环境空气现状监测内容。本项目主要排放的污染物为非甲烷总烃，</w:t>
            </w:r>
            <w:r>
              <w:rPr>
                <w:rFonts w:hint="default" w:ascii="Times New Roman" w:hAnsi="Times New Roman" w:eastAsia="宋体" w:cs="Times New Roman"/>
                <w:color w:val="auto"/>
                <w:spacing w:val="0"/>
                <w:kern w:val="2"/>
                <w:position w:val="0"/>
                <w:sz w:val="24"/>
                <w:szCs w:val="24"/>
                <w:u w:val="none" w:color="auto"/>
                <w:lang w:val="en-US" w:eastAsia="zh-CN" w:bidi="ar-SA"/>
              </w:rPr>
              <w:t>根据生态环境部办公厅2020年12月24日印发的《建设项目环境影响报告表编制技术指南（污染影响类）（试行）》</w:t>
            </w:r>
            <w:r>
              <w:rPr>
                <w:rFonts w:hint="default" w:ascii="Times New Roman" w:hAnsi="Times New Roman" w:cs="Times New Roman"/>
                <w:color w:val="auto"/>
                <w:sz w:val="24"/>
                <w:szCs w:val="24"/>
                <w:lang w:val="en-US" w:eastAsia="zh-CN"/>
              </w:rPr>
              <w:t>，“排放国家、地方环境空气质量标准中有标准限值要求的特征污染物时，引用建设项目周边5千米范围内近3年的现有监测数据，无相关数据的选择当季主导风向下风向1个点位补充不少于3</w:t>
            </w:r>
            <w:r>
              <w:rPr>
                <w:rFonts w:hint="default" w:ascii="Times New Roman" w:hAnsi="Times New Roman" w:cs="Times New Roman"/>
                <w:color w:val="auto"/>
                <w:sz w:val="24"/>
                <w:szCs w:val="24"/>
                <w:highlight w:val="none"/>
                <w:lang w:val="en-US" w:eastAsia="zh-CN"/>
              </w:rPr>
              <w:t>天的监测数据”，本次评价特征因子非甲烷总烃、TSP的监测数据引用《包头中远生物基新材料有限公司年产1万吨绿色高性能生物基纤维项目环境影响报告书》中的数据，监测点位距离本项目3.38km，满足根据《建设项目环境影响报告表编制技术指南 （污染影响类）（试行）》对于引用监测的要求，引用监测的具体情况见表3.1-2，监测点图见图3</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-1，监测结果见表3.1-3</w:t>
            </w:r>
            <w:r>
              <w:rPr>
                <w:rFonts w:hint="default" w:ascii="Times New Roman" w:hAnsi="Times New Roman" w:cs="Times New Roman"/>
                <w:color w:val="auto"/>
                <w:sz w:val="24"/>
                <w:szCs w:val="24"/>
                <w:highlight w:val="none"/>
              </w:rPr>
              <w:t>。</w:t>
            </w:r>
          </w:p>
          <w:p w14:paraId="4370FA03">
            <w:pPr>
              <w:keepNext w:val="0"/>
              <w:keepLines w:val="0"/>
              <w:pageBreakBefore w:val="0"/>
              <w:widowControl w:val="0"/>
              <w:kinsoku/>
              <w:wordWrap/>
              <w:overflowPunct/>
              <w:topLinePunct w:val="0"/>
              <w:autoSpaceDE/>
              <w:autoSpaceDN/>
              <w:bidi w:val="0"/>
              <w:adjustRightInd/>
              <w:snapToGrid w:val="0"/>
              <w:spacing w:line="360" w:lineRule="auto"/>
              <w:ind w:left="0"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表3</w:t>
            </w:r>
            <w:r>
              <w:rPr>
                <w:rFonts w:hint="default" w:ascii="Times New Roman" w:hAnsi="Times New Roman" w:cs="Times New Roman"/>
                <w:b/>
                <w:bCs/>
                <w:color w:val="auto"/>
                <w:sz w:val="21"/>
                <w:szCs w:val="21"/>
                <w:lang w:val="en-US" w:eastAsia="zh-CN"/>
              </w:rPr>
              <w:t>.</w:t>
            </w:r>
            <w:r>
              <w:rPr>
                <w:rFonts w:hint="eastAsia" w:cs="Times New Roman"/>
                <w:b/>
                <w:bCs/>
                <w:color w:val="auto"/>
                <w:sz w:val="21"/>
                <w:szCs w:val="21"/>
                <w:lang w:val="en-US" w:eastAsia="zh-CN"/>
              </w:rPr>
              <w:t>1</w:t>
            </w:r>
            <w:r>
              <w:rPr>
                <w:rFonts w:hint="default" w:ascii="Times New Roman" w:hAnsi="Times New Roman" w:eastAsia="宋体" w:cs="Times New Roman"/>
                <w:b/>
                <w:bCs/>
                <w:color w:val="auto"/>
                <w:sz w:val="21"/>
                <w:szCs w:val="21"/>
                <w:lang w:val="en-US" w:eastAsia="zh-CN"/>
              </w:rPr>
              <w:t>-2   引用监测具体情况一览表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9"/>
              <w:gridCol w:w="1545"/>
              <w:gridCol w:w="1440"/>
              <w:gridCol w:w="1066"/>
              <w:gridCol w:w="920"/>
              <w:gridCol w:w="1770"/>
            </w:tblGrid>
            <w:tr w14:paraId="41CC3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222" w:type="dxa"/>
                  <w:vMerge w:val="restart"/>
                  <w:noWrap w:val="0"/>
                  <w:vAlign w:val="center"/>
                </w:tcPr>
                <w:p w14:paraId="037AC584">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点位名称</w:t>
                  </w:r>
                </w:p>
              </w:tc>
              <w:tc>
                <w:tcPr>
                  <w:tcW w:w="2967" w:type="dxa"/>
                  <w:gridSpan w:val="2"/>
                  <w:noWrap w:val="0"/>
                  <w:vAlign w:val="center"/>
                </w:tcPr>
                <w:p w14:paraId="70F67D6E">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坐标</w:t>
                  </w:r>
                </w:p>
              </w:tc>
              <w:tc>
                <w:tcPr>
                  <w:tcW w:w="1060" w:type="dxa"/>
                  <w:vMerge w:val="restart"/>
                  <w:noWrap w:val="0"/>
                  <w:vAlign w:val="center"/>
                </w:tcPr>
                <w:p w14:paraId="1E59794D">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rPr>
                    <w:t>与本项目的位置及距离（m）</w:t>
                  </w:r>
                </w:p>
              </w:tc>
              <w:tc>
                <w:tcPr>
                  <w:tcW w:w="914" w:type="dxa"/>
                  <w:vMerge w:val="restart"/>
                  <w:noWrap w:val="0"/>
                  <w:vAlign w:val="center"/>
                </w:tcPr>
                <w:p w14:paraId="4372BC42">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rPr>
                    <w:t>监测因子</w:t>
                  </w:r>
                </w:p>
              </w:tc>
              <w:tc>
                <w:tcPr>
                  <w:tcW w:w="1759" w:type="dxa"/>
                  <w:vMerge w:val="restart"/>
                  <w:noWrap w:val="0"/>
                  <w:vAlign w:val="center"/>
                </w:tcPr>
                <w:p w14:paraId="0A4560EF">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rPr>
                    <w:t>监测时段及频次</w:t>
                  </w:r>
                </w:p>
              </w:tc>
            </w:tr>
            <w:tr w14:paraId="6AB33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2" w:type="dxa"/>
                  <w:vMerge w:val="continue"/>
                  <w:noWrap w:val="0"/>
                  <w:vAlign w:val="center"/>
                </w:tcPr>
                <w:p w14:paraId="72E1133B">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1536" w:type="dxa"/>
                  <w:noWrap w:val="0"/>
                  <w:vAlign w:val="center"/>
                </w:tcPr>
                <w:p w14:paraId="2E8AF4A7">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经度</w:t>
                  </w:r>
                </w:p>
              </w:tc>
              <w:tc>
                <w:tcPr>
                  <w:tcW w:w="1431" w:type="dxa"/>
                  <w:noWrap w:val="0"/>
                  <w:vAlign w:val="center"/>
                </w:tcPr>
                <w:p w14:paraId="0D6BEE8A">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纬度</w:t>
                  </w:r>
                </w:p>
              </w:tc>
              <w:tc>
                <w:tcPr>
                  <w:tcW w:w="1060" w:type="dxa"/>
                  <w:vMerge w:val="continue"/>
                  <w:noWrap w:val="0"/>
                  <w:vAlign w:val="center"/>
                </w:tcPr>
                <w:p w14:paraId="7076E53A">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914" w:type="dxa"/>
                  <w:vMerge w:val="continue"/>
                  <w:noWrap w:val="0"/>
                  <w:vAlign w:val="center"/>
                </w:tcPr>
                <w:p w14:paraId="5180FFAB">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p>
              </w:tc>
              <w:tc>
                <w:tcPr>
                  <w:tcW w:w="1759" w:type="dxa"/>
                  <w:vMerge w:val="continue"/>
                  <w:noWrap w:val="0"/>
                  <w:vAlign w:val="center"/>
                </w:tcPr>
                <w:p w14:paraId="5921DF49">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p>
              </w:tc>
            </w:tr>
            <w:tr w14:paraId="7C32D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2" w:type="dxa"/>
                  <w:noWrap w:val="0"/>
                  <w:vAlign w:val="center"/>
                </w:tcPr>
                <w:p w14:paraId="58B9B90F">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中远厂区东南侧</w:t>
                  </w:r>
                </w:p>
              </w:tc>
              <w:tc>
                <w:tcPr>
                  <w:tcW w:w="1536" w:type="dxa"/>
                  <w:noWrap w:val="0"/>
                  <w:vAlign w:val="center"/>
                </w:tcPr>
                <w:p w14:paraId="44BF60EC">
                  <w:pPr>
                    <w:widowControl w:val="0"/>
                    <w:adjustRightInd/>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cs="Times New Roman"/>
                      <w:color w:val="auto"/>
                      <w:sz w:val="21"/>
                      <w:szCs w:val="21"/>
                    </w:rPr>
                    <w:t>109°39′51.109″</w:t>
                  </w:r>
                </w:p>
              </w:tc>
              <w:tc>
                <w:tcPr>
                  <w:tcW w:w="1431" w:type="dxa"/>
                  <w:noWrap w:val="0"/>
                  <w:vAlign w:val="center"/>
                </w:tcPr>
                <w:p w14:paraId="7683BCCD">
                  <w:pPr>
                    <w:widowControl w:val="0"/>
                    <w:adjustRightInd/>
                    <w:spacing w:line="240" w:lineRule="auto"/>
                    <w:ind w:firstLine="0" w:firstLineChars="0"/>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cs="Times New Roman"/>
                      <w:color w:val="auto"/>
                      <w:sz w:val="21"/>
                      <w:szCs w:val="21"/>
                    </w:rPr>
                    <w:t>40°36′24.152″</w:t>
                  </w:r>
                </w:p>
              </w:tc>
              <w:tc>
                <w:tcPr>
                  <w:tcW w:w="1060" w:type="dxa"/>
                  <w:noWrap w:val="0"/>
                  <w:vAlign w:val="center"/>
                </w:tcPr>
                <w:p w14:paraId="73508CED">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cs="Times New Roman"/>
                      <w:color w:val="auto"/>
                      <w:kern w:val="0"/>
                      <w:sz w:val="21"/>
                      <w:szCs w:val="21"/>
                      <w:vertAlign w:val="baseline"/>
                      <w:lang w:val="en-US" w:eastAsia="zh-CN"/>
                    </w:rPr>
                    <w:t>NE</w:t>
                  </w:r>
                  <w:r>
                    <w:rPr>
                      <w:rFonts w:hint="default" w:ascii="Times New Roman" w:hAnsi="Times New Roman" w:eastAsia="宋体" w:cs="Times New Roman"/>
                      <w:color w:val="auto"/>
                      <w:kern w:val="0"/>
                      <w:sz w:val="21"/>
                      <w:szCs w:val="21"/>
                      <w:vertAlign w:val="baseline"/>
                      <w:lang w:val="en-US" w:eastAsia="zh-CN"/>
                    </w:rPr>
                    <w:t>，</w:t>
                  </w:r>
                  <w:r>
                    <w:rPr>
                      <w:rFonts w:hint="default" w:ascii="Times New Roman" w:hAnsi="Times New Roman" w:cs="Times New Roman"/>
                      <w:color w:val="auto"/>
                      <w:kern w:val="0"/>
                      <w:sz w:val="21"/>
                      <w:szCs w:val="21"/>
                      <w:vertAlign w:val="baseline"/>
                      <w:lang w:val="en-US" w:eastAsia="zh-CN"/>
                    </w:rPr>
                    <w:t>3380</w:t>
                  </w:r>
                </w:p>
              </w:tc>
              <w:tc>
                <w:tcPr>
                  <w:tcW w:w="914" w:type="dxa"/>
                  <w:noWrap w:val="0"/>
                  <w:vAlign w:val="center"/>
                </w:tcPr>
                <w:p w14:paraId="751AD16D">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非甲烷总烃</w:t>
                  </w:r>
                  <w:r>
                    <w:rPr>
                      <w:rFonts w:hint="default" w:ascii="Times New Roman" w:hAnsi="Times New Roman" w:cs="Times New Roman"/>
                      <w:color w:val="auto"/>
                      <w:kern w:val="0"/>
                      <w:sz w:val="21"/>
                      <w:szCs w:val="21"/>
                      <w:vertAlign w:val="baseline"/>
                      <w:lang w:val="en-US" w:eastAsia="zh-CN"/>
                    </w:rPr>
                    <w:t>、TSP</w:t>
                  </w:r>
                </w:p>
              </w:tc>
              <w:tc>
                <w:tcPr>
                  <w:tcW w:w="1759" w:type="dxa"/>
                  <w:noWrap w:val="0"/>
                  <w:vAlign w:val="center"/>
                </w:tcPr>
                <w:p w14:paraId="3DB5BBD8">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cs="Times New Roman"/>
                      <w:color w:val="auto"/>
                      <w:sz w:val="21"/>
                      <w:szCs w:val="21"/>
                    </w:rPr>
                    <w:t>2024年12月17日~23日</w:t>
                  </w:r>
                  <w:r>
                    <w:rPr>
                      <w:rFonts w:hint="default" w:ascii="Times New Roman" w:hAnsi="Times New Roman" w:cs="Times New Roman"/>
                      <w:color w:val="auto"/>
                      <w:sz w:val="21"/>
                      <w:szCs w:val="21"/>
                      <w:lang w:eastAsia="zh-CN"/>
                    </w:rPr>
                    <w:t>，</w:t>
                  </w:r>
                  <w:r>
                    <w:rPr>
                      <w:rFonts w:hint="default" w:ascii="Times New Roman" w:hAnsi="Times New Roman" w:eastAsia="宋体" w:cs="Times New Roman"/>
                      <w:color w:val="auto"/>
                      <w:kern w:val="0"/>
                      <w:sz w:val="21"/>
                      <w:szCs w:val="21"/>
                      <w:vertAlign w:val="baseline"/>
                      <w:lang w:val="en-US" w:eastAsia="zh-CN"/>
                    </w:rPr>
                    <w:t>连续监测7天</w:t>
                  </w:r>
                </w:p>
              </w:tc>
            </w:tr>
          </w:tbl>
          <w:p w14:paraId="1F9FA2A7">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2C1B0B81">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28B107AA">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7D452782">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06917623">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1BA2F7DA">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5CE77E89">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76E31E87">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42D3A94C">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cs="Times New Roman"/>
                <w:color w:val="auto"/>
              </w:rPr>
            </w:pPr>
          </w:p>
          <w:p w14:paraId="508A474D">
            <w:pPr>
              <w:pStyle w:val="63"/>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kern w:val="0"/>
                <w:sz w:val="21"/>
                <w:szCs w:val="21"/>
                <w:lang w:val="en-US" w:eastAsia="zh-CN"/>
              </w:rPr>
            </w:pPr>
            <w:r>
              <w:rPr>
                <w:rFonts w:hint="default" w:ascii="Times New Roman" w:hAnsi="Times New Roman" w:eastAsia="宋体" w:cs="Times New Roman"/>
                <w:color w:val="auto"/>
                <w:kern w:val="0"/>
                <w:sz w:val="21"/>
                <w:szCs w:val="21"/>
                <w:lang w:val="en-US" w:eastAsia="zh-CN"/>
              </w:rPr>
              <w:drawing>
                <wp:inline distT="0" distB="0" distL="114300" distR="114300">
                  <wp:extent cx="5027930" cy="3672205"/>
                  <wp:effectExtent l="0" t="0" r="1270" b="4445"/>
                  <wp:docPr id="23" name="图片 23" descr="监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监测布点图"/>
                          <pic:cNvPicPr>
                            <a:picLocks noChangeAspect="1"/>
                          </pic:cNvPicPr>
                        </pic:nvPicPr>
                        <pic:blipFill>
                          <a:blip r:embed="rId41"/>
                          <a:stretch>
                            <a:fillRect/>
                          </a:stretch>
                        </pic:blipFill>
                        <pic:spPr>
                          <a:xfrm>
                            <a:off x="0" y="0"/>
                            <a:ext cx="5027930" cy="3672205"/>
                          </a:xfrm>
                          <a:prstGeom prst="rect">
                            <a:avLst/>
                          </a:prstGeom>
                        </pic:spPr>
                      </pic:pic>
                    </a:graphicData>
                  </a:graphic>
                </wp:inline>
              </w:drawing>
            </w:r>
          </w:p>
          <w:p w14:paraId="338A541E">
            <w:pPr>
              <w:pStyle w:val="44"/>
              <w:keepNext w:val="0"/>
              <w:keepLines w:val="0"/>
              <w:pageBreakBefore w:val="0"/>
              <w:widowControl w:val="0"/>
              <w:kinsoku/>
              <w:wordWrap/>
              <w:overflowPunct/>
              <w:topLinePunct w:val="0"/>
              <w:autoSpaceDE/>
              <w:autoSpaceDN/>
              <w:bidi w:val="0"/>
              <w:adjustRightInd/>
              <w:spacing w:line="360" w:lineRule="auto"/>
              <w:jc w:val="center"/>
              <w:textAlignment w:val="auto"/>
              <w:rPr>
                <w:rFonts w:hint="default" w:ascii="Times New Roman" w:hAnsi="Times New Roman" w:cs="Times New Roman"/>
                <w:b/>
                <w:bCs/>
                <w:color w:val="auto"/>
                <w:sz w:val="21"/>
                <w:szCs w:val="20"/>
                <w:lang w:val="en-US" w:eastAsia="zh-CN"/>
              </w:rPr>
            </w:pPr>
            <w:r>
              <w:rPr>
                <w:rFonts w:hint="default" w:ascii="Times New Roman" w:hAnsi="Times New Roman" w:eastAsia="宋体" w:cs="Times New Roman"/>
                <w:b/>
                <w:bCs/>
                <w:color w:val="auto"/>
                <w:kern w:val="2"/>
                <w:sz w:val="21"/>
                <w:szCs w:val="21"/>
                <w:lang w:val="en-US" w:eastAsia="zh-CN" w:bidi="ar-SA"/>
              </w:rPr>
              <w:t>图3</w:t>
            </w:r>
            <w:r>
              <w:rPr>
                <w:rFonts w:hint="eastAsia" w:cs="Times New Roman"/>
                <w:b/>
                <w:bCs/>
                <w:color w:val="auto"/>
                <w:kern w:val="2"/>
                <w:sz w:val="21"/>
                <w:szCs w:val="21"/>
                <w:lang w:val="en-US" w:eastAsia="zh-CN" w:bidi="ar-SA"/>
              </w:rPr>
              <w:t>.1</w:t>
            </w:r>
            <w:r>
              <w:rPr>
                <w:rFonts w:hint="default" w:ascii="Times New Roman" w:hAnsi="Times New Roman" w:eastAsia="宋体" w:cs="Times New Roman"/>
                <w:b/>
                <w:bCs/>
                <w:color w:val="auto"/>
                <w:kern w:val="2"/>
                <w:sz w:val="21"/>
                <w:szCs w:val="21"/>
                <w:lang w:val="en-US" w:eastAsia="zh-CN" w:bidi="ar-SA"/>
              </w:rPr>
              <w:t>-1  大气环境现状监测布点图</w:t>
            </w:r>
          </w:p>
          <w:p w14:paraId="159A21A9">
            <w:pPr>
              <w:keepNext w:val="0"/>
              <w:keepLines w:val="0"/>
              <w:pageBreakBefore w:val="0"/>
              <w:widowControl w:val="0"/>
              <w:kinsoku/>
              <w:wordWrap/>
              <w:overflowPunct/>
              <w:topLinePunct w:val="0"/>
              <w:autoSpaceDE/>
              <w:autoSpaceDN/>
              <w:bidi w:val="0"/>
              <w:adjustRightInd/>
              <w:snapToGrid w:val="0"/>
              <w:spacing w:before="62" w:beforeLines="20" w:after="6" w:afterLines="2" w:line="360" w:lineRule="auto"/>
              <w:ind w:firstLine="105" w:firstLineChars="50"/>
              <w:jc w:val="center"/>
              <w:textAlignment w:val="auto"/>
              <w:rPr>
                <w:rFonts w:hint="default" w:ascii="Times New Roman" w:hAnsi="Times New Roman" w:eastAsia="宋体" w:cs="Times New Roman"/>
                <w:b/>
                <w:snapToGrid w:val="0"/>
                <w:color w:val="auto"/>
                <w:sz w:val="21"/>
                <w:szCs w:val="21"/>
              </w:rPr>
            </w:pPr>
            <w:r>
              <w:rPr>
                <w:rFonts w:hint="default" w:ascii="Times New Roman" w:hAnsi="Times New Roman" w:eastAsia="宋体" w:cs="Times New Roman"/>
                <w:b/>
                <w:snapToGrid w:val="0"/>
                <w:color w:val="auto"/>
                <w:sz w:val="21"/>
                <w:szCs w:val="21"/>
              </w:rPr>
              <w:t>表</w:t>
            </w:r>
            <w:r>
              <w:rPr>
                <w:rFonts w:hint="default" w:ascii="Times New Roman" w:hAnsi="Times New Roman" w:eastAsia="宋体" w:cs="Times New Roman"/>
                <w:b/>
                <w:snapToGrid w:val="0"/>
                <w:color w:val="auto"/>
                <w:sz w:val="21"/>
                <w:szCs w:val="21"/>
                <w:lang w:val="en-US" w:eastAsia="zh-CN"/>
              </w:rPr>
              <w:t>3</w:t>
            </w:r>
            <w:r>
              <w:rPr>
                <w:rFonts w:hint="default" w:ascii="Times New Roman" w:hAnsi="Times New Roman" w:cs="Times New Roman"/>
                <w:b/>
                <w:snapToGrid w:val="0"/>
                <w:color w:val="auto"/>
                <w:sz w:val="21"/>
                <w:szCs w:val="21"/>
                <w:lang w:val="en-US" w:eastAsia="zh-CN"/>
              </w:rPr>
              <w:t>.1</w:t>
            </w:r>
            <w:r>
              <w:rPr>
                <w:rFonts w:hint="default" w:ascii="Times New Roman" w:hAnsi="Times New Roman" w:eastAsia="宋体" w:cs="Times New Roman"/>
                <w:b/>
                <w:snapToGrid w:val="0"/>
                <w:color w:val="auto"/>
                <w:sz w:val="21"/>
                <w:szCs w:val="21"/>
                <w:lang w:val="en-US" w:eastAsia="zh-CN"/>
              </w:rPr>
              <w:t>-3</w:t>
            </w:r>
            <w:r>
              <w:rPr>
                <w:rFonts w:hint="default" w:ascii="Times New Roman" w:hAnsi="Times New Roman" w:eastAsia="宋体" w:cs="Times New Roman"/>
                <w:b/>
                <w:snapToGrid w:val="0"/>
                <w:color w:val="auto"/>
                <w:sz w:val="21"/>
                <w:szCs w:val="21"/>
              </w:rPr>
              <w:t xml:space="preserve">    其他污染物环境空气现状监测结果统计</w:t>
            </w:r>
          </w:p>
          <w:tbl>
            <w:tblPr>
              <w:tblStyle w:val="3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51"/>
              <w:gridCol w:w="1092"/>
              <w:gridCol w:w="1093"/>
              <w:gridCol w:w="993"/>
              <w:gridCol w:w="1353"/>
              <w:gridCol w:w="894"/>
              <w:gridCol w:w="646"/>
              <w:gridCol w:w="642"/>
            </w:tblGrid>
            <w:tr w14:paraId="05E41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jc w:val="center"/>
              </w:trPr>
              <w:tc>
                <w:tcPr>
                  <w:tcW w:w="785" w:type="pct"/>
                  <w:vMerge w:val="restart"/>
                  <w:tcBorders>
                    <w:tl2br w:val="nil"/>
                    <w:tr2bl w:val="nil"/>
                  </w:tcBorders>
                  <w:noWrap w:val="0"/>
                  <w:vAlign w:val="center"/>
                </w:tcPr>
                <w:p w14:paraId="09E43D52">
                  <w:pPr>
                    <w:spacing w:line="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监测点位</w:t>
                  </w:r>
                </w:p>
              </w:tc>
              <w:tc>
                <w:tcPr>
                  <w:tcW w:w="685" w:type="pct"/>
                  <w:tcBorders>
                    <w:tl2br w:val="nil"/>
                    <w:tr2bl w:val="nil"/>
                  </w:tcBorders>
                  <w:noWrap w:val="0"/>
                  <w:vAlign w:val="center"/>
                </w:tcPr>
                <w:p w14:paraId="4E116DA3">
                  <w:pPr>
                    <w:spacing w:line="40" w:lineRule="atLeas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污染物</w:t>
                  </w:r>
                </w:p>
              </w:tc>
              <w:tc>
                <w:tcPr>
                  <w:tcW w:w="686" w:type="pct"/>
                  <w:tcBorders>
                    <w:tl2br w:val="nil"/>
                    <w:tr2bl w:val="nil"/>
                  </w:tcBorders>
                  <w:noWrap w:val="0"/>
                  <w:vAlign w:val="center"/>
                </w:tcPr>
                <w:p w14:paraId="794C49C0">
                  <w:pPr>
                    <w:spacing w:line="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平均时间</w:t>
                  </w:r>
                </w:p>
              </w:tc>
              <w:tc>
                <w:tcPr>
                  <w:tcW w:w="623" w:type="pct"/>
                  <w:tcBorders>
                    <w:tl2br w:val="nil"/>
                    <w:tr2bl w:val="nil"/>
                  </w:tcBorders>
                  <w:noWrap w:val="0"/>
                  <w:vAlign w:val="center"/>
                </w:tcPr>
                <w:p w14:paraId="7FDE80B6">
                  <w:pPr>
                    <w:spacing w:line="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评价标准/</w:t>
                  </w:r>
                </w:p>
                <w:p w14:paraId="6B9C2921">
                  <w:pPr>
                    <w:spacing w:line="40" w:lineRule="atLeast"/>
                    <w:jc w:val="center"/>
                    <w:rPr>
                      <w:rFonts w:hint="default" w:ascii="Times New Roman" w:hAnsi="Times New Roman" w:cs="Times New Roman"/>
                      <w:color w:val="auto"/>
                      <w:szCs w:val="21"/>
                    </w:rPr>
                  </w:pPr>
                  <w:r>
                    <w:rPr>
                      <w:rFonts w:hint="default" w:ascii="Times New Roman" w:hAnsi="Times New Roman" w:eastAsia="宋体" w:cs="Times New Roman"/>
                      <w:snapToGrid w:val="0"/>
                      <w:color w:val="auto"/>
                      <w:szCs w:val="21"/>
                    </w:rPr>
                    <w:t>（μg/m</w:t>
                  </w:r>
                  <w:r>
                    <w:rPr>
                      <w:rFonts w:hint="default" w:ascii="Times New Roman" w:hAnsi="Times New Roman" w:eastAsia="宋体" w:cs="Times New Roman"/>
                      <w:snapToGrid w:val="0"/>
                      <w:color w:val="auto"/>
                      <w:szCs w:val="21"/>
                      <w:vertAlign w:val="superscript"/>
                    </w:rPr>
                    <w:t>3</w:t>
                  </w:r>
                  <w:r>
                    <w:rPr>
                      <w:rFonts w:hint="default" w:ascii="Times New Roman" w:hAnsi="Times New Roman" w:eastAsia="宋体" w:cs="Times New Roman"/>
                      <w:snapToGrid w:val="0"/>
                      <w:color w:val="auto"/>
                      <w:szCs w:val="21"/>
                    </w:rPr>
                    <w:t>）</w:t>
                  </w:r>
                </w:p>
              </w:tc>
              <w:tc>
                <w:tcPr>
                  <w:tcW w:w="849" w:type="pct"/>
                  <w:tcBorders>
                    <w:tl2br w:val="nil"/>
                    <w:tr2bl w:val="nil"/>
                  </w:tcBorders>
                  <w:noWrap w:val="0"/>
                  <w:vAlign w:val="center"/>
                </w:tcPr>
                <w:p w14:paraId="69B020D7">
                  <w:pPr>
                    <w:spacing w:line="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监测浓度范围/</w:t>
                  </w:r>
                </w:p>
                <w:p w14:paraId="136F73CD">
                  <w:pPr>
                    <w:spacing w:line="40" w:lineRule="atLeast"/>
                    <w:jc w:val="center"/>
                    <w:rPr>
                      <w:rFonts w:hint="default" w:ascii="Times New Roman" w:hAnsi="Times New Roman" w:cs="Times New Roman"/>
                      <w:color w:val="auto"/>
                      <w:szCs w:val="21"/>
                    </w:rPr>
                  </w:pPr>
                  <w:r>
                    <w:rPr>
                      <w:rFonts w:hint="default" w:ascii="Times New Roman" w:hAnsi="Times New Roman" w:eastAsia="宋体" w:cs="Times New Roman"/>
                      <w:snapToGrid w:val="0"/>
                      <w:color w:val="auto"/>
                      <w:szCs w:val="21"/>
                    </w:rPr>
                    <w:t>（μg/m</w:t>
                  </w:r>
                  <w:r>
                    <w:rPr>
                      <w:rFonts w:hint="default" w:ascii="Times New Roman" w:hAnsi="Times New Roman" w:eastAsia="宋体" w:cs="Times New Roman"/>
                      <w:snapToGrid w:val="0"/>
                      <w:color w:val="auto"/>
                      <w:szCs w:val="21"/>
                      <w:vertAlign w:val="superscript"/>
                    </w:rPr>
                    <w:t>3</w:t>
                  </w:r>
                  <w:r>
                    <w:rPr>
                      <w:rFonts w:hint="default" w:ascii="Times New Roman" w:hAnsi="Times New Roman" w:eastAsia="宋体" w:cs="Times New Roman"/>
                      <w:snapToGrid w:val="0"/>
                      <w:color w:val="auto"/>
                      <w:szCs w:val="21"/>
                    </w:rPr>
                    <w:t>）</w:t>
                  </w:r>
                </w:p>
              </w:tc>
              <w:tc>
                <w:tcPr>
                  <w:tcW w:w="561" w:type="pct"/>
                  <w:tcBorders>
                    <w:tl2br w:val="nil"/>
                    <w:tr2bl w:val="nil"/>
                  </w:tcBorders>
                  <w:noWrap w:val="0"/>
                  <w:vAlign w:val="center"/>
                </w:tcPr>
                <w:p w14:paraId="10CAD2B6">
                  <w:pPr>
                    <w:spacing w:line="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最大浓度占标率/%</w:t>
                  </w:r>
                </w:p>
              </w:tc>
              <w:tc>
                <w:tcPr>
                  <w:tcW w:w="405" w:type="pct"/>
                  <w:tcBorders>
                    <w:tl2br w:val="nil"/>
                    <w:tr2bl w:val="nil"/>
                  </w:tcBorders>
                  <w:noWrap w:val="0"/>
                  <w:vAlign w:val="center"/>
                </w:tcPr>
                <w:p w14:paraId="750A32F4">
                  <w:pPr>
                    <w:spacing w:line="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超标率/%</w:t>
                  </w:r>
                </w:p>
              </w:tc>
              <w:tc>
                <w:tcPr>
                  <w:tcW w:w="402" w:type="pct"/>
                  <w:tcBorders>
                    <w:tl2br w:val="nil"/>
                    <w:tr2bl w:val="nil"/>
                  </w:tcBorders>
                  <w:noWrap w:val="0"/>
                  <w:vAlign w:val="center"/>
                </w:tcPr>
                <w:p w14:paraId="422EC32F">
                  <w:pPr>
                    <w:spacing w:line="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达标情况</w:t>
                  </w:r>
                </w:p>
              </w:tc>
            </w:tr>
            <w:tr w14:paraId="41E07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8" w:hRule="atLeast"/>
                <w:jc w:val="center"/>
              </w:trPr>
              <w:tc>
                <w:tcPr>
                  <w:tcW w:w="785" w:type="pct"/>
                  <w:vMerge w:val="restart"/>
                  <w:tcBorders>
                    <w:tl2br w:val="nil"/>
                    <w:tr2bl w:val="nil"/>
                  </w:tcBorders>
                  <w:noWrap w:val="0"/>
                  <w:vAlign w:val="center"/>
                </w:tcPr>
                <w:p w14:paraId="3C717B2D">
                  <w:pPr>
                    <w:jc w:val="center"/>
                    <w:rPr>
                      <w:rFonts w:hint="default" w:ascii="Times New Roman" w:hAnsi="Times New Roman" w:cs="Times New Roman"/>
                      <w:color w:val="auto"/>
                      <w:szCs w:val="21"/>
                    </w:rPr>
                  </w:pPr>
                  <w:r>
                    <w:rPr>
                      <w:rFonts w:hint="default" w:ascii="Times New Roman" w:hAnsi="Times New Roman" w:eastAsia="宋体" w:cs="Times New Roman"/>
                      <w:color w:val="auto"/>
                      <w:kern w:val="0"/>
                      <w:sz w:val="21"/>
                      <w:szCs w:val="21"/>
                      <w:vertAlign w:val="baseline"/>
                      <w:lang w:val="en-US" w:eastAsia="zh-CN"/>
                    </w:rPr>
                    <w:t>中远防务厂区东南侧</w:t>
                  </w:r>
                </w:p>
              </w:tc>
              <w:tc>
                <w:tcPr>
                  <w:tcW w:w="685" w:type="pct"/>
                  <w:tcBorders>
                    <w:tl2br w:val="nil"/>
                    <w:tr2bl w:val="nil"/>
                  </w:tcBorders>
                  <w:noWrap w:val="0"/>
                  <w:vAlign w:val="center"/>
                </w:tcPr>
                <w:p w14:paraId="6AA24699">
                  <w:pPr>
                    <w:snapToGrid w:val="0"/>
                    <w:spacing w:line="40" w:lineRule="atLeast"/>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非甲烷总烃</w:t>
                  </w:r>
                </w:p>
              </w:tc>
              <w:tc>
                <w:tcPr>
                  <w:tcW w:w="686" w:type="pct"/>
                  <w:tcBorders>
                    <w:tl2br w:val="nil"/>
                    <w:tr2bl w:val="nil"/>
                  </w:tcBorders>
                  <w:noWrap w:val="0"/>
                  <w:vAlign w:val="center"/>
                </w:tcPr>
                <w:p w14:paraId="3E52ED66">
                  <w:pPr>
                    <w:snapToGrid w:val="0"/>
                    <w:spacing w:line="40" w:lineRule="atLeast"/>
                    <w:jc w:val="center"/>
                    <w:rPr>
                      <w:rFonts w:hint="default" w:ascii="Times New Roman" w:hAnsi="Times New Roman" w:cs="Times New Roman"/>
                      <w:color w:val="auto"/>
                      <w:szCs w:val="21"/>
                    </w:rPr>
                  </w:pPr>
                  <w:r>
                    <w:rPr>
                      <w:rFonts w:hint="default" w:ascii="Times New Roman" w:hAnsi="Times New Roman" w:cs="Times New Roman"/>
                      <w:color w:val="auto"/>
                      <w:szCs w:val="21"/>
                    </w:rPr>
                    <w:t>小时均值</w:t>
                  </w:r>
                </w:p>
              </w:tc>
              <w:tc>
                <w:tcPr>
                  <w:tcW w:w="623" w:type="pct"/>
                  <w:tcBorders>
                    <w:tl2br w:val="nil"/>
                    <w:tr2bl w:val="nil"/>
                  </w:tcBorders>
                  <w:noWrap w:val="0"/>
                  <w:vAlign w:val="center"/>
                </w:tcPr>
                <w:p w14:paraId="49CC7728">
                  <w:pPr>
                    <w:contextualSpacing/>
                    <w:jc w:val="center"/>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2000</w:t>
                  </w:r>
                </w:p>
              </w:tc>
              <w:tc>
                <w:tcPr>
                  <w:tcW w:w="849" w:type="pct"/>
                  <w:tcBorders>
                    <w:tl2br w:val="nil"/>
                    <w:tr2bl w:val="nil"/>
                  </w:tcBorders>
                  <w:noWrap w:val="0"/>
                  <w:vAlign w:val="center"/>
                </w:tcPr>
                <w:p w14:paraId="652F0204">
                  <w:pPr>
                    <w:contextualSpacing/>
                    <w:jc w:val="center"/>
                    <w:rPr>
                      <w:rFonts w:hint="default" w:ascii="Times New Roman" w:hAnsi="Times New Roman" w:eastAsia="宋体" w:cs="Times New Roman"/>
                      <w:snapToGrid w:val="0"/>
                      <w:color w:val="auto"/>
                      <w:szCs w:val="21"/>
                      <w:lang w:val="en-US" w:eastAsia="zh-CN"/>
                    </w:rPr>
                  </w:pPr>
                  <w:r>
                    <w:rPr>
                      <w:rFonts w:hint="default" w:ascii="Times New Roman" w:hAnsi="Times New Roman" w:cs="Times New Roman"/>
                      <w:snapToGrid w:val="0"/>
                      <w:color w:val="auto"/>
                      <w:szCs w:val="21"/>
                      <w:lang w:val="en-US" w:eastAsia="zh-CN"/>
                    </w:rPr>
                    <w:t>470</w:t>
                  </w:r>
                  <w:r>
                    <w:rPr>
                      <w:rFonts w:hint="default" w:ascii="Times New Roman" w:hAnsi="Times New Roman" w:eastAsia="宋体" w:cs="Times New Roman"/>
                      <w:snapToGrid w:val="0"/>
                      <w:color w:val="auto"/>
                      <w:szCs w:val="21"/>
                    </w:rPr>
                    <w:t>~</w:t>
                  </w:r>
                  <w:r>
                    <w:rPr>
                      <w:rFonts w:hint="default" w:ascii="Times New Roman" w:hAnsi="Times New Roman" w:cs="Times New Roman"/>
                      <w:snapToGrid w:val="0"/>
                      <w:color w:val="auto"/>
                      <w:szCs w:val="21"/>
                      <w:lang w:val="en-US" w:eastAsia="zh-CN"/>
                    </w:rPr>
                    <w:t>760</w:t>
                  </w:r>
                </w:p>
              </w:tc>
              <w:tc>
                <w:tcPr>
                  <w:tcW w:w="561" w:type="pct"/>
                  <w:tcBorders>
                    <w:tl2br w:val="nil"/>
                    <w:tr2bl w:val="nil"/>
                  </w:tcBorders>
                  <w:noWrap w:val="0"/>
                  <w:vAlign w:val="center"/>
                </w:tcPr>
                <w:p w14:paraId="7BCC1882">
                  <w:pPr>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38.0</w:t>
                  </w:r>
                </w:p>
              </w:tc>
              <w:tc>
                <w:tcPr>
                  <w:tcW w:w="405" w:type="pct"/>
                  <w:tcBorders>
                    <w:tl2br w:val="nil"/>
                    <w:tr2bl w:val="nil"/>
                  </w:tcBorders>
                  <w:noWrap w:val="0"/>
                  <w:vAlign w:val="center"/>
                </w:tcPr>
                <w:p w14:paraId="3DEBB21B">
                  <w:pPr>
                    <w:snapToGrid w:val="0"/>
                    <w:spacing w:line="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c>
                <w:tcPr>
                  <w:tcW w:w="402" w:type="pct"/>
                  <w:tcBorders>
                    <w:tl2br w:val="nil"/>
                    <w:tr2bl w:val="nil"/>
                  </w:tcBorders>
                  <w:noWrap w:val="0"/>
                  <w:vAlign w:val="center"/>
                </w:tcPr>
                <w:p w14:paraId="21BB9C42">
                  <w:pPr>
                    <w:snapToGrid w:val="0"/>
                    <w:spacing w:line="40" w:lineRule="atLeast"/>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38D7C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8" w:hRule="atLeast"/>
                <w:jc w:val="center"/>
              </w:trPr>
              <w:tc>
                <w:tcPr>
                  <w:tcW w:w="785" w:type="pct"/>
                  <w:vMerge w:val="continue"/>
                  <w:tcBorders>
                    <w:tl2br w:val="nil"/>
                    <w:tr2bl w:val="nil"/>
                  </w:tcBorders>
                  <w:noWrap w:val="0"/>
                  <w:vAlign w:val="center"/>
                </w:tcPr>
                <w:p w14:paraId="35A89E17">
                  <w:pPr>
                    <w:jc w:val="center"/>
                    <w:rPr>
                      <w:rFonts w:hint="default" w:ascii="Times New Roman" w:hAnsi="Times New Roman" w:eastAsia="宋体" w:cs="Times New Roman"/>
                      <w:color w:val="auto"/>
                      <w:kern w:val="0"/>
                      <w:sz w:val="21"/>
                      <w:szCs w:val="21"/>
                      <w:vertAlign w:val="baseline"/>
                      <w:lang w:val="en-US" w:eastAsia="zh-CN"/>
                    </w:rPr>
                  </w:pPr>
                </w:p>
              </w:tc>
              <w:tc>
                <w:tcPr>
                  <w:tcW w:w="685" w:type="pct"/>
                  <w:tcBorders>
                    <w:tl2br w:val="nil"/>
                    <w:tr2bl w:val="nil"/>
                  </w:tcBorders>
                  <w:shd w:val="clear" w:color="auto" w:fill="auto"/>
                  <w:noWrap w:val="0"/>
                  <w:vAlign w:val="center"/>
                </w:tcPr>
                <w:p w14:paraId="6A4A371E">
                  <w:pPr>
                    <w:adjustRightInd/>
                    <w:snapToGrid/>
                    <w:spacing w:line="240" w:lineRule="auto"/>
                    <w:ind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TSP</w:t>
                  </w:r>
                </w:p>
              </w:tc>
              <w:tc>
                <w:tcPr>
                  <w:tcW w:w="686" w:type="pct"/>
                  <w:tcBorders>
                    <w:tl2br w:val="nil"/>
                    <w:tr2bl w:val="nil"/>
                  </w:tcBorders>
                  <w:shd w:val="clear" w:color="auto" w:fill="auto"/>
                  <w:noWrap w:val="0"/>
                  <w:vAlign w:val="center"/>
                </w:tcPr>
                <w:p w14:paraId="42EA7102">
                  <w:pPr>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24h平均</w:t>
                  </w:r>
                </w:p>
              </w:tc>
              <w:tc>
                <w:tcPr>
                  <w:tcW w:w="623" w:type="pct"/>
                  <w:tcBorders>
                    <w:tl2br w:val="nil"/>
                    <w:tr2bl w:val="nil"/>
                  </w:tcBorders>
                  <w:shd w:val="clear" w:color="auto" w:fill="auto"/>
                  <w:noWrap w:val="0"/>
                  <w:vAlign w:val="center"/>
                </w:tcPr>
                <w:p w14:paraId="6EF40799">
                  <w:pPr>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300</w:t>
                  </w:r>
                </w:p>
              </w:tc>
              <w:tc>
                <w:tcPr>
                  <w:tcW w:w="849" w:type="pct"/>
                  <w:tcBorders>
                    <w:tl2br w:val="nil"/>
                    <w:tr2bl w:val="nil"/>
                  </w:tcBorders>
                  <w:shd w:val="clear" w:color="auto" w:fill="auto"/>
                  <w:noWrap w:val="0"/>
                  <w:vAlign w:val="center"/>
                </w:tcPr>
                <w:p w14:paraId="57673A3E">
                  <w:pPr>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125~</w:t>
                  </w:r>
                  <w:r>
                    <w:rPr>
                      <w:rFonts w:hint="default" w:ascii="Times New Roman" w:hAnsi="Times New Roman" w:cs="Times New Roman"/>
                      <w:color w:val="auto"/>
                      <w:sz w:val="21"/>
                      <w:szCs w:val="21"/>
                    </w:rPr>
                    <w:t>227</w:t>
                  </w:r>
                </w:p>
              </w:tc>
              <w:tc>
                <w:tcPr>
                  <w:tcW w:w="561" w:type="pct"/>
                  <w:tcBorders>
                    <w:tl2br w:val="nil"/>
                    <w:tr2bl w:val="nil"/>
                  </w:tcBorders>
                  <w:shd w:val="clear" w:color="auto" w:fill="auto"/>
                  <w:noWrap w:val="0"/>
                  <w:vAlign w:val="center"/>
                </w:tcPr>
                <w:p w14:paraId="35AF26CA">
                  <w:pPr>
                    <w:adjustRightInd/>
                    <w:snapToGrid/>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 xml:space="preserve">75.67 </w:t>
                  </w:r>
                </w:p>
              </w:tc>
              <w:tc>
                <w:tcPr>
                  <w:tcW w:w="405" w:type="pct"/>
                  <w:tcBorders>
                    <w:tl2br w:val="nil"/>
                    <w:tr2bl w:val="nil"/>
                  </w:tcBorders>
                  <w:noWrap w:val="0"/>
                  <w:vAlign w:val="center"/>
                </w:tcPr>
                <w:p w14:paraId="46D12997">
                  <w:pPr>
                    <w:snapToGrid w:val="0"/>
                    <w:spacing w:line="4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w:t>
                  </w:r>
                </w:p>
              </w:tc>
              <w:tc>
                <w:tcPr>
                  <w:tcW w:w="402" w:type="pct"/>
                  <w:tcBorders>
                    <w:tl2br w:val="nil"/>
                    <w:tr2bl w:val="nil"/>
                  </w:tcBorders>
                  <w:noWrap w:val="0"/>
                  <w:vAlign w:val="center"/>
                </w:tcPr>
                <w:p w14:paraId="3039FE43">
                  <w:pPr>
                    <w:snapToGrid w:val="0"/>
                    <w:spacing w:line="40" w:lineRule="atLeast"/>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达标</w:t>
                  </w:r>
                </w:p>
              </w:tc>
            </w:tr>
          </w:tbl>
          <w:p w14:paraId="4BA41AFD">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color w:val="auto"/>
                <w:kern w:val="0"/>
                <w:sz w:val="24"/>
                <w:szCs w:val="20"/>
                <w:highlight w:val="none"/>
                <w:lang w:eastAsia="zh-CN"/>
              </w:rPr>
            </w:pPr>
            <w:r>
              <w:rPr>
                <w:rFonts w:hint="default" w:ascii="Times New Roman" w:hAnsi="Times New Roman" w:eastAsia="宋体" w:cs="Times New Roman"/>
                <w:color w:val="auto"/>
                <w:sz w:val="24"/>
                <w:szCs w:val="24"/>
                <w:lang w:val="en-US" w:eastAsia="zh-CN"/>
              </w:rPr>
              <w:t>由上表可知，</w:t>
            </w:r>
            <w:r>
              <w:rPr>
                <w:rFonts w:hint="default" w:ascii="Times New Roman" w:hAnsi="Times New Roman" w:eastAsia="宋体" w:cs="Times New Roman"/>
                <w:color w:val="auto"/>
                <w:sz w:val="24"/>
                <w:szCs w:val="24"/>
              </w:rPr>
              <w:t>监测点</w:t>
            </w:r>
            <w:r>
              <w:rPr>
                <w:rFonts w:hint="default" w:ascii="Times New Roman" w:hAnsi="Times New Roman" w:eastAsia="宋体" w:cs="Times New Roman"/>
                <w:color w:val="auto"/>
                <w:sz w:val="24"/>
                <w:szCs w:val="24"/>
                <w:lang w:val="en-US" w:eastAsia="zh-CN"/>
              </w:rPr>
              <w:t>非甲烷总烃</w:t>
            </w:r>
            <w:r>
              <w:rPr>
                <w:rFonts w:hint="default" w:ascii="Times New Roman" w:hAnsi="Times New Roman" w:eastAsia="宋体" w:cs="Times New Roman"/>
                <w:color w:val="auto"/>
                <w:kern w:val="0"/>
                <w:sz w:val="24"/>
                <w:szCs w:val="24"/>
              </w:rPr>
              <w:t>的</w:t>
            </w:r>
            <w:r>
              <w:rPr>
                <w:rFonts w:hint="default" w:ascii="Times New Roman" w:hAnsi="Times New Roman" w:eastAsia="宋体" w:cs="Times New Roman"/>
                <w:color w:val="auto"/>
                <w:sz w:val="24"/>
                <w:szCs w:val="24"/>
              </w:rPr>
              <w:t>小时值满足《环境空气质量•非甲烷总烃限值》</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DB13/1577-2012</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二级标准</w:t>
            </w:r>
            <w:r>
              <w:rPr>
                <w:rFonts w:hint="default" w:ascii="Times New Roman" w:hAnsi="Times New Roman" w:cs="Times New Roman"/>
                <w:color w:val="auto"/>
                <w:sz w:val="24"/>
                <w:szCs w:val="24"/>
                <w:lang w:val="en-US" w:eastAsia="zh-CN"/>
              </w:rPr>
              <w:t>要求，TSP满足《环境空气质量标准》（GB3095-2012）中的二级标准限值要求</w:t>
            </w:r>
            <w:r>
              <w:rPr>
                <w:rFonts w:hint="default" w:ascii="Times New Roman" w:hAnsi="Times New Roman" w:eastAsia="宋体" w:cs="Times New Roman"/>
                <w:color w:val="auto"/>
                <w:sz w:val="24"/>
                <w:szCs w:val="24"/>
                <w:lang w:eastAsia="zh-CN"/>
              </w:rPr>
              <w:t>。</w:t>
            </w:r>
          </w:p>
          <w:p w14:paraId="4628B93F">
            <w:pPr>
              <w:keepNext w:val="0"/>
              <w:keepLines w:val="0"/>
              <w:pageBreakBefore w:val="0"/>
              <w:widowControl w:val="0"/>
              <w:numPr>
                <w:ilvl w:val="0"/>
                <w:numId w:val="0"/>
              </w:numPr>
              <w:tabs>
                <w:tab w:val="left" w:pos="1992"/>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2、声环境</w:t>
            </w:r>
          </w:p>
          <w:p w14:paraId="3C962818">
            <w:pPr>
              <w:pStyle w:val="43"/>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b w:val="0"/>
                <w:bCs/>
                <w:color w:val="auto"/>
                <w:sz w:val="24"/>
                <w:szCs w:val="24"/>
                <w:highlight w:val="none"/>
                <w:lang w:val="en-US" w:eastAsia="zh-CN"/>
              </w:rPr>
            </w:pPr>
            <w:r>
              <w:rPr>
                <w:rFonts w:hint="default" w:ascii="Times New Roman" w:hAnsi="Times New Roman" w:eastAsia="宋体" w:cs="Times New Roman"/>
                <w:color w:val="auto"/>
                <w:spacing w:val="0"/>
                <w:kern w:val="2"/>
                <w:position w:val="0"/>
                <w:sz w:val="24"/>
                <w:szCs w:val="24"/>
                <w:u w:val="none" w:color="auto"/>
                <w:lang w:val="en-US" w:eastAsia="zh-CN" w:bidi="ar-SA"/>
              </w:rPr>
              <w:t>根据《建设项目环境影响报告表编制技术指南（污染影响类）（试行）》</w:t>
            </w:r>
            <w:r>
              <w:rPr>
                <w:rFonts w:hint="default" w:ascii="Times New Roman" w:hAnsi="Times New Roman" w:cs="Times New Roman"/>
                <w:b w:val="0"/>
                <w:bCs/>
                <w:color w:val="auto"/>
                <w:sz w:val="24"/>
                <w:szCs w:val="24"/>
                <w:highlight w:val="none"/>
                <w:lang w:val="en-US" w:eastAsia="zh-CN"/>
              </w:rPr>
              <w:t>，“厂界外周边50米范围内存在声环境保护目标的建设项目，应监测保护目标声环境质量现状并评价达标情况”，根据现场踏勘，本项目为新建项目，且厂界50m范围内不存在声环境保护目标，因此不需要开展声环境现状监测。</w:t>
            </w:r>
          </w:p>
          <w:p w14:paraId="646A2AA7">
            <w:pPr>
              <w:keepNext w:val="0"/>
              <w:keepLines w:val="0"/>
              <w:pageBreakBefore w:val="0"/>
              <w:widowControl w:val="0"/>
              <w:numPr>
                <w:ilvl w:val="0"/>
                <w:numId w:val="0"/>
              </w:numPr>
              <w:tabs>
                <w:tab w:val="left" w:pos="1992"/>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3、生态环境</w:t>
            </w:r>
          </w:p>
          <w:p w14:paraId="300123CA">
            <w:pPr>
              <w:pStyle w:val="63"/>
              <w:rPr>
                <w:rFonts w:hint="default" w:ascii="Times New Roman" w:hAnsi="Times New Roman" w:eastAsia="宋体" w:cs="Times New Roman"/>
                <w:color w:val="auto"/>
                <w:spacing w:val="0"/>
                <w:kern w:val="2"/>
                <w:position w:val="0"/>
                <w:sz w:val="24"/>
                <w:szCs w:val="24"/>
                <w:u w:val="none" w:color="auto"/>
                <w:lang w:val="en-US" w:eastAsia="zh-CN" w:bidi="ar-SA"/>
              </w:rPr>
            </w:pPr>
            <w:r>
              <w:rPr>
                <w:rFonts w:hint="default" w:ascii="Times New Roman" w:hAnsi="Times New Roman" w:eastAsia="宋体" w:cs="Times New Roman"/>
                <w:color w:val="auto"/>
                <w:spacing w:val="0"/>
                <w:kern w:val="2"/>
                <w:position w:val="0"/>
                <w:sz w:val="24"/>
                <w:szCs w:val="24"/>
                <w:u w:val="none" w:color="auto"/>
                <w:lang w:val="en-US" w:eastAsia="zh-CN" w:bidi="ar-SA"/>
              </w:rPr>
              <w:t>项目周围地表植被主要是已建成的道路两旁及企业内绿化树木和草地，属典型的城市人工生态系统。根据对项目场地</w:t>
            </w:r>
            <w:r>
              <w:rPr>
                <w:rFonts w:hint="default" w:ascii="Times New Roman" w:hAnsi="Times New Roman" w:cs="Times New Roman"/>
                <w:color w:val="auto"/>
                <w:spacing w:val="0"/>
                <w:kern w:val="2"/>
                <w:position w:val="0"/>
                <w:sz w:val="24"/>
                <w:szCs w:val="24"/>
                <w:u w:val="none" w:color="auto"/>
                <w:lang w:val="en-US" w:eastAsia="zh-CN" w:bidi="ar-SA"/>
              </w:rPr>
              <w:t>踏勘</w:t>
            </w:r>
            <w:r>
              <w:rPr>
                <w:rFonts w:hint="default" w:ascii="Times New Roman" w:hAnsi="Times New Roman" w:eastAsia="宋体" w:cs="Times New Roman"/>
                <w:color w:val="auto"/>
                <w:spacing w:val="0"/>
                <w:kern w:val="2"/>
                <w:position w:val="0"/>
                <w:sz w:val="24"/>
                <w:szCs w:val="24"/>
                <w:u w:val="none" w:color="auto"/>
                <w:lang w:val="en-US" w:eastAsia="zh-CN" w:bidi="ar-SA"/>
              </w:rPr>
              <w:t>，建设用地内没有国家和地方重点保护的植物种类和珍稀物种，也未发现国家和地方重点保护的野生动物及珍稀野生动物，无重点文物、古迹等。</w:t>
            </w:r>
          </w:p>
          <w:p w14:paraId="771E8A2E">
            <w:pPr>
              <w:pStyle w:val="63"/>
              <w:rPr>
                <w:rFonts w:hint="default" w:ascii="Times New Roman" w:hAnsi="Times New Roman" w:eastAsia="宋体" w:cs="Times New Roman"/>
                <w:color w:val="auto"/>
                <w:sz w:val="24"/>
                <w:szCs w:val="24"/>
                <w:highlight w:val="none"/>
                <w:vertAlign w:val="baseline"/>
                <w:lang w:val="en-US" w:eastAsia="zh-CN"/>
              </w:rPr>
            </w:pPr>
            <w:r>
              <w:rPr>
                <w:rFonts w:hint="default" w:ascii="Times New Roman" w:hAnsi="Times New Roman" w:eastAsia="宋体" w:cs="Times New Roman"/>
                <w:color w:val="auto"/>
                <w:spacing w:val="0"/>
                <w:kern w:val="2"/>
                <w:position w:val="0"/>
                <w:sz w:val="24"/>
                <w:szCs w:val="24"/>
                <w:u w:val="none" w:color="auto"/>
                <w:lang w:val="en-US" w:eastAsia="zh-CN" w:bidi="ar-SA"/>
              </w:rPr>
              <w:t>根据生态环境部办公厅2020年12月24日印发的《建设项目环境影响报告表编制技术指南（污染影响类）（试行）》</w:t>
            </w:r>
            <w:r>
              <w:rPr>
                <w:rFonts w:hint="default" w:ascii="Times New Roman" w:hAnsi="Times New Roman" w:cs="Times New Roman"/>
                <w:b w:val="0"/>
                <w:bCs/>
                <w:color w:val="auto"/>
                <w:sz w:val="24"/>
                <w:szCs w:val="24"/>
                <w:highlight w:val="none"/>
                <w:lang w:val="en-US" w:eastAsia="zh-CN"/>
              </w:rPr>
              <w:t>，“产业园区外建设项目新增用地且用地范围内含有生态环境保护目标时，应进行生态现状调查”，本项目位于</w:t>
            </w:r>
            <w:r>
              <w:rPr>
                <w:rFonts w:hint="eastAsia" w:cs="Times New Roman"/>
                <w:b w:val="0"/>
                <w:bCs/>
                <w:color w:val="0000FF"/>
                <w:sz w:val="24"/>
                <w:szCs w:val="24"/>
                <w:highlight w:val="none"/>
                <w:lang w:val="en-US" w:eastAsia="zh-CN"/>
              </w:rPr>
              <w:t>内蒙古包头</w:t>
            </w:r>
            <w:r>
              <w:rPr>
                <w:rFonts w:hint="default" w:ascii="Times New Roman" w:hAnsi="Times New Roman" w:cs="Times New Roman"/>
                <w:b w:val="0"/>
                <w:bCs/>
                <w:color w:val="0000FF"/>
                <w:sz w:val="24"/>
                <w:szCs w:val="24"/>
                <w:highlight w:val="none"/>
                <w:lang w:val="en-US" w:eastAsia="zh-CN"/>
              </w:rPr>
              <w:t>九原工业园区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eastAsia="宋体" w:cs="Times New Roman"/>
                <w:color w:val="auto"/>
                <w:sz w:val="24"/>
                <w:szCs w:val="24"/>
                <w:highlight w:val="none"/>
                <w:vertAlign w:val="baseline"/>
                <w:lang w:val="en-US" w:eastAsia="zh-CN"/>
              </w:rPr>
              <w:t>，</w:t>
            </w:r>
            <w:r>
              <w:rPr>
                <w:rFonts w:hint="eastAsia" w:cs="Times New Roman"/>
                <w:color w:val="auto"/>
                <w:sz w:val="24"/>
                <w:szCs w:val="24"/>
                <w:highlight w:val="none"/>
                <w:vertAlign w:val="baseline"/>
                <w:lang w:val="en-US" w:eastAsia="zh-CN"/>
              </w:rPr>
              <w:t>为工业用地，</w:t>
            </w:r>
            <w:r>
              <w:rPr>
                <w:rFonts w:hint="default" w:ascii="Times New Roman" w:hAnsi="Times New Roman" w:eastAsia="宋体" w:cs="Times New Roman"/>
                <w:color w:val="auto"/>
                <w:sz w:val="24"/>
                <w:szCs w:val="24"/>
                <w:highlight w:val="none"/>
                <w:vertAlign w:val="baseline"/>
                <w:lang w:val="en-US" w:eastAsia="zh-CN"/>
              </w:rPr>
              <w:t>因此不开展生态环境现状调查。</w:t>
            </w:r>
          </w:p>
          <w:p w14:paraId="2448712C">
            <w:pPr>
              <w:pStyle w:val="77"/>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ascii="Times New Roman" w:hAnsi="Times New Roman" w:eastAsia="宋体" w:cs="Times New Roman"/>
                <w:b/>
                <w:bCs/>
                <w:color w:val="0000FF"/>
                <w:spacing w:val="0"/>
                <w:kern w:val="2"/>
                <w:position w:val="0"/>
                <w:sz w:val="24"/>
                <w:szCs w:val="24"/>
                <w:lang w:val="en-US" w:eastAsia="zh-CN" w:bidi="ar-SA"/>
              </w:rPr>
            </w:pPr>
            <w:r>
              <w:rPr>
                <w:rFonts w:hint="default" w:ascii="Times New Roman" w:hAnsi="Times New Roman" w:eastAsia="宋体" w:cs="Times New Roman"/>
                <w:b/>
                <w:bCs/>
                <w:color w:val="0000FF"/>
                <w:kern w:val="2"/>
                <w:sz w:val="24"/>
                <w:szCs w:val="24"/>
                <w:lang w:val="en-US" w:eastAsia="zh-CN" w:bidi="ar-SA"/>
              </w:rPr>
              <w:t>4、地下水环境现状</w:t>
            </w:r>
          </w:p>
          <w:p w14:paraId="0507D008">
            <w:pPr>
              <w:pStyle w:val="31"/>
              <w:keepNext w:val="0"/>
              <w:keepLines w:val="0"/>
              <w:pageBreakBefore w:val="0"/>
              <w:widowControl w:val="0"/>
              <w:tabs>
                <w:tab w:val="left" w:pos="540"/>
              </w:tabs>
              <w:kinsoku/>
              <w:wordWrap/>
              <w:overflowPunct/>
              <w:topLinePunct w:val="0"/>
              <w:bidi w:val="0"/>
              <w:adjustRightInd/>
              <w:snapToGrid/>
              <w:spacing w:after="0" w:line="360" w:lineRule="auto"/>
              <w:ind w:left="0" w:leftChars="0" w:firstLine="480" w:firstLineChars="200"/>
              <w:textAlignment w:val="auto"/>
              <w:rPr>
                <w:rFonts w:hint="default" w:ascii="Times New Roman" w:hAnsi="Times New Roman" w:eastAsia="宋体" w:cs="Times New Roman"/>
                <w:color w:val="0000FF"/>
                <w:spacing w:val="0"/>
                <w:kern w:val="2"/>
                <w:position w:val="0"/>
                <w:sz w:val="24"/>
                <w:szCs w:val="24"/>
                <w:u w:val="none" w:color="auto"/>
                <w:lang w:val="en-US" w:eastAsia="zh-CN" w:bidi="ar-SA"/>
              </w:rPr>
            </w:pPr>
            <w:r>
              <w:rPr>
                <w:rFonts w:hint="default" w:ascii="Times New Roman" w:hAnsi="Times New Roman" w:eastAsia="宋体" w:cs="Times New Roman"/>
                <w:color w:val="0000FF"/>
                <w:spacing w:val="0"/>
                <w:kern w:val="2"/>
                <w:position w:val="0"/>
                <w:sz w:val="24"/>
                <w:szCs w:val="24"/>
                <w:u w:val="none" w:color="auto"/>
                <w:lang w:val="en-US" w:eastAsia="zh-CN" w:bidi="ar-SA"/>
              </w:rPr>
              <w:t>根据《建设项目环境影响报告表编制技术指南（污染影响类）（试行）》，“地下水、土壤环境。原则上不开展环境质量现状调查。建设项目存在土壤、地下水环境污染途径的，应结合污染源、保护目标分布情况开展现状调查以留作背景值”</w:t>
            </w:r>
            <w:r>
              <w:rPr>
                <w:rFonts w:hint="default" w:ascii="Times New Roman" w:hAnsi="Times New Roman" w:cs="Times New Roman"/>
                <w:color w:val="0000FF"/>
                <w:spacing w:val="0"/>
                <w:kern w:val="2"/>
                <w:position w:val="0"/>
                <w:sz w:val="24"/>
                <w:szCs w:val="24"/>
                <w:u w:val="none" w:color="auto"/>
                <w:lang w:val="en-US" w:eastAsia="zh-CN" w:bidi="ar-SA"/>
              </w:rPr>
              <w:t>。</w:t>
            </w:r>
          </w:p>
          <w:p w14:paraId="1DD8D8E8">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rFonts w:hint="default" w:ascii="Times New Roman" w:hAnsi="Times New Roman" w:cs="Times New Roman"/>
                <w:color w:val="0000FF"/>
                <w:spacing w:val="0"/>
                <w:kern w:val="2"/>
                <w:position w:val="0"/>
                <w:sz w:val="24"/>
                <w:szCs w:val="24"/>
                <w:u w:val="none" w:color="auto"/>
                <w:lang w:val="en-US" w:eastAsia="zh-CN" w:bidi="ar-SA"/>
              </w:rPr>
            </w:pPr>
            <w:r>
              <w:rPr>
                <w:rFonts w:hint="default" w:ascii="Times New Roman" w:hAnsi="Times New Roman" w:eastAsia="宋体" w:cs="Times New Roman"/>
                <w:color w:val="0000FF"/>
                <w:spacing w:val="0"/>
                <w:kern w:val="2"/>
                <w:position w:val="0"/>
                <w:sz w:val="24"/>
                <w:szCs w:val="24"/>
                <w:u w:val="none" w:color="auto"/>
                <w:lang w:val="en-US" w:eastAsia="zh-CN" w:bidi="ar-SA"/>
              </w:rPr>
              <w:t>结合本项目工程分析</w:t>
            </w:r>
            <w:r>
              <w:rPr>
                <w:rFonts w:hint="default" w:ascii="Times New Roman" w:hAnsi="Times New Roman" w:cs="Times New Roman"/>
                <w:color w:val="0000FF"/>
                <w:spacing w:val="0"/>
                <w:kern w:val="2"/>
                <w:position w:val="0"/>
                <w:sz w:val="24"/>
                <w:szCs w:val="24"/>
                <w:u w:val="none" w:color="auto"/>
                <w:lang w:val="en-US" w:eastAsia="zh-CN" w:bidi="ar-SA"/>
              </w:rPr>
              <w:t>，</w:t>
            </w:r>
            <w:r>
              <w:rPr>
                <w:rFonts w:hint="default" w:ascii="Times New Roman" w:hAnsi="Times New Roman" w:eastAsia="宋体" w:cs="Times New Roman"/>
                <w:color w:val="0000FF"/>
                <w:spacing w:val="0"/>
                <w:kern w:val="2"/>
                <w:position w:val="0"/>
                <w:sz w:val="24"/>
                <w:szCs w:val="24"/>
                <w:u w:val="none" w:color="auto"/>
                <w:lang w:val="en-US" w:eastAsia="zh-CN" w:bidi="ar-SA"/>
              </w:rPr>
              <w:t>本项目厂内设置灌装站，采用</w:t>
            </w:r>
            <w:r>
              <w:rPr>
                <w:rFonts w:hint="default" w:ascii="Times New Roman" w:hAnsi="Times New Roman" w:cs="Times New Roman"/>
                <w:color w:val="0000FF"/>
                <w:spacing w:val="0"/>
                <w:kern w:val="2"/>
                <w:position w:val="0"/>
                <w:sz w:val="24"/>
                <w:szCs w:val="24"/>
                <w:u w:val="none" w:color="auto"/>
                <w:lang w:val="en-US" w:eastAsia="zh-CN" w:bidi="ar-SA"/>
              </w:rPr>
              <w:t>3</w:t>
            </w:r>
            <w:r>
              <w:rPr>
                <w:rFonts w:hint="default" w:ascii="Times New Roman" w:hAnsi="Times New Roman" w:eastAsia="宋体" w:cs="Times New Roman"/>
                <w:color w:val="0000FF"/>
                <w:spacing w:val="0"/>
                <w:kern w:val="2"/>
                <w:position w:val="0"/>
                <w:sz w:val="24"/>
                <w:szCs w:val="24"/>
                <w:u w:val="none" w:color="auto"/>
                <w:lang w:val="en-US" w:eastAsia="zh-CN" w:bidi="ar-SA"/>
              </w:rPr>
              <w:t>座50m</w:t>
            </w:r>
            <w:r>
              <w:rPr>
                <w:rFonts w:hint="default" w:ascii="Times New Roman" w:hAnsi="Times New Roman" w:eastAsia="宋体" w:cs="Times New Roman"/>
                <w:color w:val="0000FF"/>
                <w:spacing w:val="0"/>
                <w:kern w:val="2"/>
                <w:position w:val="0"/>
                <w:sz w:val="24"/>
                <w:szCs w:val="24"/>
                <w:u w:val="none" w:color="auto"/>
                <w:vertAlign w:val="superscript"/>
                <w:lang w:val="en-US" w:eastAsia="zh-CN" w:bidi="ar-SA"/>
              </w:rPr>
              <w:t>3</w:t>
            </w:r>
            <w:r>
              <w:rPr>
                <w:rFonts w:hint="default" w:ascii="Times New Roman" w:hAnsi="Times New Roman" w:eastAsia="宋体" w:cs="Times New Roman"/>
                <w:color w:val="0000FF"/>
                <w:spacing w:val="0"/>
                <w:kern w:val="2"/>
                <w:position w:val="0"/>
                <w:sz w:val="24"/>
                <w:szCs w:val="24"/>
                <w:u w:val="none" w:color="auto"/>
                <w:lang w:val="en-US" w:eastAsia="zh-CN" w:bidi="ar-SA"/>
              </w:rPr>
              <w:t>的地下</w:t>
            </w:r>
            <w:r>
              <w:rPr>
                <w:rFonts w:hint="default" w:ascii="Times New Roman" w:hAnsi="Times New Roman" w:cs="Times New Roman"/>
                <w:color w:val="0000FF"/>
                <w:spacing w:val="0"/>
                <w:kern w:val="2"/>
                <w:position w:val="0"/>
                <w:sz w:val="24"/>
                <w:szCs w:val="24"/>
                <w:u w:val="none" w:color="auto"/>
                <w:lang w:val="en-US" w:eastAsia="zh-CN" w:bidi="ar-SA"/>
              </w:rPr>
              <w:t>LPG</w:t>
            </w:r>
            <w:r>
              <w:rPr>
                <w:rFonts w:hint="default" w:ascii="Times New Roman" w:hAnsi="Times New Roman" w:eastAsia="宋体" w:cs="Times New Roman"/>
                <w:color w:val="0000FF"/>
                <w:spacing w:val="0"/>
                <w:kern w:val="2"/>
                <w:position w:val="0"/>
                <w:sz w:val="24"/>
                <w:szCs w:val="24"/>
                <w:u w:val="none" w:color="auto"/>
                <w:lang w:val="en-US" w:eastAsia="zh-CN" w:bidi="ar-SA"/>
              </w:rPr>
              <w:t>储罐</w:t>
            </w:r>
            <w:r>
              <w:rPr>
                <w:rFonts w:hint="eastAsia" w:ascii="Times New Roman" w:hAnsi="Times New Roman" w:cs="Times New Roman"/>
                <w:color w:val="0000FF"/>
                <w:spacing w:val="0"/>
                <w:kern w:val="2"/>
                <w:position w:val="0"/>
                <w:sz w:val="24"/>
                <w:szCs w:val="24"/>
                <w:u w:val="none" w:color="auto"/>
                <w:lang w:val="en-US" w:eastAsia="zh-CN" w:bidi="ar-SA"/>
              </w:rPr>
              <w:t>（2用1备）</w:t>
            </w:r>
            <w:r>
              <w:rPr>
                <w:rFonts w:hint="default" w:ascii="Times New Roman" w:hAnsi="Times New Roman" w:cs="Times New Roman"/>
                <w:color w:val="0000FF"/>
                <w:spacing w:val="0"/>
                <w:kern w:val="2"/>
                <w:position w:val="0"/>
                <w:sz w:val="24"/>
                <w:szCs w:val="24"/>
                <w:u w:val="none" w:color="auto"/>
                <w:lang w:val="en-US" w:eastAsia="zh-CN" w:bidi="ar-SA"/>
              </w:rPr>
              <w:t>、3</w:t>
            </w:r>
            <w:r>
              <w:rPr>
                <w:rFonts w:hint="default" w:ascii="Times New Roman" w:hAnsi="Times New Roman" w:eastAsia="宋体" w:cs="Times New Roman"/>
                <w:color w:val="0000FF"/>
                <w:spacing w:val="0"/>
                <w:kern w:val="2"/>
                <w:position w:val="0"/>
                <w:sz w:val="24"/>
                <w:szCs w:val="24"/>
                <w:u w:val="none" w:color="auto"/>
                <w:lang w:val="en-US" w:eastAsia="zh-CN" w:bidi="ar-SA"/>
              </w:rPr>
              <w:t>座50m</w:t>
            </w:r>
            <w:r>
              <w:rPr>
                <w:rFonts w:hint="default" w:ascii="Times New Roman" w:hAnsi="Times New Roman" w:eastAsia="宋体" w:cs="Times New Roman"/>
                <w:color w:val="0000FF"/>
                <w:spacing w:val="0"/>
                <w:kern w:val="2"/>
                <w:position w:val="0"/>
                <w:sz w:val="24"/>
                <w:szCs w:val="24"/>
                <w:u w:val="none" w:color="auto"/>
                <w:vertAlign w:val="superscript"/>
                <w:lang w:val="en-US" w:eastAsia="zh-CN" w:bidi="ar-SA"/>
              </w:rPr>
              <w:t>3</w:t>
            </w:r>
            <w:r>
              <w:rPr>
                <w:rFonts w:hint="default" w:ascii="Times New Roman" w:hAnsi="Times New Roman" w:eastAsia="宋体" w:cs="Times New Roman"/>
                <w:color w:val="0000FF"/>
                <w:spacing w:val="0"/>
                <w:kern w:val="2"/>
                <w:position w:val="0"/>
                <w:sz w:val="24"/>
                <w:szCs w:val="24"/>
                <w:u w:val="none" w:color="auto"/>
                <w:lang w:val="en-US" w:eastAsia="zh-CN" w:bidi="ar-SA"/>
              </w:rPr>
              <w:t>的地下</w:t>
            </w:r>
            <w:r>
              <w:rPr>
                <w:rFonts w:hint="default" w:ascii="Times New Roman" w:hAnsi="Times New Roman" w:cs="Times New Roman"/>
                <w:color w:val="0000FF"/>
                <w:spacing w:val="0"/>
                <w:kern w:val="2"/>
                <w:position w:val="0"/>
                <w:sz w:val="24"/>
                <w:szCs w:val="24"/>
                <w:u w:val="none" w:color="auto"/>
                <w:lang w:val="en-US" w:eastAsia="zh-CN" w:bidi="ar-SA"/>
              </w:rPr>
              <w:t>丙烷</w:t>
            </w:r>
            <w:r>
              <w:rPr>
                <w:rFonts w:hint="default" w:ascii="Times New Roman" w:hAnsi="Times New Roman" w:eastAsia="宋体" w:cs="Times New Roman"/>
                <w:color w:val="0000FF"/>
                <w:spacing w:val="0"/>
                <w:kern w:val="2"/>
                <w:position w:val="0"/>
                <w:sz w:val="24"/>
                <w:szCs w:val="24"/>
                <w:u w:val="none" w:color="auto"/>
                <w:lang w:val="en-US" w:eastAsia="zh-CN" w:bidi="ar-SA"/>
              </w:rPr>
              <w:t>储罐</w:t>
            </w:r>
            <w:r>
              <w:rPr>
                <w:rFonts w:hint="eastAsia" w:ascii="Times New Roman" w:hAnsi="Times New Roman" w:cs="Times New Roman"/>
                <w:color w:val="0000FF"/>
                <w:spacing w:val="0"/>
                <w:kern w:val="2"/>
                <w:position w:val="0"/>
                <w:sz w:val="24"/>
                <w:szCs w:val="24"/>
                <w:u w:val="none" w:color="auto"/>
                <w:lang w:val="en-US" w:eastAsia="zh-CN" w:bidi="ar-SA"/>
              </w:rPr>
              <w:t>（2用1备）</w:t>
            </w:r>
            <w:r>
              <w:rPr>
                <w:rFonts w:hint="default" w:ascii="Times New Roman" w:hAnsi="Times New Roman" w:eastAsia="宋体" w:cs="Times New Roman"/>
                <w:color w:val="0000FF"/>
                <w:spacing w:val="0"/>
                <w:kern w:val="2"/>
                <w:position w:val="0"/>
                <w:sz w:val="24"/>
                <w:szCs w:val="24"/>
                <w:u w:val="none" w:color="auto"/>
                <w:lang w:val="en-US" w:eastAsia="zh-CN" w:bidi="ar-SA"/>
              </w:rPr>
              <w:t>，</w:t>
            </w:r>
            <w:r>
              <w:rPr>
                <w:rFonts w:hint="default" w:ascii="Times New Roman" w:hAnsi="Times New Roman" w:cs="Times New Roman"/>
                <w:color w:val="0000FF"/>
                <w:spacing w:val="0"/>
                <w:kern w:val="2"/>
                <w:position w:val="0"/>
                <w:sz w:val="24"/>
                <w:szCs w:val="24"/>
                <w:u w:val="none" w:color="auto"/>
                <w:lang w:val="en-US" w:eastAsia="zh-CN" w:bidi="ar-SA"/>
              </w:rPr>
              <w:t>各类气体在储罐中以液态形式储存，发生储罐泄漏后，短期内全部气化以气态形式进入环境空气中，地下储罐区均设置围堰，并按照重点防渗区要求进行防渗处理，不会渗入</w:t>
            </w:r>
            <w:r>
              <w:rPr>
                <w:rFonts w:hint="default" w:ascii="Times New Roman" w:hAnsi="Times New Roman" w:eastAsia="宋体" w:cs="Times New Roman"/>
                <w:color w:val="0000FF"/>
                <w:spacing w:val="0"/>
                <w:kern w:val="2"/>
                <w:position w:val="0"/>
                <w:sz w:val="24"/>
                <w:szCs w:val="24"/>
                <w:u w:val="none" w:color="auto"/>
                <w:lang w:val="en-US" w:eastAsia="zh-CN" w:bidi="ar-SA"/>
              </w:rPr>
              <w:t>土壤、地下水环境</w:t>
            </w:r>
            <w:r>
              <w:rPr>
                <w:rFonts w:hint="default" w:ascii="Times New Roman" w:hAnsi="Times New Roman" w:cs="Times New Roman"/>
                <w:color w:val="0000FF"/>
                <w:spacing w:val="0"/>
                <w:kern w:val="2"/>
                <w:position w:val="0"/>
                <w:sz w:val="24"/>
                <w:szCs w:val="24"/>
                <w:u w:val="none" w:color="auto"/>
                <w:lang w:val="en-US" w:eastAsia="zh-CN" w:bidi="ar-SA"/>
              </w:rPr>
              <w:t>造成污染。本项目生产过程</w:t>
            </w:r>
            <w:r>
              <w:rPr>
                <w:rFonts w:hint="eastAsia" w:ascii="Times New Roman" w:hAnsi="Times New Roman" w:cs="Times New Roman"/>
                <w:color w:val="0000FF"/>
                <w:spacing w:val="0"/>
                <w:kern w:val="2"/>
                <w:position w:val="0"/>
                <w:sz w:val="24"/>
                <w:szCs w:val="24"/>
                <w:u w:val="none" w:color="auto"/>
                <w:lang w:val="en-US" w:eastAsia="zh-CN" w:bidi="ar-SA"/>
              </w:rPr>
              <w:t>无生产废水排放</w:t>
            </w:r>
            <w:r>
              <w:rPr>
                <w:rFonts w:hint="default" w:ascii="Times New Roman" w:hAnsi="Times New Roman" w:cs="Times New Roman"/>
                <w:color w:val="0000FF"/>
                <w:spacing w:val="0"/>
                <w:kern w:val="2"/>
                <w:position w:val="0"/>
                <w:sz w:val="24"/>
                <w:szCs w:val="24"/>
                <w:u w:val="none" w:color="auto"/>
                <w:lang w:val="en-US" w:eastAsia="zh-CN" w:bidi="ar-SA"/>
              </w:rPr>
              <w:t>、生活污水通过园区污水管网排至园区污水处理厂统一处理。固体废物暂存区域均进行地面防渗防腐处理，危废间为独立封闭结构，并设置导流渠、围堰以及收集池，满足防渗漏、防流失、放扬散要求，项目厂区内建设事故水池，满足项目初期雨水和事故水的收集要求，并按照重点防渗区要求进行防渗处理。</w:t>
            </w:r>
          </w:p>
          <w:p w14:paraId="41E0A6D6">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rFonts w:hint="default" w:ascii="Times New Roman" w:hAnsi="Times New Roman" w:cs="Times New Roman"/>
                <w:color w:val="0000FF"/>
                <w:spacing w:val="0"/>
                <w:kern w:val="2"/>
                <w:position w:val="0"/>
                <w:sz w:val="24"/>
                <w:szCs w:val="24"/>
                <w:u w:val="none" w:color="auto"/>
                <w:lang w:val="en-US" w:eastAsia="zh-CN" w:bidi="ar-SA"/>
              </w:rPr>
            </w:pPr>
            <w:r>
              <w:rPr>
                <w:rFonts w:hint="default" w:ascii="Times New Roman" w:hAnsi="Times New Roman" w:cs="Times New Roman"/>
                <w:color w:val="0000FF"/>
                <w:spacing w:val="0"/>
                <w:kern w:val="2"/>
                <w:position w:val="0"/>
                <w:sz w:val="24"/>
                <w:szCs w:val="24"/>
                <w:u w:val="none" w:color="auto"/>
                <w:lang w:val="en-US" w:eastAsia="zh-CN" w:bidi="ar-SA"/>
              </w:rPr>
              <w:t>因此，本项目</w:t>
            </w:r>
            <w:r>
              <w:rPr>
                <w:rFonts w:hint="eastAsia" w:ascii="Times New Roman" w:hAnsi="Times New Roman" w:cs="Times New Roman"/>
                <w:color w:val="0000FF"/>
                <w:spacing w:val="0"/>
                <w:kern w:val="2"/>
                <w:position w:val="0"/>
                <w:sz w:val="24"/>
                <w:szCs w:val="24"/>
                <w:u w:val="none" w:color="auto"/>
                <w:lang w:val="en-US" w:eastAsia="zh-CN" w:bidi="ar-SA"/>
              </w:rPr>
              <w:t>正常生产运行中</w:t>
            </w:r>
            <w:r>
              <w:rPr>
                <w:rFonts w:hint="default" w:ascii="Times New Roman" w:hAnsi="Times New Roman" w:cs="Times New Roman"/>
                <w:color w:val="0000FF"/>
                <w:spacing w:val="0"/>
                <w:kern w:val="2"/>
                <w:position w:val="0"/>
                <w:sz w:val="24"/>
                <w:szCs w:val="24"/>
                <w:u w:val="none" w:color="auto"/>
                <w:lang w:val="en-US" w:eastAsia="zh-CN" w:bidi="ar-SA"/>
              </w:rPr>
              <w:t>不存在</w:t>
            </w:r>
            <w:r>
              <w:rPr>
                <w:rFonts w:hint="default" w:ascii="Times New Roman" w:hAnsi="Times New Roman" w:eastAsia="宋体" w:cs="Times New Roman"/>
                <w:color w:val="0000FF"/>
                <w:spacing w:val="0"/>
                <w:kern w:val="2"/>
                <w:position w:val="0"/>
                <w:sz w:val="24"/>
                <w:szCs w:val="24"/>
                <w:u w:val="none" w:color="auto"/>
                <w:lang w:val="en-US" w:eastAsia="zh-CN" w:bidi="ar-SA"/>
              </w:rPr>
              <w:t>不存在土壤、地下水环境污染途径</w:t>
            </w:r>
            <w:r>
              <w:rPr>
                <w:rFonts w:hint="default" w:ascii="Times New Roman" w:hAnsi="Times New Roman" w:cs="Times New Roman"/>
                <w:color w:val="0000FF"/>
                <w:spacing w:val="0"/>
                <w:kern w:val="2"/>
                <w:position w:val="0"/>
                <w:sz w:val="24"/>
                <w:szCs w:val="24"/>
                <w:u w:val="none" w:color="auto"/>
                <w:lang w:val="en-US" w:eastAsia="zh-CN" w:bidi="ar-SA"/>
              </w:rPr>
              <w:t>。</w:t>
            </w:r>
          </w:p>
          <w:p w14:paraId="7A0607B7">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rFonts w:hint="default" w:ascii="Times New Roman" w:hAnsi="Times New Roman" w:cs="Times New Roman"/>
                <w:color w:val="0000FF"/>
                <w:sz w:val="24"/>
                <w:lang w:val="en-US" w:eastAsia="zh-CN"/>
              </w:rPr>
            </w:pPr>
            <w:r>
              <w:rPr>
                <w:rFonts w:hint="eastAsia"/>
                <w:color w:val="0000FF"/>
                <w:sz w:val="24"/>
                <w:lang w:val="en-US" w:eastAsia="zh-CN"/>
              </w:rPr>
              <w:t>本项目地下水环境特征因子为石油类，</w:t>
            </w:r>
            <w:r>
              <w:rPr>
                <w:color w:val="0000FF"/>
                <w:sz w:val="24"/>
              </w:rPr>
              <w:t>为了解项目区地下水环境质量</w:t>
            </w:r>
            <w:r>
              <w:rPr>
                <w:rFonts w:hint="eastAsia"/>
                <w:color w:val="0000FF"/>
                <w:sz w:val="24"/>
                <w:lang w:val="en-US" w:eastAsia="zh-CN"/>
              </w:rPr>
              <w:t>留作背景值</w:t>
            </w:r>
            <w:r>
              <w:rPr>
                <w:color w:val="0000FF"/>
                <w:sz w:val="24"/>
              </w:rPr>
              <w:t>，</w:t>
            </w:r>
            <w:r>
              <w:rPr>
                <w:rFonts w:hint="eastAsia"/>
                <w:color w:val="0000FF"/>
                <w:sz w:val="24"/>
                <w:lang w:val="en-US" w:eastAsia="zh-CN"/>
              </w:rPr>
              <w:t>本次评价收集《聚酯PEN材料单体煤基 2,6-萘二甲酸中试验证项目环境影响</w:t>
            </w:r>
            <w:r>
              <w:rPr>
                <w:rFonts w:hint="default" w:ascii="Times New Roman" w:hAnsi="Times New Roman" w:cs="Times New Roman"/>
                <w:color w:val="0000FF"/>
                <w:sz w:val="24"/>
                <w:lang w:val="en-US" w:eastAsia="zh-CN"/>
              </w:rPr>
              <w:t>报告书》中地下水环境监测数据。该项目位于</w:t>
            </w:r>
            <w:r>
              <w:rPr>
                <w:rFonts w:hint="default" w:ascii="Times New Roman" w:hAnsi="Times New Roman" w:eastAsia="宋体" w:cs="Times New Roman"/>
                <w:color w:val="0000FF"/>
                <w:kern w:val="0"/>
                <w:sz w:val="24"/>
                <w:szCs w:val="24"/>
                <w:shd w:val="clear" w:color="auto" w:fill="auto"/>
              </w:rPr>
              <w:t>内蒙古包头九原工业园区</w:t>
            </w:r>
            <w:r>
              <w:rPr>
                <w:rFonts w:hint="default" w:ascii="Times New Roman" w:hAnsi="Times New Roman"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cs="Times New Roman"/>
                <w:color w:val="0000FF"/>
                <w:sz w:val="24"/>
                <w:lang w:val="en-US" w:eastAsia="zh-CN"/>
              </w:rPr>
              <w:t>内，距本项目北侧约2.46km，本项目位于其地下水影响评价范围内，本次收集3个监测点的监测数据，分别位于本项目厂址地下水流向上游、下游及侧向，监测时间为2024年7月12日。</w:t>
            </w:r>
          </w:p>
          <w:p w14:paraId="471D9D62">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rFonts w:hint="default"/>
                <w:color w:val="0000FF"/>
                <w:sz w:val="24"/>
                <w:lang w:val="en-US" w:eastAsia="zh-CN"/>
              </w:rPr>
            </w:pPr>
            <w:r>
              <w:rPr>
                <w:rFonts w:hint="eastAsia"/>
                <w:color w:val="0000FF"/>
                <w:sz w:val="24"/>
                <w:lang w:val="en-US" w:eastAsia="zh-CN"/>
              </w:rPr>
              <w:t>（1）监测布点</w:t>
            </w:r>
          </w:p>
          <w:p w14:paraId="3C64B1B7">
            <w:pPr>
              <w:pStyle w:val="31"/>
              <w:spacing w:after="0"/>
              <w:ind w:left="0" w:leftChars="0" w:firstLine="0" w:firstLineChars="0"/>
              <w:jc w:val="center"/>
              <w:rPr>
                <w:rFonts w:hint="default" w:ascii="Times New Roman" w:hAnsi="Times New Roman" w:cs="Times New Roman"/>
                <w:b/>
                <w:bCs/>
                <w:color w:val="0000FF"/>
                <w:sz w:val="24"/>
              </w:rPr>
            </w:pPr>
            <w:r>
              <w:rPr>
                <w:rFonts w:hint="default" w:ascii="Times New Roman" w:hAnsi="Times New Roman" w:cs="Times New Roman"/>
                <w:b/>
                <w:bCs/>
                <w:color w:val="0000FF"/>
                <w:sz w:val="24"/>
              </w:rPr>
              <w:t>表3</w:t>
            </w:r>
            <w:r>
              <w:rPr>
                <w:rFonts w:hint="default" w:ascii="Times New Roman" w:hAnsi="Times New Roman" w:cs="Times New Roman"/>
                <w:b/>
                <w:bCs/>
                <w:color w:val="0000FF"/>
                <w:sz w:val="24"/>
                <w:lang w:val="en-US" w:eastAsia="zh-CN"/>
              </w:rPr>
              <w:t>.4-1</w:t>
            </w:r>
            <w:r>
              <w:rPr>
                <w:rFonts w:hint="default" w:ascii="Times New Roman" w:hAnsi="Times New Roman" w:cs="Times New Roman"/>
                <w:b/>
                <w:bCs/>
                <w:color w:val="0000FF"/>
                <w:sz w:val="24"/>
              </w:rPr>
              <w:t xml:space="preserve">  水质监测点分布表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28" w:type="dxa"/>
                <w:bottom w:w="0" w:type="dxa"/>
                <w:right w:w="28" w:type="dxa"/>
              </w:tblCellMar>
            </w:tblPr>
            <w:tblGrid>
              <w:gridCol w:w="301"/>
              <w:gridCol w:w="1544"/>
              <w:gridCol w:w="536"/>
              <w:gridCol w:w="912"/>
              <w:gridCol w:w="1006"/>
              <w:gridCol w:w="1032"/>
              <w:gridCol w:w="2639"/>
            </w:tblGrid>
            <w:tr w14:paraId="05DC3BF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963" w:hRule="atLeast"/>
                <w:jc w:val="center"/>
              </w:trPr>
              <w:tc>
                <w:tcPr>
                  <w:tcW w:w="189" w:type="pct"/>
                  <w:tcBorders>
                    <w:tl2br w:val="nil"/>
                    <w:tr2bl w:val="nil"/>
                  </w:tcBorders>
                  <w:vAlign w:val="center"/>
                </w:tcPr>
                <w:p w14:paraId="7E02939E">
                  <w:pPr>
                    <w:spacing w:line="360" w:lineRule="auto"/>
                    <w:jc w:val="center"/>
                    <w:rPr>
                      <w:color w:val="0000FF"/>
                      <w:szCs w:val="21"/>
                    </w:rPr>
                  </w:pPr>
                  <w:r>
                    <w:rPr>
                      <w:color w:val="0000FF"/>
                      <w:szCs w:val="21"/>
                    </w:rPr>
                    <w:t>序号</w:t>
                  </w:r>
                </w:p>
              </w:tc>
              <w:tc>
                <w:tcPr>
                  <w:tcW w:w="1304" w:type="pct"/>
                  <w:gridSpan w:val="2"/>
                  <w:tcBorders>
                    <w:tl2br w:val="nil"/>
                    <w:tr2bl w:val="nil"/>
                  </w:tcBorders>
                  <w:vAlign w:val="center"/>
                </w:tcPr>
                <w:p w14:paraId="43E601F2">
                  <w:pPr>
                    <w:pStyle w:val="40"/>
                    <w:bidi w:val="0"/>
                    <w:rPr>
                      <w:color w:val="0000FF"/>
                    </w:rPr>
                  </w:pPr>
                  <w:r>
                    <w:rPr>
                      <w:color w:val="0000FF"/>
                    </w:rPr>
                    <w:t>监测点名称</w:t>
                  </w:r>
                </w:p>
              </w:tc>
              <w:tc>
                <w:tcPr>
                  <w:tcW w:w="572" w:type="pct"/>
                  <w:tcBorders>
                    <w:tl2br w:val="nil"/>
                    <w:tr2bl w:val="nil"/>
                  </w:tcBorders>
                  <w:vAlign w:val="center"/>
                </w:tcPr>
                <w:p w14:paraId="69E569F8">
                  <w:pPr>
                    <w:pStyle w:val="40"/>
                    <w:bidi w:val="0"/>
                    <w:rPr>
                      <w:color w:val="0000FF"/>
                    </w:rPr>
                  </w:pPr>
                  <w:r>
                    <w:rPr>
                      <w:color w:val="0000FF"/>
                    </w:rPr>
                    <w:t>监测项目</w:t>
                  </w:r>
                </w:p>
              </w:tc>
              <w:tc>
                <w:tcPr>
                  <w:tcW w:w="631" w:type="pct"/>
                  <w:tcBorders>
                    <w:tl2br w:val="nil"/>
                    <w:tr2bl w:val="nil"/>
                  </w:tcBorders>
                  <w:vAlign w:val="center"/>
                </w:tcPr>
                <w:p w14:paraId="17B2E674">
                  <w:pPr>
                    <w:pStyle w:val="40"/>
                    <w:bidi w:val="0"/>
                    <w:rPr>
                      <w:rFonts w:hint="eastAsia"/>
                      <w:color w:val="0000FF"/>
                      <w:lang w:val="en-US" w:eastAsia="zh-CN"/>
                    </w:rPr>
                  </w:pPr>
                  <w:r>
                    <w:rPr>
                      <w:color w:val="0000FF"/>
                    </w:rPr>
                    <w:t>与</w:t>
                  </w:r>
                  <w:r>
                    <w:rPr>
                      <w:rFonts w:hint="eastAsia"/>
                      <w:color w:val="0000FF"/>
                      <w:lang w:val="en-US" w:eastAsia="zh-CN"/>
                    </w:rPr>
                    <w:t>本项目</w:t>
                  </w:r>
                </w:p>
                <w:p w14:paraId="211F2CC2">
                  <w:pPr>
                    <w:pStyle w:val="40"/>
                    <w:bidi w:val="0"/>
                    <w:rPr>
                      <w:color w:val="0000FF"/>
                    </w:rPr>
                  </w:pPr>
                  <w:r>
                    <w:rPr>
                      <w:color w:val="0000FF"/>
                    </w:rPr>
                    <w:t>的方位</w:t>
                  </w:r>
                </w:p>
              </w:tc>
              <w:tc>
                <w:tcPr>
                  <w:tcW w:w="647" w:type="pct"/>
                  <w:tcBorders>
                    <w:tl2br w:val="nil"/>
                    <w:tr2bl w:val="nil"/>
                  </w:tcBorders>
                  <w:vAlign w:val="center"/>
                </w:tcPr>
                <w:p w14:paraId="69CA68AB">
                  <w:pPr>
                    <w:pStyle w:val="40"/>
                    <w:bidi w:val="0"/>
                    <w:rPr>
                      <w:rFonts w:hint="eastAsia"/>
                      <w:color w:val="0000FF"/>
                      <w:lang w:val="en-US" w:eastAsia="zh-CN"/>
                    </w:rPr>
                  </w:pPr>
                  <w:r>
                    <w:rPr>
                      <w:rFonts w:hint="eastAsia"/>
                      <w:color w:val="0000FF"/>
                      <w:lang w:val="en-US" w:eastAsia="zh-CN"/>
                    </w:rPr>
                    <w:t>与本项目</w:t>
                  </w:r>
                </w:p>
                <w:p w14:paraId="1E8A2188">
                  <w:pPr>
                    <w:pStyle w:val="40"/>
                    <w:bidi w:val="0"/>
                    <w:rPr>
                      <w:rFonts w:hint="default"/>
                      <w:color w:val="0000FF"/>
                      <w:lang w:val="en-US" w:eastAsia="zh-CN"/>
                    </w:rPr>
                  </w:pPr>
                  <w:r>
                    <w:rPr>
                      <w:rFonts w:hint="eastAsia"/>
                      <w:color w:val="0000FF"/>
                      <w:lang w:val="en-US" w:eastAsia="zh-CN"/>
                    </w:rPr>
                    <w:t>水力关系</w:t>
                  </w:r>
                </w:p>
              </w:tc>
              <w:tc>
                <w:tcPr>
                  <w:tcW w:w="1654" w:type="pct"/>
                  <w:tcBorders>
                    <w:tl2br w:val="nil"/>
                    <w:tr2bl w:val="nil"/>
                  </w:tcBorders>
                  <w:vAlign w:val="center"/>
                </w:tcPr>
                <w:p w14:paraId="4404C3E7">
                  <w:pPr>
                    <w:pStyle w:val="40"/>
                    <w:bidi w:val="0"/>
                    <w:rPr>
                      <w:color w:val="0000FF"/>
                    </w:rPr>
                  </w:pPr>
                  <w:r>
                    <w:rPr>
                      <w:color w:val="0000FF"/>
                    </w:rPr>
                    <w:t>监测因子</w:t>
                  </w:r>
                </w:p>
              </w:tc>
            </w:tr>
            <w:tr w14:paraId="3936843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534" w:hRule="atLeast"/>
                <w:jc w:val="center"/>
              </w:trPr>
              <w:tc>
                <w:tcPr>
                  <w:tcW w:w="189" w:type="pct"/>
                  <w:tcBorders>
                    <w:tl2br w:val="nil"/>
                    <w:tr2bl w:val="nil"/>
                  </w:tcBorders>
                  <w:vAlign w:val="center"/>
                </w:tcPr>
                <w:p w14:paraId="6CF4BA9B">
                  <w:pPr>
                    <w:spacing w:line="360" w:lineRule="auto"/>
                    <w:jc w:val="center"/>
                    <w:rPr>
                      <w:rFonts w:hint="eastAsia" w:eastAsia="宋体"/>
                      <w:color w:val="0000FF"/>
                      <w:szCs w:val="21"/>
                      <w:lang w:eastAsia="zh-CN"/>
                    </w:rPr>
                  </w:pPr>
                  <w:r>
                    <w:rPr>
                      <w:rFonts w:hint="eastAsia"/>
                      <w:color w:val="0000FF"/>
                      <w:szCs w:val="21"/>
                      <w:lang w:val="en-US" w:eastAsia="zh-CN"/>
                    </w:rPr>
                    <w:t>1</w:t>
                  </w:r>
                </w:p>
              </w:tc>
              <w:tc>
                <w:tcPr>
                  <w:tcW w:w="968" w:type="pct"/>
                  <w:tcBorders>
                    <w:tl2br w:val="nil"/>
                    <w:tr2bl w:val="nil"/>
                  </w:tcBorders>
                  <w:vAlign w:val="center"/>
                </w:tcPr>
                <w:p w14:paraId="03A7CAA4">
                  <w:pPr>
                    <w:spacing w:line="360" w:lineRule="auto"/>
                    <w:jc w:val="center"/>
                    <w:rPr>
                      <w:rFonts w:hint="eastAsia"/>
                      <w:color w:val="0000FF"/>
                      <w:szCs w:val="21"/>
                      <w:lang w:val="en-US" w:eastAsia="zh-CN"/>
                    </w:rPr>
                  </w:pPr>
                  <w:r>
                    <w:rPr>
                      <w:rFonts w:hint="eastAsia"/>
                      <w:color w:val="0000FF"/>
                      <w:szCs w:val="21"/>
                      <w:lang w:val="en-US" w:eastAsia="zh-CN"/>
                    </w:rPr>
                    <w:t>聚乙烯装置区监测井</w:t>
                  </w:r>
                </w:p>
                <w:p w14:paraId="29DFF345">
                  <w:pPr>
                    <w:spacing w:line="360" w:lineRule="auto"/>
                    <w:jc w:val="center"/>
                    <w:rPr>
                      <w:rFonts w:hint="default"/>
                      <w:color w:val="0000FF"/>
                      <w:szCs w:val="21"/>
                      <w:lang w:val="en-US" w:eastAsia="zh-CN"/>
                    </w:rPr>
                  </w:pPr>
                  <w:r>
                    <w:rPr>
                      <w:rFonts w:hint="default"/>
                      <w:color w:val="0000FF"/>
                      <w:szCs w:val="21"/>
                      <w:lang w:val="en-US" w:eastAsia="zh-CN"/>
                    </w:rPr>
                    <w:t>E109°39'2.32"</w:t>
                  </w:r>
                </w:p>
                <w:p w14:paraId="4D098E7A">
                  <w:pPr>
                    <w:spacing w:line="360" w:lineRule="auto"/>
                    <w:jc w:val="center"/>
                    <w:rPr>
                      <w:rFonts w:hint="default"/>
                      <w:color w:val="0000FF"/>
                      <w:szCs w:val="21"/>
                      <w:lang w:val="en-US" w:eastAsia="zh-CN"/>
                    </w:rPr>
                  </w:pPr>
                  <w:r>
                    <w:rPr>
                      <w:rFonts w:hint="default"/>
                      <w:color w:val="0000FF"/>
                      <w:szCs w:val="21"/>
                      <w:lang w:val="en-US" w:eastAsia="zh-CN"/>
                    </w:rPr>
                    <w:t>N40°36'38.33"</w:t>
                  </w:r>
                </w:p>
              </w:tc>
              <w:tc>
                <w:tcPr>
                  <w:tcW w:w="336" w:type="pct"/>
                  <w:tcBorders>
                    <w:tl2br w:val="nil"/>
                    <w:tr2bl w:val="nil"/>
                  </w:tcBorders>
                  <w:vAlign w:val="center"/>
                </w:tcPr>
                <w:p w14:paraId="5715B2A5">
                  <w:pPr>
                    <w:spacing w:line="360" w:lineRule="auto"/>
                    <w:jc w:val="center"/>
                    <w:rPr>
                      <w:color w:val="0000FF"/>
                      <w:szCs w:val="21"/>
                    </w:rPr>
                  </w:pPr>
                  <w:r>
                    <w:rPr>
                      <w:color w:val="0000FF"/>
                      <w:szCs w:val="21"/>
                    </w:rPr>
                    <w:t>潜水</w:t>
                  </w:r>
                </w:p>
              </w:tc>
              <w:tc>
                <w:tcPr>
                  <w:tcW w:w="572" w:type="pct"/>
                  <w:tcBorders>
                    <w:tl2br w:val="nil"/>
                    <w:tr2bl w:val="nil"/>
                  </w:tcBorders>
                  <w:vAlign w:val="center"/>
                </w:tcPr>
                <w:p w14:paraId="76733F33">
                  <w:pPr>
                    <w:spacing w:line="360" w:lineRule="auto"/>
                    <w:jc w:val="center"/>
                    <w:rPr>
                      <w:color w:val="0000FF"/>
                      <w:szCs w:val="21"/>
                    </w:rPr>
                  </w:pPr>
                  <w:r>
                    <w:rPr>
                      <w:color w:val="0000FF"/>
                      <w:szCs w:val="21"/>
                    </w:rPr>
                    <w:t>水质</w:t>
                  </w:r>
                </w:p>
              </w:tc>
              <w:tc>
                <w:tcPr>
                  <w:tcW w:w="631" w:type="pct"/>
                  <w:tcBorders>
                    <w:tl2br w:val="nil"/>
                    <w:tr2bl w:val="nil"/>
                  </w:tcBorders>
                  <w:vAlign w:val="center"/>
                </w:tcPr>
                <w:p w14:paraId="3E4C90DF">
                  <w:pPr>
                    <w:spacing w:line="360" w:lineRule="auto"/>
                    <w:jc w:val="center"/>
                    <w:rPr>
                      <w:rFonts w:hint="eastAsia" w:eastAsia="宋体"/>
                      <w:color w:val="0000FF"/>
                      <w:szCs w:val="21"/>
                      <w:lang w:eastAsia="zh-CN"/>
                    </w:rPr>
                  </w:pPr>
                  <w:r>
                    <w:rPr>
                      <w:rFonts w:hint="eastAsia"/>
                      <w:color w:val="0000FF"/>
                      <w:szCs w:val="21"/>
                      <w:lang w:val="en-US" w:eastAsia="zh-CN"/>
                    </w:rPr>
                    <w:t>N</w:t>
                  </w:r>
                </w:p>
              </w:tc>
              <w:tc>
                <w:tcPr>
                  <w:tcW w:w="647" w:type="pct"/>
                  <w:tcBorders>
                    <w:tl2br w:val="nil"/>
                    <w:tr2bl w:val="nil"/>
                  </w:tcBorders>
                  <w:vAlign w:val="center"/>
                </w:tcPr>
                <w:p w14:paraId="08D6F2D4">
                  <w:pPr>
                    <w:spacing w:line="360" w:lineRule="auto"/>
                    <w:jc w:val="center"/>
                    <w:rPr>
                      <w:rFonts w:hint="default"/>
                      <w:color w:val="0000FF"/>
                      <w:szCs w:val="21"/>
                      <w:lang w:val="en-US" w:eastAsia="zh-CN"/>
                    </w:rPr>
                  </w:pPr>
                  <w:r>
                    <w:rPr>
                      <w:rFonts w:hint="eastAsia"/>
                      <w:color w:val="0000FF"/>
                      <w:szCs w:val="21"/>
                      <w:lang w:val="en-US" w:eastAsia="zh-CN"/>
                    </w:rPr>
                    <w:t>上游</w:t>
                  </w:r>
                </w:p>
              </w:tc>
              <w:tc>
                <w:tcPr>
                  <w:tcW w:w="1654" w:type="pct"/>
                  <w:vMerge w:val="restart"/>
                  <w:tcBorders>
                    <w:tl2br w:val="nil"/>
                    <w:tr2bl w:val="nil"/>
                  </w:tcBorders>
                  <w:vAlign w:val="center"/>
                </w:tcPr>
                <w:p w14:paraId="1A5E92E8">
                  <w:pPr>
                    <w:pStyle w:val="9"/>
                    <w:rPr>
                      <w:rFonts w:hint="default" w:eastAsia="宋体"/>
                      <w:color w:val="0000FF"/>
                      <w:sz w:val="21"/>
                      <w:szCs w:val="21"/>
                      <w:lang w:val="en-US" w:eastAsia="zh-CN"/>
                    </w:rPr>
                  </w:pPr>
                  <w:r>
                    <w:rPr>
                      <w:rFonts w:hint="eastAsia"/>
                      <w:color w:val="0000FF"/>
                      <w:sz w:val="21"/>
                      <w:szCs w:val="21"/>
                    </w:rPr>
                    <w:t>浑浊度、pH、溶解性总固体、K</w:t>
                  </w:r>
                  <w:r>
                    <w:rPr>
                      <w:rFonts w:hint="eastAsia"/>
                      <w:color w:val="0000FF"/>
                      <w:sz w:val="21"/>
                      <w:szCs w:val="21"/>
                      <w:vertAlign w:val="superscript"/>
                    </w:rPr>
                    <w:t>+</w:t>
                  </w:r>
                  <w:r>
                    <w:rPr>
                      <w:rFonts w:hint="eastAsia"/>
                      <w:color w:val="0000FF"/>
                      <w:sz w:val="21"/>
                      <w:szCs w:val="21"/>
                    </w:rPr>
                    <w:t>、Na</w:t>
                  </w:r>
                  <w:r>
                    <w:rPr>
                      <w:rFonts w:hint="eastAsia"/>
                      <w:color w:val="0000FF"/>
                      <w:sz w:val="21"/>
                      <w:szCs w:val="21"/>
                      <w:vertAlign w:val="superscript"/>
                    </w:rPr>
                    <w:t>+</w:t>
                  </w:r>
                  <w:r>
                    <w:rPr>
                      <w:rFonts w:hint="eastAsia"/>
                      <w:color w:val="0000FF"/>
                      <w:sz w:val="21"/>
                      <w:szCs w:val="21"/>
                    </w:rPr>
                    <w:t>、Ca</w:t>
                  </w:r>
                  <w:r>
                    <w:rPr>
                      <w:rFonts w:hint="eastAsia"/>
                      <w:color w:val="0000FF"/>
                      <w:sz w:val="21"/>
                      <w:szCs w:val="21"/>
                      <w:vertAlign w:val="superscript"/>
                      <w:lang w:val="en-US" w:eastAsia="zh-CN"/>
                    </w:rPr>
                    <w:t>2</w:t>
                  </w:r>
                  <w:r>
                    <w:rPr>
                      <w:rFonts w:hint="eastAsia"/>
                      <w:color w:val="0000FF"/>
                      <w:sz w:val="21"/>
                      <w:szCs w:val="21"/>
                      <w:vertAlign w:val="superscript"/>
                    </w:rPr>
                    <w:t>+</w:t>
                  </w:r>
                  <w:r>
                    <w:rPr>
                      <w:rFonts w:hint="eastAsia"/>
                      <w:color w:val="0000FF"/>
                      <w:sz w:val="21"/>
                      <w:szCs w:val="21"/>
                    </w:rPr>
                    <w:t>、Mg</w:t>
                  </w:r>
                  <w:r>
                    <w:rPr>
                      <w:rFonts w:hint="eastAsia"/>
                      <w:color w:val="0000FF"/>
                      <w:sz w:val="21"/>
                      <w:szCs w:val="21"/>
                      <w:vertAlign w:val="superscript"/>
                      <w:lang w:val="en-US" w:eastAsia="zh-CN"/>
                    </w:rPr>
                    <w:t>2</w:t>
                  </w:r>
                  <w:r>
                    <w:rPr>
                      <w:rFonts w:hint="eastAsia"/>
                      <w:color w:val="0000FF"/>
                      <w:sz w:val="21"/>
                      <w:szCs w:val="21"/>
                      <w:vertAlign w:val="superscript"/>
                    </w:rPr>
                    <w:t>+</w:t>
                  </w:r>
                  <w:r>
                    <w:rPr>
                      <w:rFonts w:hint="eastAsia"/>
                      <w:color w:val="0000FF"/>
                      <w:sz w:val="21"/>
                      <w:szCs w:val="21"/>
                    </w:rPr>
                    <w:t>、CO</w:t>
                  </w:r>
                  <w:r>
                    <w:rPr>
                      <w:rFonts w:hint="eastAsia"/>
                      <w:color w:val="0000FF"/>
                      <w:sz w:val="21"/>
                      <w:szCs w:val="21"/>
                      <w:vertAlign w:val="subscript"/>
                      <w:lang w:val="en-US" w:eastAsia="zh-CN"/>
                    </w:rPr>
                    <w:t>3</w:t>
                  </w:r>
                  <w:r>
                    <w:rPr>
                      <w:rFonts w:hint="eastAsia"/>
                      <w:color w:val="0000FF"/>
                      <w:sz w:val="21"/>
                      <w:szCs w:val="21"/>
                      <w:vertAlign w:val="superscript"/>
                      <w:lang w:val="en-US" w:eastAsia="zh-CN"/>
                    </w:rPr>
                    <w:t>2+</w:t>
                  </w:r>
                  <w:r>
                    <w:rPr>
                      <w:rFonts w:hint="eastAsia"/>
                      <w:color w:val="0000FF"/>
                      <w:sz w:val="21"/>
                      <w:szCs w:val="21"/>
                      <w:lang w:val="en-US" w:eastAsia="zh-CN"/>
                    </w:rPr>
                    <w:t>、</w:t>
                  </w:r>
                  <w:r>
                    <w:rPr>
                      <w:rFonts w:hint="eastAsia"/>
                      <w:color w:val="0000FF"/>
                      <w:sz w:val="21"/>
                      <w:szCs w:val="21"/>
                    </w:rPr>
                    <w:t>HCO</w:t>
                  </w:r>
                  <w:r>
                    <w:rPr>
                      <w:rFonts w:hint="eastAsia"/>
                      <w:color w:val="0000FF"/>
                      <w:sz w:val="21"/>
                      <w:szCs w:val="21"/>
                      <w:vertAlign w:val="subscript"/>
                      <w:lang w:val="en-US" w:eastAsia="zh-CN"/>
                    </w:rPr>
                    <w:t>3</w:t>
                  </w:r>
                  <w:r>
                    <w:rPr>
                      <w:rFonts w:hint="eastAsia"/>
                      <w:color w:val="0000FF"/>
                      <w:sz w:val="21"/>
                      <w:szCs w:val="21"/>
                      <w:vertAlign w:val="superscript"/>
                      <w:lang w:val="en-US" w:eastAsia="zh-CN"/>
                    </w:rPr>
                    <w:t>1+</w:t>
                  </w:r>
                  <w:r>
                    <w:rPr>
                      <w:rFonts w:hint="eastAsia"/>
                      <w:color w:val="0000FF"/>
                      <w:sz w:val="21"/>
                      <w:szCs w:val="21"/>
                    </w:rPr>
                    <w:t>、C1</w:t>
                  </w:r>
                  <w:r>
                    <w:rPr>
                      <w:rFonts w:hint="eastAsia"/>
                      <w:color w:val="0000FF"/>
                      <w:sz w:val="21"/>
                      <w:szCs w:val="21"/>
                      <w:vertAlign w:val="superscript"/>
                      <w:lang w:val="en-US" w:eastAsia="zh-CN"/>
                    </w:rPr>
                    <w:t>-</w:t>
                  </w:r>
                  <w:r>
                    <w:rPr>
                      <w:rFonts w:hint="eastAsia"/>
                      <w:color w:val="0000FF"/>
                      <w:sz w:val="21"/>
                      <w:szCs w:val="21"/>
                    </w:rPr>
                    <w:t>、SO</w:t>
                  </w:r>
                  <w:r>
                    <w:rPr>
                      <w:rFonts w:hint="eastAsia"/>
                      <w:color w:val="0000FF"/>
                      <w:sz w:val="21"/>
                      <w:szCs w:val="21"/>
                      <w:vertAlign w:val="subscript"/>
                    </w:rPr>
                    <w:t>4</w:t>
                  </w:r>
                  <w:r>
                    <w:rPr>
                      <w:rFonts w:hint="eastAsia"/>
                      <w:color w:val="0000FF"/>
                      <w:sz w:val="21"/>
                      <w:szCs w:val="21"/>
                      <w:vertAlign w:val="superscript"/>
                    </w:rPr>
                    <w:t>2-</w:t>
                  </w:r>
                  <w:r>
                    <w:rPr>
                      <w:rFonts w:hint="eastAsia"/>
                      <w:color w:val="0000FF"/>
                      <w:sz w:val="21"/>
                      <w:szCs w:val="21"/>
                      <w:lang w:eastAsia="zh-CN"/>
                    </w:rPr>
                    <w:t>、</w:t>
                  </w:r>
                  <w:r>
                    <w:rPr>
                      <w:rFonts w:hint="eastAsia"/>
                      <w:color w:val="0000FF"/>
                      <w:sz w:val="21"/>
                      <w:szCs w:val="21"/>
                    </w:rPr>
                    <w:t>氨氮、硝酸盐氮、亚硝酸盐氮、挥发性酚类、氰化物、砷、汞铬(六价)、总硬度铅、氟、镉、铁、锰铜、铝、锌、耗氧量硫化物、碘化物、硒</w:t>
                  </w:r>
                  <w:r>
                    <w:rPr>
                      <w:rFonts w:hint="eastAsia"/>
                      <w:color w:val="0000FF"/>
                      <w:sz w:val="21"/>
                      <w:szCs w:val="21"/>
                      <w:lang w:eastAsia="zh-CN"/>
                    </w:rPr>
                    <w:t>、</w:t>
                  </w:r>
                  <w:r>
                    <w:rPr>
                      <w:rFonts w:hint="eastAsia"/>
                      <w:color w:val="0000FF"/>
                      <w:sz w:val="21"/>
                      <w:szCs w:val="21"/>
                    </w:rPr>
                    <w:t>阴离子表面活性剂、总大肠菌群、细菌总数</w:t>
                  </w:r>
                  <w:r>
                    <w:rPr>
                      <w:rFonts w:hint="eastAsia"/>
                      <w:color w:val="0000FF"/>
                      <w:sz w:val="21"/>
                      <w:szCs w:val="21"/>
                      <w:lang w:eastAsia="zh-CN"/>
                    </w:rPr>
                    <w:t>、</w:t>
                  </w:r>
                  <w:r>
                    <w:rPr>
                      <w:rFonts w:hint="eastAsia"/>
                      <w:color w:val="0000FF"/>
                      <w:sz w:val="21"/>
                      <w:szCs w:val="21"/>
                      <w:lang w:val="en-US" w:eastAsia="zh-CN"/>
                    </w:rPr>
                    <w:t>石油类</w:t>
                  </w:r>
                </w:p>
              </w:tc>
            </w:tr>
            <w:tr w14:paraId="1E474A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534" w:hRule="atLeast"/>
                <w:jc w:val="center"/>
              </w:trPr>
              <w:tc>
                <w:tcPr>
                  <w:tcW w:w="189" w:type="pct"/>
                  <w:tcBorders>
                    <w:tl2br w:val="nil"/>
                    <w:tr2bl w:val="nil"/>
                  </w:tcBorders>
                  <w:vAlign w:val="center"/>
                </w:tcPr>
                <w:p w14:paraId="73B7C328">
                  <w:pPr>
                    <w:spacing w:line="360" w:lineRule="auto"/>
                    <w:jc w:val="center"/>
                    <w:rPr>
                      <w:rFonts w:hint="default"/>
                      <w:color w:val="0000FF"/>
                      <w:szCs w:val="21"/>
                      <w:lang w:val="en-US" w:eastAsia="zh-CN"/>
                    </w:rPr>
                  </w:pPr>
                  <w:r>
                    <w:rPr>
                      <w:rFonts w:hint="eastAsia"/>
                      <w:color w:val="0000FF"/>
                      <w:szCs w:val="21"/>
                      <w:lang w:val="en-US" w:eastAsia="zh-CN"/>
                    </w:rPr>
                    <w:t>2</w:t>
                  </w:r>
                </w:p>
              </w:tc>
              <w:tc>
                <w:tcPr>
                  <w:tcW w:w="968" w:type="pct"/>
                  <w:tcBorders>
                    <w:tl2br w:val="nil"/>
                    <w:tr2bl w:val="nil"/>
                  </w:tcBorders>
                  <w:vAlign w:val="center"/>
                </w:tcPr>
                <w:p w14:paraId="65F8E3F3">
                  <w:pPr>
                    <w:spacing w:line="360" w:lineRule="auto"/>
                    <w:jc w:val="center"/>
                    <w:rPr>
                      <w:rFonts w:hint="eastAsia"/>
                      <w:color w:val="0000FF"/>
                      <w:szCs w:val="21"/>
                      <w:lang w:val="en-US" w:eastAsia="zh-CN"/>
                    </w:rPr>
                  </w:pPr>
                  <w:r>
                    <w:rPr>
                      <w:rFonts w:hint="eastAsia"/>
                      <w:color w:val="0000FF"/>
                      <w:szCs w:val="21"/>
                      <w:lang w:val="en-US" w:eastAsia="zh-CN"/>
                    </w:rPr>
                    <w:t>花圪台村</w:t>
                  </w:r>
                </w:p>
                <w:p w14:paraId="578DABDC">
                  <w:pPr>
                    <w:spacing w:line="360" w:lineRule="auto"/>
                    <w:jc w:val="center"/>
                    <w:rPr>
                      <w:rFonts w:hint="default"/>
                      <w:color w:val="0000FF"/>
                      <w:szCs w:val="21"/>
                      <w:lang w:val="en-US" w:eastAsia="zh-CN"/>
                    </w:rPr>
                  </w:pPr>
                  <w:r>
                    <w:rPr>
                      <w:rFonts w:hint="default"/>
                      <w:color w:val="0000FF"/>
                      <w:szCs w:val="21"/>
                      <w:lang w:val="en-US" w:eastAsia="zh-CN"/>
                    </w:rPr>
                    <w:t>E109°39'41.12"</w:t>
                  </w:r>
                </w:p>
                <w:p w14:paraId="1648A500">
                  <w:pPr>
                    <w:spacing w:line="360" w:lineRule="auto"/>
                    <w:jc w:val="center"/>
                    <w:rPr>
                      <w:rFonts w:hint="default"/>
                      <w:color w:val="0000FF"/>
                      <w:szCs w:val="21"/>
                      <w:lang w:val="en-US" w:eastAsia="zh-CN"/>
                    </w:rPr>
                  </w:pPr>
                  <w:r>
                    <w:rPr>
                      <w:rFonts w:hint="default"/>
                      <w:color w:val="0000FF"/>
                      <w:szCs w:val="21"/>
                      <w:lang w:val="en-US" w:eastAsia="zh-CN"/>
                    </w:rPr>
                    <w:t>N40°34'10.03"</w:t>
                  </w:r>
                </w:p>
              </w:tc>
              <w:tc>
                <w:tcPr>
                  <w:tcW w:w="336" w:type="pct"/>
                  <w:tcBorders>
                    <w:tl2br w:val="nil"/>
                    <w:tr2bl w:val="nil"/>
                  </w:tcBorders>
                  <w:vAlign w:val="center"/>
                </w:tcPr>
                <w:p w14:paraId="67B788B3">
                  <w:pPr>
                    <w:spacing w:line="360" w:lineRule="auto"/>
                    <w:jc w:val="center"/>
                    <w:rPr>
                      <w:rFonts w:hint="default" w:eastAsia="宋体"/>
                      <w:color w:val="0000FF"/>
                      <w:szCs w:val="21"/>
                      <w:lang w:val="en-US" w:eastAsia="zh-CN"/>
                    </w:rPr>
                  </w:pPr>
                  <w:r>
                    <w:rPr>
                      <w:rFonts w:hint="eastAsia"/>
                      <w:color w:val="0000FF"/>
                      <w:szCs w:val="21"/>
                      <w:lang w:val="en-US" w:eastAsia="zh-CN"/>
                    </w:rPr>
                    <w:t>承压水</w:t>
                  </w:r>
                </w:p>
              </w:tc>
              <w:tc>
                <w:tcPr>
                  <w:tcW w:w="572" w:type="pct"/>
                  <w:tcBorders>
                    <w:tl2br w:val="nil"/>
                    <w:tr2bl w:val="nil"/>
                  </w:tcBorders>
                  <w:vAlign w:val="center"/>
                </w:tcPr>
                <w:p w14:paraId="748B8B12">
                  <w:pPr>
                    <w:spacing w:line="360" w:lineRule="auto"/>
                    <w:jc w:val="center"/>
                    <w:rPr>
                      <w:rFonts w:hint="eastAsia" w:eastAsia="宋体"/>
                      <w:color w:val="0000FF"/>
                      <w:szCs w:val="21"/>
                      <w:lang w:val="en-US" w:eastAsia="zh-CN"/>
                    </w:rPr>
                  </w:pPr>
                  <w:r>
                    <w:rPr>
                      <w:rFonts w:hint="eastAsia"/>
                      <w:color w:val="0000FF"/>
                      <w:szCs w:val="21"/>
                      <w:lang w:val="en-US" w:eastAsia="zh-CN"/>
                    </w:rPr>
                    <w:t>水质</w:t>
                  </w:r>
                </w:p>
              </w:tc>
              <w:tc>
                <w:tcPr>
                  <w:tcW w:w="631" w:type="pct"/>
                  <w:tcBorders>
                    <w:tl2br w:val="nil"/>
                    <w:tr2bl w:val="nil"/>
                  </w:tcBorders>
                  <w:vAlign w:val="center"/>
                </w:tcPr>
                <w:p w14:paraId="09CFBD17">
                  <w:pPr>
                    <w:spacing w:line="360" w:lineRule="auto"/>
                    <w:jc w:val="center"/>
                    <w:rPr>
                      <w:rFonts w:hint="default"/>
                      <w:color w:val="0000FF"/>
                      <w:szCs w:val="21"/>
                      <w:lang w:val="en-US" w:eastAsia="zh-CN"/>
                    </w:rPr>
                  </w:pPr>
                  <w:r>
                    <w:rPr>
                      <w:rFonts w:hint="eastAsia"/>
                      <w:color w:val="0000FF"/>
                      <w:szCs w:val="21"/>
                      <w:lang w:val="en-US" w:eastAsia="zh-CN"/>
                    </w:rPr>
                    <w:t>SE</w:t>
                  </w:r>
                </w:p>
              </w:tc>
              <w:tc>
                <w:tcPr>
                  <w:tcW w:w="647" w:type="pct"/>
                  <w:tcBorders>
                    <w:tl2br w:val="nil"/>
                    <w:tr2bl w:val="nil"/>
                  </w:tcBorders>
                  <w:vAlign w:val="center"/>
                </w:tcPr>
                <w:p w14:paraId="717151C2">
                  <w:pPr>
                    <w:spacing w:line="360" w:lineRule="auto"/>
                    <w:jc w:val="center"/>
                    <w:rPr>
                      <w:rFonts w:hint="default"/>
                      <w:color w:val="0000FF"/>
                      <w:szCs w:val="21"/>
                      <w:lang w:val="en-US" w:eastAsia="zh-CN"/>
                    </w:rPr>
                  </w:pPr>
                  <w:r>
                    <w:rPr>
                      <w:rFonts w:hint="eastAsia"/>
                      <w:color w:val="0000FF"/>
                      <w:szCs w:val="21"/>
                      <w:lang w:val="en-US" w:eastAsia="zh-CN"/>
                    </w:rPr>
                    <w:t>侧向</w:t>
                  </w:r>
                </w:p>
              </w:tc>
              <w:tc>
                <w:tcPr>
                  <w:tcW w:w="1654" w:type="pct"/>
                  <w:vMerge w:val="continue"/>
                  <w:tcBorders>
                    <w:tl2br w:val="nil"/>
                    <w:tr2bl w:val="nil"/>
                  </w:tcBorders>
                  <w:vAlign w:val="center"/>
                </w:tcPr>
                <w:p w14:paraId="2BE8142F">
                  <w:pPr>
                    <w:pStyle w:val="9"/>
                    <w:rPr>
                      <w:color w:val="0000FF"/>
                      <w:sz w:val="21"/>
                      <w:szCs w:val="21"/>
                    </w:rPr>
                  </w:pPr>
                </w:p>
              </w:tc>
            </w:tr>
            <w:tr w14:paraId="61A575B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trHeight w:val="2534" w:hRule="atLeast"/>
                <w:jc w:val="center"/>
              </w:trPr>
              <w:tc>
                <w:tcPr>
                  <w:tcW w:w="189" w:type="pct"/>
                  <w:tcBorders>
                    <w:tl2br w:val="nil"/>
                    <w:tr2bl w:val="nil"/>
                  </w:tcBorders>
                  <w:vAlign w:val="center"/>
                </w:tcPr>
                <w:p w14:paraId="48035BF4">
                  <w:pPr>
                    <w:spacing w:line="360" w:lineRule="auto"/>
                    <w:jc w:val="center"/>
                    <w:rPr>
                      <w:rFonts w:hint="default"/>
                      <w:color w:val="0000FF"/>
                      <w:szCs w:val="21"/>
                      <w:lang w:val="en-US" w:eastAsia="zh-CN"/>
                    </w:rPr>
                  </w:pPr>
                  <w:r>
                    <w:rPr>
                      <w:rFonts w:hint="eastAsia"/>
                      <w:color w:val="0000FF"/>
                      <w:szCs w:val="21"/>
                      <w:lang w:val="en-US" w:eastAsia="zh-CN"/>
                    </w:rPr>
                    <w:t>3</w:t>
                  </w:r>
                </w:p>
              </w:tc>
              <w:tc>
                <w:tcPr>
                  <w:tcW w:w="968" w:type="pct"/>
                  <w:tcBorders>
                    <w:tl2br w:val="nil"/>
                    <w:tr2bl w:val="nil"/>
                  </w:tcBorders>
                  <w:vAlign w:val="center"/>
                </w:tcPr>
                <w:p w14:paraId="7C377B7E">
                  <w:pPr>
                    <w:spacing w:line="360" w:lineRule="auto"/>
                    <w:jc w:val="center"/>
                    <w:rPr>
                      <w:rFonts w:hint="eastAsia"/>
                      <w:color w:val="0000FF"/>
                      <w:szCs w:val="21"/>
                      <w:lang w:val="en-US" w:eastAsia="zh-CN"/>
                    </w:rPr>
                  </w:pPr>
                  <w:r>
                    <w:rPr>
                      <w:rFonts w:hint="eastAsia"/>
                      <w:color w:val="0000FF"/>
                      <w:szCs w:val="21"/>
                      <w:lang w:val="en-US" w:eastAsia="zh-CN"/>
                    </w:rPr>
                    <w:t>索家圪旦村</w:t>
                  </w:r>
                </w:p>
                <w:p w14:paraId="1FFFA0D7">
                  <w:pPr>
                    <w:spacing w:line="360" w:lineRule="auto"/>
                    <w:jc w:val="center"/>
                    <w:rPr>
                      <w:rFonts w:hint="default"/>
                      <w:color w:val="0000FF"/>
                      <w:szCs w:val="21"/>
                      <w:lang w:val="en-US" w:eastAsia="zh-CN"/>
                    </w:rPr>
                  </w:pPr>
                  <w:r>
                    <w:rPr>
                      <w:rFonts w:hint="default"/>
                      <w:color w:val="0000FF"/>
                      <w:szCs w:val="21"/>
                      <w:lang w:val="en-US" w:eastAsia="zh-CN"/>
                    </w:rPr>
                    <w:t>E109°38'19.64"</w:t>
                  </w:r>
                </w:p>
                <w:p w14:paraId="37CFDC13">
                  <w:pPr>
                    <w:spacing w:line="360" w:lineRule="auto"/>
                    <w:jc w:val="center"/>
                    <w:rPr>
                      <w:rFonts w:hint="default"/>
                      <w:color w:val="0000FF"/>
                      <w:szCs w:val="21"/>
                      <w:lang w:val="en-US" w:eastAsia="zh-CN"/>
                    </w:rPr>
                  </w:pPr>
                  <w:r>
                    <w:rPr>
                      <w:rFonts w:hint="default"/>
                      <w:color w:val="0000FF"/>
                      <w:szCs w:val="21"/>
                      <w:lang w:val="en-US" w:eastAsia="zh-CN"/>
                    </w:rPr>
                    <w:t>N40°33'51.96"</w:t>
                  </w:r>
                </w:p>
              </w:tc>
              <w:tc>
                <w:tcPr>
                  <w:tcW w:w="336" w:type="pct"/>
                  <w:tcBorders>
                    <w:tl2br w:val="nil"/>
                    <w:tr2bl w:val="nil"/>
                  </w:tcBorders>
                  <w:vAlign w:val="center"/>
                </w:tcPr>
                <w:p w14:paraId="47B61446">
                  <w:pPr>
                    <w:spacing w:line="360" w:lineRule="auto"/>
                    <w:jc w:val="center"/>
                    <w:rPr>
                      <w:rFonts w:hint="default"/>
                      <w:color w:val="0000FF"/>
                      <w:szCs w:val="21"/>
                      <w:lang w:val="en-US" w:eastAsia="zh-CN"/>
                    </w:rPr>
                  </w:pPr>
                  <w:r>
                    <w:rPr>
                      <w:rFonts w:hint="eastAsia"/>
                      <w:color w:val="0000FF"/>
                      <w:szCs w:val="21"/>
                      <w:lang w:val="en-US" w:eastAsia="zh-CN"/>
                    </w:rPr>
                    <w:t>承压水</w:t>
                  </w:r>
                </w:p>
              </w:tc>
              <w:tc>
                <w:tcPr>
                  <w:tcW w:w="572" w:type="pct"/>
                  <w:tcBorders>
                    <w:tl2br w:val="nil"/>
                    <w:tr2bl w:val="nil"/>
                  </w:tcBorders>
                  <w:vAlign w:val="center"/>
                </w:tcPr>
                <w:p w14:paraId="39ADE3D0">
                  <w:pPr>
                    <w:spacing w:line="360" w:lineRule="auto"/>
                    <w:jc w:val="center"/>
                    <w:rPr>
                      <w:rFonts w:hint="default"/>
                      <w:color w:val="0000FF"/>
                      <w:szCs w:val="21"/>
                      <w:lang w:val="en-US" w:eastAsia="zh-CN"/>
                    </w:rPr>
                  </w:pPr>
                  <w:r>
                    <w:rPr>
                      <w:rFonts w:hint="eastAsia"/>
                      <w:color w:val="0000FF"/>
                      <w:szCs w:val="21"/>
                      <w:lang w:val="en-US" w:eastAsia="zh-CN"/>
                    </w:rPr>
                    <w:t>水质</w:t>
                  </w:r>
                </w:p>
              </w:tc>
              <w:tc>
                <w:tcPr>
                  <w:tcW w:w="631" w:type="pct"/>
                  <w:tcBorders>
                    <w:tl2br w:val="nil"/>
                    <w:tr2bl w:val="nil"/>
                  </w:tcBorders>
                  <w:vAlign w:val="center"/>
                </w:tcPr>
                <w:p w14:paraId="7C6AC3AC">
                  <w:pPr>
                    <w:spacing w:line="360" w:lineRule="auto"/>
                    <w:jc w:val="center"/>
                    <w:rPr>
                      <w:rFonts w:hint="default"/>
                      <w:color w:val="0000FF"/>
                      <w:szCs w:val="21"/>
                      <w:lang w:val="en-US" w:eastAsia="zh-CN"/>
                    </w:rPr>
                  </w:pPr>
                  <w:r>
                    <w:rPr>
                      <w:rFonts w:hint="eastAsia"/>
                      <w:color w:val="0000FF"/>
                      <w:szCs w:val="21"/>
                      <w:lang w:val="en-US" w:eastAsia="zh-CN"/>
                    </w:rPr>
                    <w:t>SW</w:t>
                  </w:r>
                </w:p>
              </w:tc>
              <w:tc>
                <w:tcPr>
                  <w:tcW w:w="647" w:type="pct"/>
                  <w:tcBorders>
                    <w:tl2br w:val="nil"/>
                    <w:tr2bl w:val="nil"/>
                  </w:tcBorders>
                  <w:vAlign w:val="center"/>
                </w:tcPr>
                <w:p w14:paraId="3567F976">
                  <w:pPr>
                    <w:spacing w:line="360" w:lineRule="auto"/>
                    <w:jc w:val="center"/>
                    <w:rPr>
                      <w:rFonts w:hint="default"/>
                      <w:color w:val="0000FF"/>
                      <w:szCs w:val="21"/>
                      <w:lang w:val="en-US" w:eastAsia="zh-CN"/>
                    </w:rPr>
                  </w:pPr>
                  <w:r>
                    <w:rPr>
                      <w:rFonts w:hint="eastAsia"/>
                      <w:color w:val="0000FF"/>
                      <w:szCs w:val="21"/>
                      <w:lang w:val="en-US" w:eastAsia="zh-CN"/>
                    </w:rPr>
                    <w:t>下游</w:t>
                  </w:r>
                </w:p>
              </w:tc>
              <w:tc>
                <w:tcPr>
                  <w:tcW w:w="1654" w:type="pct"/>
                  <w:vMerge w:val="continue"/>
                  <w:tcBorders>
                    <w:tl2br w:val="nil"/>
                    <w:tr2bl w:val="nil"/>
                  </w:tcBorders>
                  <w:vAlign w:val="center"/>
                </w:tcPr>
                <w:p w14:paraId="045BE984">
                  <w:pPr>
                    <w:pStyle w:val="9"/>
                    <w:rPr>
                      <w:color w:val="0000FF"/>
                      <w:sz w:val="21"/>
                      <w:szCs w:val="21"/>
                    </w:rPr>
                  </w:pPr>
                </w:p>
              </w:tc>
            </w:tr>
          </w:tbl>
          <w:p w14:paraId="3226BF2F">
            <w:pPr>
              <w:pStyle w:val="58"/>
              <w:keepNext w:val="0"/>
              <w:keepLines w:val="0"/>
              <w:pageBreakBefore w:val="0"/>
              <w:widowControl w:val="0"/>
              <w:kinsoku/>
              <w:wordWrap/>
              <w:overflowPunct/>
              <w:topLinePunct w:val="0"/>
              <w:autoSpaceDE/>
              <w:autoSpaceDN/>
              <w:bidi w:val="0"/>
              <w:adjustRightInd/>
              <w:snapToGrid w:val="0"/>
              <w:spacing w:line="360" w:lineRule="auto"/>
              <w:ind w:left="0" w:leftChars="0" w:firstLine="0" w:firstLineChars="0"/>
              <w:jc w:val="both"/>
              <w:textAlignment w:val="center"/>
              <w:rPr>
                <w:rFonts w:hint="eastAsia" w:eastAsia="宋体"/>
                <w:color w:val="0000FF"/>
                <w:sz w:val="24"/>
                <w:lang w:eastAsia="zh-CN"/>
              </w:rPr>
            </w:pPr>
            <w:r>
              <w:rPr>
                <w:rFonts w:hint="eastAsia" w:eastAsia="宋体"/>
                <w:color w:val="0000FF"/>
                <w:sz w:val="24"/>
                <w:lang w:eastAsia="zh-CN"/>
              </w:rPr>
              <w:drawing>
                <wp:inline distT="0" distB="0" distL="114300" distR="114300">
                  <wp:extent cx="5059045" cy="3576955"/>
                  <wp:effectExtent l="0" t="0" r="8255" b="4445"/>
                  <wp:docPr id="6" name="图片 6" descr="地下水监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地下水监测布点图"/>
                          <pic:cNvPicPr>
                            <a:picLocks noChangeAspect="1"/>
                          </pic:cNvPicPr>
                        </pic:nvPicPr>
                        <pic:blipFill>
                          <a:blip r:embed="rId42"/>
                          <a:stretch>
                            <a:fillRect/>
                          </a:stretch>
                        </pic:blipFill>
                        <pic:spPr>
                          <a:xfrm>
                            <a:off x="0" y="0"/>
                            <a:ext cx="5059045" cy="3576955"/>
                          </a:xfrm>
                          <a:prstGeom prst="rect">
                            <a:avLst/>
                          </a:prstGeom>
                        </pic:spPr>
                      </pic:pic>
                    </a:graphicData>
                  </a:graphic>
                </wp:inline>
              </w:drawing>
            </w:r>
          </w:p>
          <w:p w14:paraId="1F8B341E">
            <w:pPr>
              <w:pStyle w:val="58"/>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center"/>
              <w:textAlignment w:val="center"/>
              <w:rPr>
                <w:rFonts w:hint="default" w:ascii="Times New Roman" w:hAnsi="Times New Roman" w:cs="Times New Roman"/>
                <w:b/>
                <w:bCs/>
                <w:color w:val="0000FF"/>
                <w:sz w:val="24"/>
                <w:lang w:val="en-US" w:eastAsia="zh-CN"/>
              </w:rPr>
            </w:pPr>
            <w:r>
              <w:rPr>
                <w:rFonts w:hint="default" w:ascii="Times New Roman" w:hAnsi="Times New Roman" w:cs="Times New Roman"/>
                <w:b/>
                <w:bCs/>
                <w:color w:val="0000FF"/>
                <w:sz w:val="24"/>
                <w:lang w:val="en-US" w:eastAsia="zh-CN"/>
              </w:rPr>
              <w:t>图3.4-1    地下水环境质量现状监测布点图</w:t>
            </w:r>
          </w:p>
          <w:p w14:paraId="7BCBD0F5">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rFonts w:hint="eastAsia"/>
                <w:color w:val="0000FF"/>
                <w:sz w:val="24"/>
                <w:lang w:val="en-US" w:eastAsia="zh-CN"/>
              </w:rPr>
            </w:pPr>
            <w:r>
              <w:rPr>
                <w:rFonts w:hint="eastAsia"/>
                <w:color w:val="0000FF"/>
                <w:sz w:val="24"/>
                <w:lang w:eastAsia="zh-CN"/>
              </w:rPr>
              <w:t>（</w:t>
            </w:r>
            <w:r>
              <w:rPr>
                <w:rFonts w:hint="eastAsia"/>
                <w:color w:val="0000FF"/>
                <w:sz w:val="24"/>
                <w:lang w:val="en-US" w:eastAsia="zh-CN"/>
              </w:rPr>
              <w:t>2</w:t>
            </w:r>
            <w:r>
              <w:rPr>
                <w:rFonts w:hint="eastAsia"/>
                <w:color w:val="0000FF"/>
                <w:sz w:val="24"/>
                <w:lang w:eastAsia="zh-CN"/>
              </w:rPr>
              <w:t>）</w:t>
            </w:r>
            <w:r>
              <w:rPr>
                <w:rFonts w:hint="eastAsia"/>
                <w:color w:val="0000FF"/>
                <w:sz w:val="24"/>
                <w:lang w:val="en-US" w:eastAsia="zh-CN"/>
              </w:rPr>
              <w:t>监测结果</w:t>
            </w:r>
          </w:p>
          <w:p w14:paraId="1D6EF892">
            <w:pPr>
              <w:pStyle w:val="31"/>
              <w:spacing w:after="0"/>
              <w:ind w:left="0" w:leftChars="0" w:firstLine="0" w:firstLineChars="0"/>
              <w:jc w:val="center"/>
              <w:rPr>
                <w:rFonts w:hint="default" w:ascii="Times New Roman" w:hAnsi="Times New Roman" w:eastAsia="宋体" w:cs="Times New Roman"/>
                <w:b/>
                <w:bCs/>
                <w:color w:val="0000FF"/>
                <w:sz w:val="24"/>
                <w:lang w:val="en-US" w:eastAsia="zh-CN"/>
              </w:rPr>
            </w:pPr>
            <w:r>
              <w:rPr>
                <w:rFonts w:hint="default" w:ascii="Times New Roman" w:hAnsi="Times New Roman" w:cs="Times New Roman"/>
                <w:b/>
                <w:bCs/>
                <w:color w:val="0000FF"/>
                <w:sz w:val="24"/>
              </w:rPr>
              <w:t>表3</w:t>
            </w:r>
            <w:r>
              <w:rPr>
                <w:rFonts w:hint="default" w:ascii="Times New Roman" w:hAnsi="Times New Roman" w:cs="Times New Roman"/>
                <w:b/>
                <w:bCs/>
                <w:color w:val="0000FF"/>
                <w:sz w:val="24"/>
                <w:lang w:val="en-US" w:eastAsia="zh-CN"/>
              </w:rPr>
              <w:t>.4-</w:t>
            </w:r>
            <w:r>
              <w:rPr>
                <w:rFonts w:hint="eastAsia" w:ascii="Times New Roman" w:hAnsi="Times New Roman" w:cs="Times New Roman"/>
                <w:b/>
                <w:bCs/>
                <w:color w:val="0000FF"/>
                <w:sz w:val="24"/>
                <w:lang w:val="en-US" w:eastAsia="zh-CN"/>
              </w:rPr>
              <w:t>2</w:t>
            </w:r>
            <w:r>
              <w:rPr>
                <w:rFonts w:hint="default" w:ascii="Times New Roman" w:hAnsi="Times New Roman" w:cs="Times New Roman"/>
                <w:b/>
                <w:bCs/>
                <w:color w:val="0000FF"/>
                <w:sz w:val="24"/>
              </w:rPr>
              <w:t xml:space="preserve"> </w:t>
            </w:r>
            <w:r>
              <w:rPr>
                <w:rFonts w:hint="eastAsia" w:ascii="Times New Roman" w:hAnsi="Times New Roman" w:cs="Times New Roman"/>
                <w:b/>
                <w:bCs/>
                <w:color w:val="0000FF"/>
                <w:sz w:val="24"/>
                <w:lang w:val="en-US" w:eastAsia="zh-CN"/>
              </w:rPr>
              <w:t xml:space="preserve">  </w:t>
            </w:r>
            <w:r>
              <w:rPr>
                <w:rFonts w:hint="default" w:ascii="Times New Roman" w:hAnsi="Times New Roman" w:cs="Times New Roman"/>
                <w:b/>
                <w:bCs/>
                <w:color w:val="0000FF"/>
                <w:sz w:val="24"/>
              </w:rPr>
              <w:t xml:space="preserve"> </w:t>
            </w:r>
            <w:r>
              <w:rPr>
                <w:rFonts w:hint="eastAsia" w:ascii="Times New Roman" w:hAnsi="Times New Roman" w:cs="Times New Roman"/>
                <w:b/>
                <w:bCs/>
                <w:color w:val="0000FF"/>
                <w:sz w:val="24"/>
                <w:lang w:val="en-US" w:eastAsia="zh-CN"/>
              </w:rPr>
              <w:t>地下水监测结果</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29"/>
              <w:gridCol w:w="1326"/>
              <w:gridCol w:w="1154"/>
              <w:gridCol w:w="983"/>
              <w:gridCol w:w="985"/>
              <w:gridCol w:w="990"/>
            </w:tblGrid>
            <w:tr w14:paraId="3D5D9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Merge w:val="restart"/>
                  <w:vAlign w:val="center"/>
                </w:tcPr>
                <w:p w14:paraId="5D932BC2">
                  <w:pPr>
                    <w:pStyle w:val="40"/>
                    <w:bidi w:val="0"/>
                    <w:jc w:val="center"/>
                    <w:rPr>
                      <w:rFonts w:hint="default"/>
                      <w:color w:val="0000FF"/>
                      <w:lang w:val="en-US" w:eastAsia="zh-CN"/>
                    </w:rPr>
                  </w:pPr>
                  <w:r>
                    <w:rPr>
                      <w:rFonts w:hint="eastAsia"/>
                      <w:color w:val="0000FF"/>
                      <w:lang w:val="en-US" w:eastAsia="zh-CN"/>
                    </w:rPr>
                    <w:t>监测因子</w:t>
                  </w:r>
                </w:p>
              </w:tc>
              <w:tc>
                <w:tcPr>
                  <w:tcW w:w="832" w:type="pct"/>
                  <w:vMerge w:val="restart"/>
                  <w:vAlign w:val="center"/>
                </w:tcPr>
                <w:p w14:paraId="2A88E145">
                  <w:pPr>
                    <w:pStyle w:val="40"/>
                    <w:bidi w:val="0"/>
                    <w:jc w:val="center"/>
                    <w:rPr>
                      <w:rFonts w:hint="default"/>
                      <w:color w:val="0000FF"/>
                      <w:lang w:val="en-US" w:eastAsia="zh-CN"/>
                    </w:rPr>
                  </w:pPr>
                  <w:r>
                    <w:rPr>
                      <w:rFonts w:hint="eastAsia"/>
                      <w:color w:val="0000FF"/>
                      <w:lang w:val="en-US" w:eastAsia="zh-CN"/>
                    </w:rPr>
                    <w:t>标准限值</w:t>
                  </w:r>
                </w:p>
              </w:tc>
              <w:tc>
                <w:tcPr>
                  <w:tcW w:w="724" w:type="pct"/>
                  <w:vMerge w:val="restart"/>
                  <w:vAlign w:val="center"/>
                </w:tcPr>
                <w:p w14:paraId="2B0A310E">
                  <w:pPr>
                    <w:pStyle w:val="40"/>
                    <w:bidi w:val="0"/>
                    <w:jc w:val="center"/>
                    <w:rPr>
                      <w:rFonts w:hint="eastAsia"/>
                      <w:color w:val="0000FF"/>
                      <w:lang w:val="en-US" w:eastAsia="zh-CN"/>
                    </w:rPr>
                  </w:pPr>
                  <w:r>
                    <w:rPr>
                      <w:rFonts w:hint="eastAsia"/>
                      <w:color w:val="0000FF"/>
                      <w:lang w:val="en-US" w:eastAsia="zh-CN"/>
                    </w:rPr>
                    <w:t>单位</w:t>
                  </w:r>
                </w:p>
              </w:tc>
              <w:tc>
                <w:tcPr>
                  <w:tcW w:w="1856" w:type="pct"/>
                  <w:gridSpan w:val="3"/>
                  <w:vAlign w:val="center"/>
                </w:tcPr>
                <w:p w14:paraId="22D455B6">
                  <w:pPr>
                    <w:pStyle w:val="40"/>
                    <w:bidi w:val="0"/>
                    <w:jc w:val="center"/>
                    <w:rPr>
                      <w:rFonts w:hint="eastAsia"/>
                      <w:color w:val="0000FF"/>
                      <w:lang w:val="en-US" w:eastAsia="zh-CN"/>
                    </w:rPr>
                  </w:pPr>
                  <w:r>
                    <w:rPr>
                      <w:rFonts w:hint="eastAsia"/>
                      <w:color w:val="0000FF"/>
                      <w:lang w:val="en-US" w:eastAsia="zh-CN"/>
                    </w:rPr>
                    <w:t>监测点监测结果</w:t>
                  </w:r>
                </w:p>
              </w:tc>
            </w:tr>
            <w:tr w14:paraId="37685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Merge w:val="continue"/>
                  <w:vAlign w:val="center"/>
                </w:tcPr>
                <w:p w14:paraId="36E05829">
                  <w:pPr>
                    <w:pStyle w:val="40"/>
                    <w:bidi w:val="0"/>
                    <w:jc w:val="center"/>
                    <w:rPr>
                      <w:color w:val="0000FF"/>
                    </w:rPr>
                  </w:pPr>
                </w:p>
              </w:tc>
              <w:tc>
                <w:tcPr>
                  <w:tcW w:w="832" w:type="pct"/>
                  <w:vMerge w:val="continue"/>
                  <w:vAlign w:val="center"/>
                </w:tcPr>
                <w:p w14:paraId="1ECBB4B3">
                  <w:pPr>
                    <w:pStyle w:val="40"/>
                    <w:bidi w:val="0"/>
                    <w:jc w:val="center"/>
                    <w:rPr>
                      <w:color w:val="0000FF"/>
                    </w:rPr>
                  </w:pPr>
                </w:p>
              </w:tc>
              <w:tc>
                <w:tcPr>
                  <w:tcW w:w="724" w:type="pct"/>
                  <w:vMerge w:val="continue"/>
                  <w:vAlign w:val="center"/>
                </w:tcPr>
                <w:p w14:paraId="5A0C79D5">
                  <w:pPr>
                    <w:pStyle w:val="40"/>
                    <w:bidi w:val="0"/>
                    <w:jc w:val="center"/>
                    <w:rPr>
                      <w:color w:val="0000FF"/>
                    </w:rPr>
                  </w:pPr>
                </w:p>
              </w:tc>
              <w:tc>
                <w:tcPr>
                  <w:tcW w:w="617" w:type="pct"/>
                  <w:vAlign w:val="center"/>
                </w:tcPr>
                <w:p w14:paraId="3E922E31">
                  <w:pPr>
                    <w:pStyle w:val="40"/>
                    <w:bidi w:val="0"/>
                    <w:jc w:val="center"/>
                    <w:rPr>
                      <w:rFonts w:hint="default"/>
                      <w:color w:val="0000FF"/>
                      <w:lang w:val="en-US" w:eastAsia="zh-CN"/>
                    </w:rPr>
                  </w:pPr>
                  <w:r>
                    <w:rPr>
                      <w:rFonts w:hint="eastAsia"/>
                      <w:color w:val="0000FF"/>
                      <w:lang w:val="en-US" w:eastAsia="zh-CN"/>
                    </w:rPr>
                    <w:t>1#</w:t>
                  </w:r>
                </w:p>
              </w:tc>
              <w:tc>
                <w:tcPr>
                  <w:tcW w:w="618" w:type="pct"/>
                  <w:vAlign w:val="center"/>
                </w:tcPr>
                <w:p w14:paraId="61DCDECB">
                  <w:pPr>
                    <w:pStyle w:val="40"/>
                    <w:bidi w:val="0"/>
                    <w:jc w:val="center"/>
                    <w:rPr>
                      <w:rFonts w:hint="default"/>
                      <w:color w:val="0000FF"/>
                      <w:lang w:val="en-US" w:eastAsia="zh-CN"/>
                    </w:rPr>
                  </w:pPr>
                  <w:r>
                    <w:rPr>
                      <w:rFonts w:hint="eastAsia"/>
                      <w:color w:val="0000FF"/>
                      <w:lang w:val="en-US" w:eastAsia="zh-CN"/>
                    </w:rPr>
                    <w:t>2#</w:t>
                  </w:r>
                </w:p>
              </w:tc>
              <w:tc>
                <w:tcPr>
                  <w:tcW w:w="620" w:type="pct"/>
                  <w:vAlign w:val="center"/>
                </w:tcPr>
                <w:p w14:paraId="7C719E51">
                  <w:pPr>
                    <w:pStyle w:val="40"/>
                    <w:bidi w:val="0"/>
                    <w:jc w:val="center"/>
                    <w:rPr>
                      <w:rFonts w:hint="default"/>
                      <w:color w:val="0000FF"/>
                      <w:lang w:val="en-US" w:eastAsia="zh-CN"/>
                    </w:rPr>
                  </w:pPr>
                  <w:r>
                    <w:rPr>
                      <w:rFonts w:hint="eastAsia"/>
                      <w:color w:val="0000FF"/>
                      <w:lang w:val="en-US" w:eastAsia="zh-CN"/>
                    </w:rPr>
                    <w:t>3#</w:t>
                  </w:r>
                </w:p>
              </w:tc>
            </w:tr>
            <w:tr w14:paraId="08966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501E9400">
                  <w:pPr>
                    <w:pStyle w:val="40"/>
                    <w:bidi w:val="0"/>
                    <w:jc w:val="center"/>
                    <w:rPr>
                      <w:rFonts w:hint="default"/>
                      <w:color w:val="0000FF"/>
                      <w:lang w:val="en-US" w:eastAsia="zh-CN"/>
                    </w:rPr>
                  </w:pPr>
                  <w:r>
                    <w:rPr>
                      <w:rFonts w:hint="eastAsia"/>
                      <w:color w:val="0000FF"/>
                      <w:lang w:val="en-US" w:eastAsia="zh-CN"/>
                    </w:rPr>
                    <w:t>pH</w:t>
                  </w:r>
                </w:p>
              </w:tc>
              <w:tc>
                <w:tcPr>
                  <w:tcW w:w="832" w:type="pct"/>
                  <w:vAlign w:val="center"/>
                </w:tcPr>
                <w:p w14:paraId="6181EA85">
                  <w:pPr>
                    <w:pStyle w:val="40"/>
                    <w:bidi w:val="0"/>
                    <w:jc w:val="center"/>
                    <w:rPr>
                      <w:rFonts w:hint="default"/>
                      <w:color w:val="0000FF"/>
                      <w:lang w:val="en-US" w:eastAsia="zh-CN"/>
                    </w:rPr>
                  </w:pPr>
                  <w:r>
                    <w:rPr>
                      <w:rFonts w:hint="eastAsia"/>
                      <w:color w:val="0000FF"/>
                      <w:lang w:val="en-US" w:eastAsia="zh-CN"/>
                    </w:rPr>
                    <w:t>6.5~8.5</w:t>
                  </w:r>
                </w:p>
              </w:tc>
              <w:tc>
                <w:tcPr>
                  <w:tcW w:w="724" w:type="pct"/>
                  <w:vAlign w:val="center"/>
                </w:tcPr>
                <w:p w14:paraId="36E6AA2A">
                  <w:pPr>
                    <w:pStyle w:val="40"/>
                    <w:bidi w:val="0"/>
                    <w:jc w:val="center"/>
                    <w:rPr>
                      <w:rFonts w:hint="eastAsia"/>
                      <w:color w:val="0000FF"/>
                      <w:lang w:val="en-US" w:eastAsia="zh-CN"/>
                    </w:rPr>
                  </w:pPr>
                  <w:r>
                    <w:rPr>
                      <w:rFonts w:hint="eastAsia"/>
                      <w:color w:val="0000FF"/>
                      <w:lang w:val="en-US" w:eastAsia="zh-CN"/>
                    </w:rPr>
                    <w:t>无量纲</w:t>
                  </w:r>
                </w:p>
              </w:tc>
              <w:tc>
                <w:tcPr>
                  <w:tcW w:w="617" w:type="pct"/>
                  <w:vAlign w:val="center"/>
                </w:tcPr>
                <w:p w14:paraId="455D70FC">
                  <w:pPr>
                    <w:pStyle w:val="40"/>
                    <w:bidi w:val="0"/>
                    <w:jc w:val="center"/>
                    <w:rPr>
                      <w:rFonts w:hint="default" w:eastAsia="宋体"/>
                      <w:color w:val="0000FF"/>
                      <w:lang w:val="en-US" w:eastAsia="zh-CN"/>
                    </w:rPr>
                  </w:pPr>
                  <w:r>
                    <w:rPr>
                      <w:rFonts w:hint="eastAsia"/>
                      <w:color w:val="0000FF"/>
                      <w:lang w:val="en-US" w:eastAsia="zh-CN"/>
                    </w:rPr>
                    <w:t>7.3</w:t>
                  </w:r>
                </w:p>
              </w:tc>
              <w:tc>
                <w:tcPr>
                  <w:tcW w:w="618" w:type="pct"/>
                  <w:vAlign w:val="center"/>
                </w:tcPr>
                <w:p w14:paraId="598828F6">
                  <w:pPr>
                    <w:pStyle w:val="40"/>
                    <w:bidi w:val="0"/>
                    <w:jc w:val="center"/>
                    <w:rPr>
                      <w:rFonts w:hint="default" w:eastAsia="宋体"/>
                      <w:color w:val="0000FF"/>
                      <w:lang w:val="en-US" w:eastAsia="zh-CN"/>
                    </w:rPr>
                  </w:pPr>
                  <w:r>
                    <w:rPr>
                      <w:rFonts w:hint="eastAsia"/>
                      <w:color w:val="0000FF"/>
                      <w:lang w:val="en-US" w:eastAsia="zh-CN"/>
                    </w:rPr>
                    <w:t>7.4</w:t>
                  </w:r>
                </w:p>
              </w:tc>
              <w:tc>
                <w:tcPr>
                  <w:tcW w:w="620" w:type="pct"/>
                  <w:vAlign w:val="center"/>
                </w:tcPr>
                <w:p w14:paraId="53247BB7">
                  <w:pPr>
                    <w:pStyle w:val="40"/>
                    <w:bidi w:val="0"/>
                    <w:jc w:val="center"/>
                    <w:rPr>
                      <w:rFonts w:hint="default" w:eastAsia="宋体"/>
                      <w:color w:val="0000FF"/>
                      <w:lang w:val="en-US" w:eastAsia="zh-CN"/>
                    </w:rPr>
                  </w:pPr>
                  <w:r>
                    <w:rPr>
                      <w:rFonts w:hint="eastAsia"/>
                      <w:color w:val="0000FF"/>
                      <w:lang w:val="en-US" w:eastAsia="zh-CN"/>
                    </w:rPr>
                    <w:t>7.4</w:t>
                  </w:r>
                </w:p>
              </w:tc>
            </w:tr>
            <w:tr w14:paraId="5866A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668FBC49">
                  <w:pPr>
                    <w:pStyle w:val="40"/>
                    <w:bidi w:val="0"/>
                    <w:jc w:val="center"/>
                    <w:rPr>
                      <w:rFonts w:hint="default"/>
                      <w:color w:val="0000FF"/>
                      <w:lang w:val="en-US" w:eastAsia="zh-CN"/>
                    </w:rPr>
                  </w:pPr>
                  <w:r>
                    <w:rPr>
                      <w:rFonts w:hint="eastAsia"/>
                      <w:color w:val="0000FF"/>
                      <w:lang w:val="en-US" w:eastAsia="zh-CN"/>
                    </w:rPr>
                    <w:t>浑浊度</w:t>
                  </w:r>
                </w:p>
              </w:tc>
              <w:tc>
                <w:tcPr>
                  <w:tcW w:w="832" w:type="pct"/>
                  <w:vAlign w:val="center"/>
                </w:tcPr>
                <w:p w14:paraId="7A8EEDF6">
                  <w:pPr>
                    <w:pStyle w:val="40"/>
                    <w:bidi w:val="0"/>
                    <w:jc w:val="center"/>
                    <w:rPr>
                      <w:rFonts w:hint="default"/>
                      <w:color w:val="0000FF"/>
                      <w:lang w:val="en-US" w:eastAsia="zh-CN"/>
                    </w:rPr>
                  </w:pPr>
                  <w:r>
                    <w:rPr>
                      <w:rFonts w:hint="eastAsia"/>
                      <w:color w:val="0000FF"/>
                      <w:lang w:val="en-US" w:eastAsia="zh-CN"/>
                    </w:rPr>
                    <w:t>≤3</w:t>
                  </w:r>
                </w:p>
              </w:tc>
              <w:tc>
                <w:tcPr>
                  <w:tcW w:w="724" w:type="pct"/>
                  <w:vAlign w:val="center"/>
                </w:tcPr>
                <w:p w14:paraId="694BDA64">
                  <w:pPr>
                    <w:pStyle w:val="40"/>
                    <w:bidi w:val="0"/>
                    <w:jc w:val="center"/>
                    <w:rPr>
                      <w:rFonts w:hint="default"/>
                      <w:color w:val="0000FF"/>
                      <w:lang w:val="en-US" w:eastAsia="zh-CN"/>
                    </w:rPr>
                  </w:pPr>
                  <w:r>
                    <w:rPr>
                      <w:rFonts w:hint="eastAsia"/>
                      <w:color w:val="0000FF"/>
                      <w:lang w:val="en-US" w:eastAsia="zh-CN"/>
                    </w:rPr>
                    <w:t>NTU</w:t>
                  </w:r>
                </w:p>
              </w:tc>
              <w:tc>
                <w:tcPr>
                  <w:tcW w:w="617" w:type="pct"/>
                  <w:vAlign w:val="center"/>
                </w:tcPr>
                <w:p w14:paraId="1CBE792E">
                  <w:pPr>
                    <w:pStyle w:val="40"/>
                    <w:bidi w:val="0"/>
                    <w:jc w:val="center"/>
                    <w:rPr>
                      <w:rFonts w:hint="default" w:eastAsia="宋体"/>
                      <w:color w:val="0000FF"/>
                      <w:lang w:val="en-US" w:eastAsia="zh-CN"/>
                    </w:rPr>
                  </w:pPr>
                  <w:r>
                    <w:rPr>
                      <w:rFonts w:hint="eastAsia"/>
                      <w:color w:val="0000FF"/>
                      <w:lang w:val="en-US" w:eastAsia="zh-CN"/>
                    </w:rPr>
                    <w:t>1L</w:t>
                  </w:r>
                </w:p>
              </w:tc>
              <w:tc>
                <w:tcPr>
                  <w:tcW w:w="618" w:type="pct"/>
                  <w:vAlign w:val="center"/>
                </w:tcPr>
                <w:p w14:paraId="6B91FCEE">
                  <w:pPr>
                    <w:bidi w:val="0"/>
                    <w:jc w:val="center"/>
                    <w:rPr>
                      <w:color w:val="0000FF"/>
                    </w:rPr>
                  </w:pPr>
                  <w:r>
                    <w:rPr>
                      <w:rFonts w:hint="eastAsia"/>
                      <w:color w:val="0000FF"/>
                      <w:lang w:val="en-US" w:eastAsia="zh-CN"/>
                    </w:rPr>
                    <w:t>1L</w:t>
                  </w:r>
                </w:p>
              </w:tc>
              <w:tc>
                <w:tcPr>
                  <w:tcW w:w="620" w:type="pct"/>
                  <w:vAlign w:val="center"/>
                </w:tcPr>
                <w:p w14:paraId="7AA24414">
                  <w:pPr>
                    <w:bidi w:val="0"/>
                    <w:jc w:val="center"/>
                    <w:rPr>
                      <w:color w:val="0000FF"/>
                    </w:rPr>
                  </w:pPr>
                  <w:r>
                    <w:rPr>
                      <w:rFonts w:hint="eastAsia"/>
                      <w:color w:val="0000FF"/>
                      <w:lang w:val="en-US" w:eastAsia="zh-CN"/>
                    </w:rPr>
                    <w:t>1L</w:t>
                  </w:r>
                </w:p>
              </w:tc>
            </w:tr>
            <w:tr w14:paraId="79FA7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1E30EB6B">
                  <w:pPr>
                    <w:pStyle w:val="40"/>
                    <w:bidi w:val="0"/>
                    <w:jc w:val="center"/>
                    <w:rPr>
                      <w:rFonts w:hint="default"/>
                      <w:color w:val="0000FF"/>
                      <w:lang w:val="en-US" w:eastAsia="zh-CN"/>
                    </w:rPr>
                  </w:pPr>
                  <w:r>
                    <w:rPr>
                      <w:rFonts w:hint="eastAsia"/>
                      <w:color w:val="0000FF"/>
                      <w:lang w:val="en-US" w:eastAsia="zh-CN"/>
                    </w:rPr>
                    <w:t>氨氮</w:t>
                  </w:r>
                </w:p>
              </w:tc>
              <w:tc>
                <w:tcPr>
                  <w:tcW w:w="832" w:type="pct"/>
                  <w:vAlign w:val="center"/>
                </w:tcPr>
                <w:p w14:paraId="32FF39DD">
                  <w:pPr>
                    <w:pStyle w:val="40"/>
                    <w:bidi w:val="0"/>
                    <w:jc w:val="center"/>
                    <w:rPr>
                      <w:rFonts w:hint="default"/>
                      <w:color w:val="0000FF"/>
                      <w:lang w:val="en-US" w:eastAsia="zh-CN"/>
                    </w:rPr>
                  </w:pPr>
                  <w:r>
                    <w:rPr>
                      <w:rFonts w:hint="eastAsia"/>
                      <w:color w:val="0000FF"/>
                      <w:lang w:val="en-US" w:eastAsia="zh-CN"/>
                    </w:rPr>
                    <w:t>≤0.5</w:t>
                  </w:r>
                </w:p>
              </w:tc>
              <w:tc>
                <w:tcPr>
                  <w:tcW w:w="724" w:type="pct"/>
                  <w:vAlign w:val="center"/>
                </w:tcPr>
                <w:p w14:paraId="060CF71F">
                  <w:pPr>
                    <w:pStyle w:val="40"/>
                    <w:bidi w:val="0"/>
                    <w:jc w:val="center"/>
                    <w:rPr>
                      <w:rFonts w:hint="default"/>
                      <w:color w:val="0000FF"/>
                      <w:lang w:val="en-US" w:eastAsia="zh-CN"/>
                    </w:rPr>
                  </w:pPr>
                  <w:r>
                    <w:rPr>
                      <w:rFonts w:hint="eastAsia"/>
                      <w:color w:val="0000FF"/>
                      <w:lang w:val="en-US" w:eastAsia="zh-CN"/>
                    </w:rPr>
                    <w:t>mg/L</w:t>
                  </w:r>
                </w:p>
              </w:tc>
              <w:tc>
                <w:tcPr>
                  <w:tcW w:w="617" w:type="pct"/>
                  <w:vAlign w:val="center"/>
                </w:tcPr>
                <w:p w14:paraId="0AA91C6C">
                  <w:pPr>
                    <w:pStyle w:val="40"/>
                    <w:bidi w:val="0"/>
                    <w:jc w:val="center"/>
                    <w:rPr>
                      <w:rFonts w:hint="default" w:eastAsia="宋体"/>
                      <w:color w:val="0000FF"/>
                      <w:lang w:val="en-US" w:eastAsia="zh-CN"/>
                    </w:rPr>
                  </w:pPr>
                  <w:r>
                    <w:rPr>
                      <w:rFonts w:hint="eastAsia"/>
                      <w:color w:val="0000FF"/>
                      <w:lang w:val="en-US" w:eastAsia="zh-CN"/>
                    </w:rPr>
                    <w:t>0.02L</w:t>
                  </w:r>
                </w:p>
              </w:tc>
              <w:tc>
                <w:tcPr>
                  <w:tcW w:w="618" w:type="pct"/>
                  <w:vAlign w:val="center"/>
                </w:tcPr>
                <w:p w14:paraId="5BC11D88">
                  <w:pPr>
                    <w:pStyle w:val="40"/>
                    <w:bidi w:val="0"/>
                    <w:jc w:val="center"/>
                    <w:rPr>
                      <w:rFonts w:hint="default" w:eastAsia="宋体"/>
                      <w:color w:val="0000FF"/>
                      <w:lang w:val="en-US" w:eastAsia="zh-CN"/>
                    </w:rPr>
                  </w:pPr>
                  <w:r>
                    <w:rPr>
                      <w:rFonts w:hint="eastAsia"/>
                      <w:color w:val="0000FF"/>
                      <w:lang w:val="en-US" w:eastAsia="zh-CN"/>
                    </w:rPr>
                    <w:t>0.31</w:t>
                  </w:r>
                </w:p>
              </w:tc>
              <w:tc>
                <w:tcPr>
                  <w:tcW w:w="620" w:type="pct"/>
                  <w:vAlign w:val="center"/>
                </w:tcPr>
                <w:p w14:paraId="52EDFCE3">
                  <w:pPr>
                    <w:pStyle w:val="40"/>
                    <w:bidi w:val="0"/>
                    <w:jc w:val="center"/>
                    <w:rPr>
                      <w:rFonts w:hint="default" w:eastAsia="宋体"/>
                      <w:color w:val="0000FF"/>
                      <w:lang w:val="en-US" w:eastAsia="zh-CN"/>
                    </w:rPr>
                  </w:pPr>
                  <w:r>
                    <w:rPr>
                      <w:rFonts w:hint="eastAsia"/>
                      <w:color w:val="0000FF"/>
                      <w:lang w:val="en-US" w:eastAsia="zh-CN"/>
                    </w:rPr>
                    <w:t>0.02L</w:t>
                  </w:r>
                </w:p>
              </w:tc>
            </w:tr>
            <w:tr w14:paraId="00337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2D312096">
                  <w:pPr>
                    <w:pStyle w:val="40"/>
                    <w:bidi w:val="0"/>
                    <w:jc w:val="center"/>
                    <w:rPr>
                      <w:rFonts w:hint="default"/>
                      <w:color w:val="0000FF"/>
                      <w:lang w:val="en-US" w:eastAsia="zh-CN"/>
                    </w:rPr>
                  </w:pPr>
                  <w:r>
                    <w:rPr>
                      <w:rFonts w:hint="eastAsia"/>
                      <w:color w:val="0000FF"/>
                      <w:lang w:val="en-US" w:eastAsia="zh-CN"/>
                    </w:rPr>
                    <w:t>总硬度（以CaCO</w:t>
                  </w:r>
                  <w:r>
                    <w:rPr>
                      <w:rFonts w:hint="eastAsia"/>
                      <w:color w:val="0000FF"/>
                      <w:vertAlign w:val="subscript"/>
                      <w:lang w:val="en-US" w:eastAsia="zh-CN"/>
                    </w:rPr>
                    <w:t>3</w:t>
                  </w:r>
                  <w:r>
                    <w:rPr>
                      <w:rFonts w:hint="eastAsia"/>
                      <w:color w:val="0000FF"/>
                      <w:lang w:val="en-US" w:eastAsia="zh-CN"/>
                    </w:rPr>
                    <w:t>计）</w:t>
                  </w:r>
                </w:p>
              </w:tc>
              <w:tc>
                <w:tcPr>
                  <w:tcW w:w="832" w:type="pct"/>
                  <w:vAlign w:val="center"/>
                </w:tcPr>
                <w:p w14:paraId="06BD644F">
                  <w:pPr>
                    <w:pStyle w:val="40"/>
                    <w:bidi w:val="0"/>
                    <w:jc w:val="center"/>
                    <w:rPr>
                      <w:rFonts w:hint="default"/>
                      <w:color w:val="0000FF"/>
                      <w:lang w:val="en-US" w:eastAsia="zh-CN"/>
                    </w:rPr>
                  </w:pPr>
                  <w:r>
                    <w:rPr>
                      <w:rFonts w:hint="eastAsia"/>
                      <w:color w:val="0000FF"/>
                      <w:lang w:val="en-US" w:eastAsia="zh-CN"/>
                    </w:rPr>
                    <w:t>≤450</w:t>
                  </w:r>
                </w:p>
              </w:tc>
              <w:tc>
                <w:tcPr>
                  <w:tcW w:w="724" w:type="pct"/>
                  <w:vAlign w:val="center"/>
                </w:tcPr>
                <w:p w14:paraId="7F1AF7A9">
                  <w:pPr>
                    <w:pStyle w:val="40"/>
                    <w:bidi w:val="0"/>
                    <w:jc w:val="center"/>
                    <w:rPr>
                      <w:rFonts w:hint="eastAsia"/>
                      <w:color w:val="0000FF"/>
                      <w:lang w:val="en-US" w:eastAsia="zh-CN"/>
                    </w:rPr>
                  </w:pPr>
                  <w:r>
                    <w:rPr>
                      <w:rFonts w:hint="eastAsia"/>
                      <w:color w:val="0000FF"/>
                      <w:lang w:val="en-US" w:eastAsia="zh-CN"/>
                    </w:rPr>
                    <w:t>mg/L</w:t>
                  </w:r>
                </w:p>
              </w:tc>
              <w:tc>
                <w:tcPr>
                  <w:tcW w:w="617" w:type="pct"/>
                  <w:vAlign w:val="center"/>
                </w:tcPr>
                <w:p w14:paraId="7787D713">
                  <w:pPr>
                    <w:pStyle w:val="40"/>
                    <w:bidi w:val="0"/>
                    <w:jc w:val="center"/>
                    <w:rPr>
                      <w:rFonts w:hint="default" w:eastAsia="宋体"/>
                      <w:color w:val="0000FF"/>
                      <w:lang w:val="en-US" w:eastAsia="zh-CN"/>
                    </w:rPr>
                  </w:pPr>
                  <w:r>
                    <w:rPr>
                      <w:rFonts w:hint="eastAsia"/>
                      <w:color w:val="0000FF"/>
                      <w:lang w:val="en-US" w:eastAsia="zh-CN"/>
                    </w:rPr>
                    <w:t>202</w:t>
                  </w:r>
                </w:p>
              </w:tc>
              <w:tc>
                <w:tcPr>
                  <w:tcW w:w="618" w:type="pct"/>
                  <w:vAlign w:val="center"/>
                </w:tcPr>
                <w:p w14:paraId="61EC37E3">
                  <w:pPr>
                    <w:pStyle w:val="40"/>
                    <w:bidi w:val="0"/>
                    <w:jc w:val="center"/>
                    <w:rPr>
                      <w:rFonts w:hint="default" w:eastAsia="宋体"/>
                      <w:color w:val="0000FF"/>
                      <w:lang w:val="en-US" w:eastAsia="zh-CN"/>
                    </w:rPr>
                  </w:pPr>
                  <w:r>
                    <w:rPr>
                      <w:rFonts w:hint="eastAsia"/>
                      <w:color w:val="0000FF"/>
                      <w:lang w:val="en-US" w:eastAsia="zh-CN"/>
                    </w:rPr>
                    <w:t>165</w:t>
                  </w:r>
                </w:p>
              </w:tc>
              <w:tc>
                <w:tcPr>
                  <w:tcW w:w="620" w:type="pct"/>
                  <w:vAlign w:val="center"/>
                </w:tcPr>
                <w:p w14:paraId="3FB7A234">
                  <w:pPr>
                    <w:pStyle w:val="40"/>
                    <w:bidi w:val="0"/>
                    <w:jc w:val="center"/>
                    <w:rPr>
                      <w:rFonts w:hint="default" w:eastAsia="宋体"/>
                      <w:color w:val="0000FF"/>
                      <w:lang w:val="en-US" w:eastAsia="zh-CN"/>
                    </w:rPr>
                  </w:pPr>
                  <w:r>
                    <w:rPr>
                      <w:rFonts w:hint="eastAsia"/>
                      <w:color w:val="0000FF"/>
                      <w:lang w:val="en-US" w:eastAsia="zh-CN"/>
                    </w:rPr>
                    <w:t>110</w:t>
                  </w:r>
                </w:p>
              </w:tc>
            </w:tr>
            <w:tr w14:paraId="130BE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34032A18">
                  <w:pPr>
                    <w:pStyle w:val="40"/>
                    <w:bidi w:val="0"/>
                    <w:jc w:val="center"/>
                    <w:rPr>
                      <w:rFonts w:hint="default"/>
                      <w:color w:val="0000FF"/>
                      <w:lang w:val="en-US" w:eastAsia="zh-CN"/>
                    </w:rPr>
                  </w:pPr>
                  <w:r>
                    <w:rPr>
                      <w:rFonts w:hint="eastAsia"/>
                      <w:color w:val="0000FF"/>
                      <w:lang w:val="en-US" w:eastAsia="zh-CN"/>
                    </w:rPr>
                    <w:t>溶解性总固体</w:t>
                  </w:r>
                </w:p>
              </w:tc>
              <w:tc>
                <w:tcPr>
                  <w:tcW w:w="832" w:type="pct"/>
                  <w:vAlign w:val="center"/>
                </w:tcPr>
                <w:p w14:paraId="43D0512A">
                  <w:pPr>
                    <w:pStyle w:val="40"/>
                    <w:bidi w:val="0"/>
                    <w:ind w:firstLine="0" w:firstLineChars="0"/>
                    <w:jc w:val="center"/>
                    <w:rPr>
                      <w:rFonts w:hint="default"/>
                      <w:color w:val="0000FF"/>
                      <w:lang w:val="en-US" w:eastAsia="zh-CN"/>
                    </w:rPr>
                  </w:pPr>
                  <w:r>
                    <w:rPr>
                      <w:rFonts w:hint="eastAsia"/>
                      <w:color w:val="0000FF"/>
                      <w:lang w:val="en-US" w:eastAsia="zh-CN"/>
                    </w:rPr>
                    <w:t>≤1000</w:t>
                  </w:r>
                </w:p>
              </w:tc>
              <w:tc>
                <w:tcPr>
                  <w:tcW w:w="724" w:type="pct"/>
                  <w:vAlign w:val="center"/>
                </w:tcPr>
                <w:p w14:paraId="6A523F91">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35AE620C">
                  <w:pPr>
                    <w:pStyle w:val="40"/>
                    <w:bidi w:val="0"/>
                    <w:jc w:val="center"/>
                    <w:rPr>
                      <w:rFonts w:hint="default" w:eastAsia="宋体"/>
                      <w:color w:val="0000FF"/>
                      <w:lang w:val="en-US" w:eastAsia="zh-CN"/>
                    </w:rPr>
                  </w:pPr>
                  <w:r>
                    <w:rPr>
                      <w:rFonts w:hint="eastAsia"/>
                      <w:color w:val="0000FF"/>
                      <w:lang w:val="en-US" w:eastAsia="zh-CN"/>
                    </w:rPr>
                    <w:t>930</w:t>
                  </w:r>
                </w:p>
              </w:tc>
              <w:tc>
                <w:tcPr>
                  <w:tcW w:w="618" w:type="pct"/>
                  <w:vAlign w:val="center"/>
                </w:tcPr>
                <w:p w14:paraId="3A683776">
                  <w:pPr>
                    <w:pStyle w:val="40"/>
                    <w:bidi w:val="0"/>
                    <w:jc w:val="center"/>
                    <w:rPr>
                      <w:rFonts w:hint="default" w:eastAsia="宋体"/>
                      <w:color w:val="0000FF"/>
                      <w:lang w:val="en-US" w:eastAsia="zh-CN"/>
                    </w:rPr>
                  </w:pPr>
                  <w:r>
                    <w:rPr>
                      <w:rFonts w:hint="eastAsia"/>
                      <w:color w:val="0000FF"/>
                      <w:lang w:val="en-US" w:eastAsia="zh-CN"/>
                    </w:rPr>
                    <w:t>385</w:t>
                  </w:r>
                </w:p>
              </w:tc>
              <w:tc>
                <w:tcPr>
                  <w:tcW w:w="620" w:type="pct"/>
                  <w:vAlign w:val="center"/>
                </w:tcPr>
                <w:p w14:paraId="2D42FB41">
                  <w:pPr>
                    <w:pStyle w:val="40"/>
                    <w:bidi w:val="0"/>
                    <w:jc w:val="center"/>
                    <w:rPr>
                      <w:rFonts w:hint="default" w:eastAsia="宋体"/>
                      <w:color w:val="0000FF"/>
                      <w:lang w:val="en-US" w:eastAsia="zh-CN"/>
                    </w:rPr>
                  </w:pPr>
                  <w:r>
                    <w:rPr>
                      <w:rFonts w:hint="eastAsia"/>
                      <w:color w:val="0000FF"/>
                      <w:lang w:val="en-US" w:eastAsia="zh-CN"/>
                    </w:rPr>
                    <w:t>419</w:t>
                  </w:r>
                </w:p>
              </w:tc>
            </w:tr>
            <w:tr w14:paraId="2F7F8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0FBCC9E1">
                  <w:pPr>
                    <w:pStyle w:val="40"/>
                    <w:bidi w:val="0"/>
                    <w:jc w:val="center"/>
                    <w:rPr>
                      <w:rFonts w:hint="default"/>
                      <w:color w:val="0000FF"/>
                      <w:lang w:val="en-US" w:eastAsia="zh-CN"/>
                    </w:rPr>
                  </w:pPr>
                  <w:r>
                    <w:rPr>
                      <w:rFonts w:hint="eastAsia"/>
                      <w:color w:val="0000FF"/>
                      <w:lang w:val="en-US" w:eastAsia="zh-CN"/>
                    </w:rPr>
                    <w:t>氯化物</w:t>
                  </w:r>
                </w:p>
              </w:tc>
              <w:tc>
                <w:tcPr>
                  <w:tcW w:w="832" w:type="pct"/>
                  <w:vAlign w:val="center"/>
                </w:tcPr>
                <w:p w14:paraId="29A70BA3">
                  <w:pPr>
                    <w:pStyle w:val="40"/>
                    <w:bidi w:val="0"/>
                    <w:ind w:firstLine="0" w:firstLineChars="0"/>
                    <w:jc w:val="center"/>
                    <w:rPr>
                      <w:rFonts w:hint="default"/>
                      <w:color w:val="0000FF"/>
                      <w:lang w:val="en-US" w:eastAsia="zh-CN"/>
                    </w:rPr>
                  </w:pPr>
                  <w:r>
                    <w:rPr>
                      <w:rFonts w:hint="eastAsia"/>
                      <w:color w:val="0000FF"/>
                      <w:lang w:val="en-US" w:eastAsia="zh-CN"/>
                    </w:rPr>
                    <w:t>≤250</w:t>
                  </w:r>
                </w:p>
              </w:tc>
              <w:tc>
                <w:tcPr>
                  <w:tcW w:w="724" w:type="pct"/>
                  <w:vAlign w:val="center"/>
                </w:tcPr>
                <w:p w14:paraId="7E10E697">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16E8A4EF">
                  <w:pPr>
                    <w:pStyle w:val="40"/>
                    <w:bidi w:val="0"/>
                    <w:jc w:val="center"/>
                    <w:rPr>
                      <w:rFonts w:hint="default" w:eastAsia="宋体"/>
                      <w:color w:val="0000FF"/>
                      <w:lang w:val="en-US" w:eastAsia="zh-CN"/>
                    </w:rPr>
                  </w:pPr>
                  <w:r>
                    <w:rPr>
                      <w:rFonts w:hint="eastAsia"/>
                      <w:color w:val="0000FF"/>
                      <w:lang w:val="en-US" w:eastAsia="zh-CN"/>
                    </w:rPr>
                    <w:t>191</w:t>
                  </w:r>
                </w:p>
              </w:tc>
              <w:tc>
                <w:tcPr>
                  <w:tcW w:w="618" w:type="pct"/>
                  <w:vAlign w:val="center"/>
                </w:tcPr>
                <w:p w14:paraId="4D9E948F">
                  <w:pPr>
                    <w:pStyle w:val="40"/>
                    <w:bidi w:val="0"/>
                    <w:jc w:val="center"/>
                    <w:rPr>
                      <w:rFonts w:hint="default" w:eastAsia="宋体"/>
                      <w:color w:val="0000FF"/>
                      <w:lang w:val="en-US" w:eastAsia="zh-CN"/>
                    </w:rPr>
                  </w:pPr>
                  <w:r>
                    <w:rPr>
                      <w:rFonts w:hint="eastAsia"/>
                      <w:color w:val="0000FF"/>
                      <w:lang w:val="en-US" w:eastAsia="zh-CN"/>
                    </w:rPr>
                    <w:t>21.6</w:t>
                  </w:r>
                </w:p>
              </w:tc>
              <w:tc>
                <w:tcPr>
                  <w:tcW w:w="620" w:type="pct"/>
                  <w:vAlign w:val="center"/>
                </w:tcPr>
                <w:p w14:paraId="184E3D94">
                  <w:pPr>
                    <w:pStyle w:val="40"/>
                    <w:bidi w:val="0"/>
                    <w:jc w:val="center"/>
                    <w:rPr>
                      <w:rFonts w:hint="default" w:eastAsia="宋体"/>
                      <w:color w:val="0000FF"/>
                      <w:lang w:val="en-US" w:eastAsia="zh-CN"/>
                    </w:rPr>
                  </w:pPr>
                  <w:r>
                    <w:rPr>
                      <w:rFonts w:hint="eastAsia"/>
                      <w:color w:val="0000FF"/>
                      <w:lang w:val="en-US" w:eastAsia="zh-CN"/>
                    </w:rPr>
                    <w:t>38.5</w:t>
                  </w:r>
                </w:p>
              </w:tc>
            </w:tr>
            <w:tr w14:paraId="22C80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48065541">
                  <w:pPr>
                    <w:pStyle w:val="40"/>
                    <w:bidi w:val="0"/>
                    <w:jc w:val="center"/>
                    <w:rPr>
                      <w:rFonts w:hint="default"/>
                      <w:color w:val="0000FF"/>
                      <w:lang w:val="en-US" w:eastAsia="zh-CN"/>
                    </w:rPr>
                  </w:pPr>
                  <w:r>
                    <w:rPr>
                      <w:rFonts w:hint="eastAsia"/>
                      <w:color w:val="0000FF"/>
                      <w:lang w:val="en-US" w:eastAsia="zh-CN"/>
                    </w:rPr>
                    <w:t>硫酸盐</w:t>
                  </w:r>
                </w:p>
              </w:tc>
              <w:tc>
                <w:tcPr>
                  <w:tcW w:w="832" w:type="pct"/>
                  <w:vAlign w:val="center"/>
                </w:tcPr>
                <w:p w14:paraId="4D58DC5D">
                  <w:pPr>
                    <w:pStyle w:val="40"/>
                    <w:bidi w:val="0"/>
                    <w:ind w:firstLine="0" w:firstLineChars="0"/>
                    <w:jc w:val="center"/>
                    <w:rPr>
                      <w:rFonts w:hint="default"/>
                      <w:color w:val="0000FF"/>
                      <w:lang w:val="en-US" w:eastAsia="zh-CN"/>
                    </w:rPr>
                  </w:pPr>
                  <w:r>
                    <w:rPr>
                      <w:rFonts w:hint="eastAsia"/>
                      <w:color w:val="0000FF"/>
                      <w:lang w:val="en-US" w:eastAsia="zh-CN"/>
                    </w:rPr>
                    <w:t>≤250</w:t>
                  </w:r>
                </w:p>
              </w:tc>
              <w:tc>
                <w:tcPr>
                  <w:tcW w:w="724" w:type="pct"/>
                  <w:vAlign w:val="center"/>
                </w:tcPr>
                <w:p w14:paraId="718337E4">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1BB3E426">
                  <w:pPr>
                    <w:pStyle w:val="40"/>
                    <w:bidi w:val="0"/>
                    <w:jc w:val="center"/>
                    <w:rPr>
                      <w:rFonts w:hint="default" w:eastAsia="宋体"/>
                      <w:color w:val="0000FF"/>
                      <w:lang w:val="en-US" w:eastAsia="zh-CN"/>
                    </w:rPr>
                  </w:pPr>
                  <w:r>
                    <w:rPr>
                      <w:rFonts w:hint="eastAsia"/>
                      <w:color w:val="0000FF"/>
                      <w:lang w:val="en-US" w:eastAsia="zh-CN"/>
                    </w:rPr>
                    <w:t>232</w:t>
                  </w:r>
                </w:p>
              </w:tc>
              <w:tc>
                <w:tcPr>
                  <w:tcW w:w="618" w:type="pct"/>
                  <w:vAlign w:val="center"/>
                </w:tcPr>
                <w:p w14:paraId="27C06233">
                  <w:pPr>
                    <w:pStyle w:val="40"/>
                    <w:bidi w:val="0"/>
                    <w:jc w:val="center"/>
                    <w:rPr>
                      <w:rFonts w:hint="default" w:eastAsia="宋体"/>
                      <w:color w:val="0000FF"/>
                      <w:lang w:val="en-US" w:eastAsia="zh-CN"/>
                    </w:rPr>
                  </w:pPr>
                  <w:r>
                    <w:rPr>
                      <w:rFonts w:hint="eastAsia"/>
                      <w:color w:val="0000FF"/>
                      <w:lang w:val="en-US" w:eastAsia="zh-CN"/>
                    </w:rPr>
                    <w:t>132</w:t>
                  </w:r>
                </w:p>
              </w:tc>
              <w:tc>
                <w:tcPr>
                  <w:tcW w:w="620" w:type="pct"/>
                  <w:vAlign w:val="center"/>
                </w:tcPr>
                <w:p w14:paraId="3971BC96">
                  <w:pPr>
                    <w:pStyle w:val="40"/>
                    <w:bidi w:val="0"/>
                    <w:jc w:val="center"/>
                    <w:rPr>
                      <w:rFonts w:hint="default" w:eastAsia="宋体"/>
                      <w:color w:val="0000FF"/>
                      <w:lang w:val="en-US" w:eastAsia="zh-CN"/>
                    </w:rPr>
                  </w:pPr>
                  <w:r>
                    <w:rPr>
                      <w:rFonts w:hint="eastAsia"/>
                      <w:color w:val="0000FF"/>
                      <w:lang w:val="en-US" w:eastAsia="zh-CN"/>
                    </w:rPr>
                    <w:t>138</w:t>
                  </w:r>
                </w:p>
              </w:tc>
            </w:tr>
            <w:tr w14:paraId="4C932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0000F3F6">
                  <w:pPr>
                    <w:pStyle w:val="40"/>
                    <w:bidi w:val="0"/>
                    <w:jc w:val="center"/>
                    <w:rPr>
                      <w:rFonts w:hint="default"/>
                      <w:color w:val="0000FF"/>
                      <w:lang w:val="en-US" w:eastAsia="zh-CN"/>
                    </w:rPr>
                  </w:pPr>
                  <w:r>
                    <w:rPr>
                      <w:rFonts w:hint="eastAsia"/>
                      <w:color w:val="0000FF"/>
                      <w:lang w:val="en-US" w:eastAsia="zh-CN"/>
                    </w:rPr>
                    <w:t>钠</w:t>
                  </w:r>
                </w:p>
              </w:tc>
              <w:tc>
                <w:tcPr>
                  <w:tcW w:w="832" w:type="pct"/>
                  <w:vAlign w:val="center"/>
                </w:tcPr>
                <w:p w14:paraId="29CF986E">
                  <w:pPr>
                    <w:pStyle w:val="40"/>
                    <w:bidi w:val="0"/>
                    <w:ind w:firstLine="0" w:firstLineChars="0"/>
                    <w:jc w:val="center"/>
                    <w:rPr>
                      <w:rFonts w:hint="default"/>
                      <w:color w:val="0000FF"/>
                      <w:lang w:val="en-US" w:eastAsia="zh-CN"/>
                    </w:rPr>
                  </w:pPr>
                  <w:r>
                    <w:rPr>
                      <w:rFonts w:hint="eastAsia"/>
                      <w:color w:val="0000FF"/>
                      <w:lang w:val="en-US" w:eastAsia="zh-CN"/>
                    </w:rPr>
                    <w:t>≤200</w:t>
                  </w:r>
                </w:p>
              </w:tc>
              <w:tc>
                <w:tcPr>
                  <w:tcW w:w="724" w:type="pct"/>
                  <w:vAlign w:val="center"/>
                </w:tcPr>
                <w:p w14:paraId="1D371B94">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4906257E">
                  <w:pPr>
                    <w:pStyle w:val="40"/>
                    <w:bidi w:val="0"/>
                    <w:jc w:val="center"/>
                    <w:rPr>
                      <w:rFonts w:hint="default" w:eastAsia="宋体"/>
                      <w:color w:val="0000FF"/>
                      <w:lang w:val="en-US" w:eastAsia="zh-CN"/>
                    </w:rPr>
                  </w:pPr>
                  <w:r>
                    <w:rPr>
                      <w:rFonts w:hint="eastAsia"/>
                      <w:color w:val="0000FF"/>
                      <w:lang w:val="en-US" w:eastAsia="zh-CN"/>
                    </w:rPr>
                    <w:t>223</w:t>
                  </w:r>
                </w:p>
              </w:tc>
              <w:tc>
                <w:tcPr>
                  <w:tcW w:w="618" w:type="pct"/>
                  <w:vAlign w:val="center"/>
                </w:tcPr>
                <w:p w14:paraId="6DA8ED33">
                  <w:pPr>
                    <w:pStyle w:val="40"/>
                    <w:bidi w:val="0"/>
                    <w:jc w:val="center"/>
                    <w:rPr>
                      <w:rFonts w:hint="default" w:eastAsia="宋体"/>
                      <w:color w:val="0000FF"/>
                      <w:lang w:val="en-US" w:eastAsia="zh-CN"/>
                    </w:rPr>
                  </w:pPr>
                  <w:r>
                    <w:rPr>
                      <w:rFonts w:hint="eastAsia"/>
                      <w:color w:val="0000FF"/>
                      <w:lang w:val="en-US" w:eastAsia="zh-CN"/>
                    </w:rPr>
                    <w:t>70.6</w:t>
                  </w:r>
                </w:p>
              </w:tc>
              <w:tc>
                <w:tcPr>
                  <w:tcW w:w="620" w:type="pct"/>
                  <w:vAlign w:val="center"/>
                </w:tcPr>
                <w:p w14:paraId="01BC1907">
                  <w:pPr>
                    <w:pStyle w:val="40"/>
                    <w:bidi w:val="0"/>
                    <w:jc w:val="center"/>
                    <w:rPr>
                      <w:rFonts w:hint="default" w:eastAsia="宋体"/>
                      <w:color w:val="0000FF"/>
                      <w:lang w:val="en-US" w:eastAsia="zh-CN"/>
                    </w:rPr>
                  </w:pPr>
                  <w:r>
                    <w:rPr>
                      <w:rFonts w:hint="eastAsia"/>
                      <w:color w:val="0000FF"/>
                      <w:lang w:val="en-US" w:eastAsia="zh-CN"/>
                    </w:rPr>
                    <w:t>106</w:t>
                  </w:r>
                </w:p>
              </w:tc>
            </w:tr>
            <w:tr w14:paraId="1369D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5B29FE6B">
                  <w:pPr>
                    <w:pStyle w:val="40"/>
                    <w:bidi w:val="0"/>
                    <w:jc w:val="center"/>
                    <w:rPr>
                      <w:rFonts w:hint="default"/>
                      <w:color w:val="0000FF"/>
                      <w:lang w:val="en-US" w:eastAsia="zh-CN"/>
                    </w:rPr>
                  </w:pPr>
                  <w:r>
                    <w:rPr>
                      <w:rFonts w:hint="eastAsia"/>
                      <w:color w:val="0000FF"/>
                      <w:lang w:val="en-US" w:eastAsia="zh-CN"/>
                    </w:rPr>
                    <w:t>亚硝酸盐氮</w:t>
                  </w:r>
                </w:p>
              </w:tc>
              <w:tc>
                <w:tcPr>
                  <w:tcW w:w="832" w:type="pct"/>
                  <w:vAlign w:val="center"/>
                </w:tcPr>
                <w:p w14:paraId="0B1402F4">
                  <w:pPr>
                    <w:pStyle w:val="40"/>
                    <w:bidi w:val="0"/>
                    <w:ind w:firstLine="0" w:firstLineChars="0"/>
                    <w:jc w:val="center"/>
                    <w:rPr>
                      <w:rFonts w:hint="default"/>
                      <w:color w:val="0000FF"/>
                      <w:lang w:val="en-US" w:eastAsia="zh-CN"/>
                    </w:rPr>
                  </w:pPr>
                  <w:r>
                    <w:rPr>
                      <w:rFonts w:hint="eastAsia"/>
                      <w:color w:val="0000FF"/>
                      <w:lang w:val="en-US" w:eastAsia="zh-CN"/>
                    </w:rPr>
                    <w:t>≤1.00</w:t>
                  </w:r>
                </w:p>
              </w:tc>
              <w:tc>
                <w:tcPr>
                  <w:tcW w:w="724" w:type="pct"/>
                  <w:vAlign w:val="center"/>
                </w:tcPr>
                <w:p w14:paraId="10D68876">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1719DF3B">
                  <w:pPr>
                    <w:pStyle w:val="40"/>
                    <w:bidi w:val="0"/>
                    <w:jc w:val="center"/>
                    <w:rPr>
                      <w:rFonts w:hint="default" w:eastAsia="宋体"/>
                      <w:color w:val="0000FF"/>
                      <w:lang w:val="en-US" w:eastAsia="zh-CN"/>
                    </w:rPr>
                  </w:pPr>
                  <w:r>
                    <w:rPr>
                      <w:rFonts w:hint="eastAsia"/>
                      <w:color w:val="0000FF"/>
                      <w:lang w:val="en-US" w:eastAsia="zh-CN"/>
                    </w:rPr>
                    <w:t>0.001L</w:t>
                  </w:r>
                </w:p>
              </w:tc>
              <w:tc>
                <w:tcPr>
                  <w:tcW w:w="618" w:type="pct"/>
                  <w:vAlign w:val="center"/>
                </w:tcPr>
                <w:p w14:paraId="7DB3CADF">
                  <w:pPr>
                    <w:bidi w:val="0"/>
                    <w:jc w:val="center"/>
                    <w:rPr>
                      <w:color w:val="0000FF"/>
                    </w:rPr>
                  </w:pPr>
                  <w:r>
                    <w:rPr>
                      <w:rFonts w:hint="eastAsia"/>
                      <w:color w:val="0000FF"/>
                      <w:lang w:val="en-US" w:eastAsia="zh-CN"/>
                    </w:rPr>
                    <w:t>0.001L</w:t>
                  </w:r>
                </w:p>
              </w:tc>
              <w:tc>
                <w:tcPr>
                  <w:tcW w:w="620" w:type="pct"/>
                  <w:vAlign w:val="center"/>
                </w:tcPr>
                <w:p w14:paraId="24307327">
                  <w:pPr>
                    <w:bidi w:val="0"/>
                    <w:jc w:val="center"/>
                    <w:rPr>
                      <w:color w:val="0000FF"/>
                    </w:rPr>
                  </w:pPr>
                  <w:r>
                    <w:rPr>
                      <w:rFonts w:hint="eastAsia"/>
                      <w:color w:val="0000FF"/>
                      <w:lang w:val="en-US" w:eastAsia="zh-CN"/>
                    </w:rPr>
                    <w:t>0.001L</w:t>
                  </w:r>
                </w:p>
              </w:tc>
            </w:tr>
            <w:tr w14:paraId="07F3A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006C74F7">
                  <w:pPr>
                    <w:pStyle w:val="40"/>
                    <w:bidi w:val="0"/>
                    <w:jc w:val="center"/>
                    <w:rPr>
                      <w:rFonts w:hint="default"/>
                      <w:color w:val="0000FF"/>
                      <w:lang w:val="en-US" w:eastAsia="zh-CN"/>
                    </w:rPr>
                  </w:pPr>
                  <w:r>
                    <w:rPr>
                      <w:rFonts w:hint="eastAsia"/>
                      <w:color w:val="0000FF"/>
                      <w:lang w:val="en-US" w:eastAsia="zh-CN"/>
                    </w:rPr>
                    <w:t>硝酸盐氮</w:t>
                  </w:r>
                </w:p>
              </w:tc>
              <w:tc>
                <w:tcPr>
                  <w:tcW w:w="832" w:type="pct"/>
                  <w:vAlign w:val="center"/>
                </w:tcPr>
                <w:p w14:paraId="6E0E6490">
                  <w:pPr>
                    <w:pStyle w:val="40"/>
                    <w:bidi w:val="0"/>
                    <w:ind w:firstLine="0" w:firstLineChars="0"/>
                    <w:jc w:val="center"/>
                    <w:rPr>
                      <w:rFonts w:hint="default"/>
                      <w:color w:val="0000FF"/>
                      <w:lang w:val="en-US" w:eastAsia="zh-CN"/>
                    </w:rPr>
                  </w:pPr>
                  <w:r>
                    <w:rPr>
                      <w:rFonts w:hint="eastAsia"/>
                      <w:color w:val="0000FF"/>
                      <w:lang w:val="en-US" w:eastAsia="zh-CN"/>
                    </w:rPr>
                    <w:t>≤20.0</w:t>
                  </w:r>
                </w:p>
              </w:tc>
              <w:tc>
                <w:tcPr>
                  <w:tcW w:w="724" w:type="pct"/>
                  <w:vAlign w:val="center"/>
                </w:tcPr>
                <w:p w14:paraId="23409038">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6C7E0C91">
                  <w:pPr>
                    <w:pStyle w:val="40"/>
                    <w:bidi w:val="0"/>
                    <w:jc w:val="center"/>
                    <w:rPr>
                      <w:rFonts w:hint="default" w:eastAsia="宋体"/>
                      <w:color w:val="0000FF"/>
                      <w:lang w:val="en-US" w:eastAsia="zh-CN"/>
                    </w:rPr>
                  </w:pPr>
                  <w:r>
                    <w:rPr>
                      <w:rFonts w:hint="eastAsia"/>
                      <w:color w:val="0000FF"/>
                      <w:lang w:val="en-US" w:eastAsia="zh-CN"/>
                    </w:rPr>
                    <w:t>1.63</w:t>
                  </w:r>
                </w:p>
              </w:tc>
              <w:tc>
                <w:tcPr>
                  <w:tcW w:w="618" w:type="pct"/>
                  <w:vAlign w:val="center"/>
                </w:tcPr>
                <w:p w14:paraId="68DEB3D8">
                  <w:pPr>
                    <w:pStyle w:val="40"/>
                    <w:bidi w:val="0"/>
                    <w:jc w:val="center"/>
                    <w:rPr>
                      <w:rFonts w:hint="default" w:eastAsia="宋体"/>
                      <w:color w:val="0000FF"/>
                      <w:lang w:val="en-US" w:eastAsia="zh-CN"/>
                    </w:rPr>
                  </w:pPr>
                  <w:r>
                    <w:rPr>
                      <w:rFonts w:hint="eastAsia"/>
                      <w:color w:val="0000FF"/>
                      <w:lang w:val="en-US" w:eastAsia="zh-CN"/>
                    </w:rPr>
                    <w:t>0.08L</w:t>
                  </w:r>
                </w:p>
              </w:tc>
              <w:tc>
                <w:tcPr>
                  <w:tcW w:w="620" w:type="pct"/>
                  <w:vAlign w:val="center"/>
                </w:tcPr>
                <w:p w14:paraId="784D2AC9">
                  <w:pPr>
                    <w:pStyle w:val="40"/>
                    <w:bidi w:val="0"/>
                    <w:jc w:val="center"/>
                    <w:rPr>
                      <w:rFonts w:hint="default" w:eastAsia="宋体"/>
                      <w:color w:val="0000FF"/>
                      <w:lang w:val="en-US" w:eastAsia="zh-CN"/>
                    </w:rPr>
                  </w:pPr>
                  <w:r>
                    <w:rPr>
                      <w:rFonts w:hint="eastAsia"/>
                      <w:color w:val="0000FF"/>
                      <w:lang w:val="en-US" w:eastAsia="zh-CN"/>
                    </w:rPr>
                    <w:t>0.25</w:t>
                  </w:r>
                </w:p>
              </w:tc>
            </w:tr>
            <w:tr w14:paraId="4DEF4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587" w:type="pct"/>
                  <w:vAlign w:val="center"/>
                </w:tcPr>
                <w:p w14:paraId="0B0F1AAC">
                  <w:pPr>
                    <w:pStyle w:val="40"/>
                    <w:bidi w:val="0"/>
                    <w:jc w:val="center"/>
                    <w:rPr>
                      <w:rFonts w:hint="default"/>
                      <w:color w:val="0000FF"/>
                      <w:lang w:val="en-US" w:eastAsia="zh-CN"/>
                    </w:rPr>
                  </w:pPr>
                  <w:r>
                    <w:rPr>
                      <w:rFonts w:hint="eastAsia"/>
                      <w:color w:val="0000FF"/>
                      <w:lang w:val="en-US" w:eastAsia="zh-CN"/>
                    </w:rPr>
                    <w:t>挥发酚</w:t>
                  </w:r>
                </w:p>
              </w:tc>
              <w:tc>
                <w:tcPr>
                  <w:tcW w:w="832" w:type="pct"/>
                  <w:vAlign w:val="center"/>
                </w:tcPr>
                <w:p w14:paraId="0C125BAD">
                  <w:pPr>
                    <w:pStyle w:val="40"/>
                    <w:bidi w:val="0"/>
                    <w:ind w:firstLine="0" w:firstLineChars="0"/>
                    <w:jc w:val="center"/>
                    <w:rPr>
                      <w:rFonts w:hint="default"/>
                      <w:color w:val="0000FF"/>
                      <w:lang w:val="en-US" w:eastAsia="zh-CN"/>
                    </w:rPr>
                  </w:pPr>
                  <w:r>
                    <w:rPr>
                      <w:rFonts w:hint="eastAsia"/>
                      <w:color w:val="0000FF"/>
                      <w:lang w:val="en-US" w:eastAsia="zh-CN"/>
                    </w:rPr>
                    <w:t>≤0.002</w:t>
                  </w:r>
                </w:p>
              </w:tc>
              <w:tc>
                <w:tcPr>
                  <w:tcW w:w="724" w:type="pct"/>
                  <w:vAlign w:val="center"/>
                </w:tcPr>
                <w:p w14:paraId="7E5BE665">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7919D514">
                  <w:pPr>
                    <w:pStyle w:val="40"/>
                    <w:bidi w:val="0"/>
                    <w:jc w:val="center"/>
                    <w:rPr>
                      <w:rFonts w:hint="default" w:eastAsia="宋体"/>
                      <w:color w:val="0000FF"/>
                      <w:lang w:val="en-US" w:eastAsia="zh-CN"/>
                    </w:rPr>
                  </w:pPr>
                  <w:r>
                    <w:rPr>
                      <w:rFonts w:hint="eastAsia"/>
                      <w:color w:val="0000FF"/>
                      <w:lang w:val="en-US" w:eastAsia="zh-CN"/>
                    </w:rPr>
                    <w:t>0.0003L</w:t>
                  </w:r>
                </w:p>
              </w:tc>
              <w:tc>
                <w:tcPr>
                  <w:tcW w:w="618" w:type="pct"/>
                  <w:vAlign w:val="center"/>
                </w:tcPr>
                <w:p w14:paraId="09C20D8E">
                  <w:pPr>
                    <w:bidi w:val="0"/>
                    <w:jc w:val="center"/>
                    <w:rPr>
                      <w:color w:val="0000FF"/>
                    </w:rPr>
                  </w:pPr>
                  <w:r>
                    <w:rPr>
                      <w:rFonts w:hint="eastAsia"/>
                      <w:color w:val="0000FF"/>
                      <w:lang w:val="en-US" w:eastAsia="zh-CN"/>
                    </w:rPr>
                    <w:t>0.0003L</w:t>
                  </w:r>
                </w:p>
              </w:tc>
              <w:tc>
                <w:tcPr>
                  <w:tcW w:w="620" w:type="pct"/>
                  <w:vAlign w:val="center"/>
                </w:tcPr>
                <w:p w14:paraId="504853DB">
                  <w:pPr>
                    <w:bidi w:val="0"/>
                    <w:jc w:val="center"/>
                    <w:rPr>
                      <w:color w:val="0000FF"/>
                    </w:rPr>
                  </w:pPr>
                  <w:r>
                    <w:rPr>
                      <w:rFonts w:hint="eastAsia"/>
                      <w:color w:val="0000FF"/>
                      <w:lang w:val="en-US" w:eastAsia="zh-CN"/>
                    </w:rPr>
                    <w:t>0.0003L</w:t>
                  </w:r>
                </w:p>
              </w:tc>
            </w:tr>
            <w:tr w14:paraId="3DEBB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2256987D">
                  <w:pPr>
                    <w:pStyle w:val="40"/>
                    <w:bidi w:val="0"/>
                    <w:jc w:val="center"/>
                    <w:rPr>
                      <w:rFonts w:hint="default"/>
                      <w:color w:val="0000FF"/>
                      <w:lang w:val="en-US" w:eastAsia="zh-CN"/>
                    </w:rPr>
                  </w:pPr>
                  <w:r>
                    <w:rPr>
                      <w:rFonts w:hint="eastAsia"/>
                      <w:color w:val="0000FF"/>
                      <w:lang w:val="en-US" w:eastAsia="zh-CN"/>
                    </w:rPr>
                    <w:t>氰化物</w:t>
                  </w:r>
                </w:p>
              </w:tc>
              <w:tc>
                <w:tcPr>
                  <w:tcW w:w="832" w:type="pct"/>
                  <w:vAlign w:val="center"/>
                </w:tcPr>
                <w:p w14:paraId="373748F5">
                  <w:pPr>
                    <w:pStyle w:val="40"/>
                    <w:bidi w:val="0"/>
                    <w:ind w:firstLine="0" w:firstLineChars="0"/>
                    <w:jc w:val="center"/>
                    <w:rPr>
                      <w:rFonts w:hint="default"/>
                      <w:color w:val="0000FF"/>
                      <w:lang w:val="en-US" w:eastAsia="zh-CN"/>
                    </w:rPr>
                  </w:pPr>
                  <w:r>
                    <w:rPr>
                      <w:rFonts w:hint="eastAsia"/>
                      <w:color w:val="0000FF"/>
                      <w:lang w:val="en-US" w:eastAsia="zh-CN"/>
                    </w:rPr>
                    <w:t>≤0.05</w:t>
                  </w:r>
                </w:p>
              </w:tc>
              <w:tc>
                <w:tcPr>
                  <w:tcW w:w="724" w:type="pct"/>
                  <w:vAlign w:val="center"/>
                </w:tcPr>
                <w:p w14:paraId="64E16C03">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68CC3737">
                  <w:pPr>
                    <w:pStyle w:val="40"/>
                    <w:bidi w:val="0"/>
                    <w:jc w:val="center"/>
                    <w:rPr>
                      <w:rFonts w:hint="default" w:eastAsia="宋体"/>
                      <w:color w:val="0000FF"/>
                      <w:lang w:val="en-US" w:eastAsia="zh-CN"/>
                    </w:rPr>
                  </w:pPr>
                  <w:r>
                    <w:rPr>
                      <w:rFonts w:hint="eastAsia"/>
                      <w:color w:val="0000FF"/>
                      <w:lang w:val="en-US" w:eastAsia="zh-CN"/>
                    </w:rPr>
                    <w:t>0.002L</w:t>
                  </w:r>
                </w:p>
              </w:tc>
              <w:tc>
                <w:tcPr>
                  <w:tcW w:w="618" w:type="pct"/>
                  <w:vAlign w:val="center"/>
                </w:tcPr>
                <w:p w14:paraId="0B1938D8">
                  <w:pPr>
                    <w:bidi w:val="0"/>
                    <w:jc w:val="center"/>
                    <w:rPr>
                      <w:color w:val="0000FF"/>
                    </w:rPr>
                  </w:pPr>
                  <w:r>
                    <w:rPr>
                      <w:rFonts w:hint="eastAsia"/>
                      <w:color w:val="0000FF"/>
                      <w:lang w:val="en-US" w:eastAsia="zh-CN"/>
                    </w:rPr>
                    <w:t>0.002L</w:t>
                  </w:r>
                </w:p>
              </w:tc>
              <w:tc>
                <w:tcPr>
                  <w:tcW w:w="620" w:type="pct"/>
                  <w:vAlign w:val="center"/>
                </w:tcPr>
                <w:p w14:paraId="05E02748">
                  <w:pPr>
                    <w:bidi w:val="0"/>
                    <w:jc w:val="center"/>
                    <w:rPr>
                      <w:color w:val="0000FF"/>
                    </w:rPr>
                  </w:pPr>
                  <w:r>
                    <w:rPr>
                      <w:rFonts w:hint="eastAsia"/>
                      <w:color w:val="0000FF"/>
                      <w:lang w:val="en-US" w:eastAsia="zh-CN"/>
                    </w:rPr>
                    <w:t>0.002L</w:t>
                  </w:r>
                </w:p>
              </w:tc>
            </w:tr>
            <w:tr w14:paraId="2C0C7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0381B610">
                  <w:pPr>
                    <w:pStyle w:val="40"/>
                    <w:bidi w:val="0"/>
                    <w:jc w:val="center"/>
                    <w:rPr>
                      <w:rFonts w:hint="default"/>
                      <w:color w:val="0000FF"/>
                      <w:lang w:val="en-US" w:eastAsia="zh-CN"/>
                    </w:rPr>
                  </w:pPr>
                  <w:r>
                    <w:rPr>
                      <w:rFonts w:hint="eastAsia"/>
                      <w:color w:val="0000FF"/>
                      <w:lang w:val="en-US" w:eastAsia="zh-CN"/>
                    </w:rPr>
                    <w:t>砷</w:t>
                  </w:r>
                </w:p>
              </w:tc>
              <w:tc>
                <w:tcPr>
                  <w:tcW w:w="832" w:type="pct"/>
                  <w:vAlign w:val="center"/>
                </w:tcPr>
                <w:p w14:paraId="094ADDF3">
                  <w:pPr>
                    <w:pStyle w:val="40"/>
                    <w:bidi w:val="0"/>
                    <w:ind w:firstLine="0" w:firstLineChars="0"/>
                    <w:jc w:val="center"/>
                    <w:rPr>
                      <w:rFonts w:hint="default"/>
                      <w:color w:val="0000FF"/>
                      <w:lang w:val="en-US" w:eastAsia="zh-CN"/>
                    </w:rPr>
                  </w:pPr>
                  <w:r>
                    <w:rPr>
                      <w:rFonts w:hint="eastAsia"/>
                      <w:color w:val="0000FF"/>
                      <w:lang w:val="en-US" w:eastAsia="zh-CN"/>
                    </w:rPr>
                    <w:t>≤0.01</w:t>
                  </w:r>
                </w:p>
              </w:tc>
              <w:tc>
                <w:tcPr>
                  <w:tcW w:w="724" w:type="pct"/>
                  <w:vAlign w:val="center"/>
                </w:tcPr>
                <w:p w14:paraId="367148F6">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17C4712A">
                  <w:pPr>
                    <w:pStyle w:val="40"/>
                    <w:bidi w:val="0"/>
                    <w:jc w:val="center"/>
                    <w:rPr>
                      <w:rFonts w:hint="default" w:eastAsia="宋体"/>
                      <w:color w:val="0000FF"/>
                      <w:lang w:val="en-US" w:eastAsia="zh-CN"/>
                    </w:rPr>
                  </w:pPr>
                  <w:r>
                    <w:rPr>
                      <w:rFonts w:hint="eastAsia"/>
                      <w:color w:val="0000FF"/>
                      <w:lang w:val="en-US" w:eastAsia="zh-CN"/>
                    </w:rPr>
                    <w:t>3×10</w:t>
                  </w:r>
                  <w:r>
                    <w:rPr>
                      <w:rFonts w:hint="eastAsia"/>
                      <w:color w:val="0000FF"/>
                      <w:vertAlign w:val="superscript"/>
                      <w:lang w:val="en-US" w:eastAsia="zh-CN"/>
                    </w:rPr>
                    <w:t>-4</w:t>
                  </w:r>
                  <w:r>
                    <w:rPr>
                      <w:rFonts w:hint="eastAsia"/>
                      <w:color w:val="0000FF"/>
                      <w:lang w:val="en-US" w:eastAsia="zh-CN"/>
                    </w:rPr>
                    <w:t>L</w:t>
                  </w:r>
                </w:p>
              </w:tc>
              <w:tc>
                <w:tcPr>
                  <w:tcW w:w="618" w:type="pct"/>
                  <w:vAlign w:val="center"/>
                </w:tcPr>
                <w:p w14:paraId="313CB803">
                  <w:pPr>
                    <w:bidi w:val="0"/>
                    <w:jc w:val="center"/>
                    <w:rPr>
                      <w:color w:val="0000FF"/>
                    </w:rPr>
                  </w:pPr>
                  <w:r>
                    <w:rPr>
                      <w:rFonts w:hint="eastAsia"/>
                      <w:color w:val="0000FF"/>
                      <w:lang w:val="en-US" w:eastAsia="zh-CN"/>
                    </w:rPr>
                    <w:t>3×10</w:t>
                  </w:r>
                  <w:r>
                    <w:rPr>
                      <w:rFonts w:hint="eastAsia"/>
                      <w:color w:val="0000FF"/>
                      <w:vertAlign w:val="superscript"/>
                      <w:lang w:val="en-US" w:eastAsia="zh-CN"/>
                    </w:rPr>
                    <w:t>-4</w:t>
                  </w:r>
                  <w:r>
                    <w:rPr>
                      <w:rFonts w:hint="eastAsia"/>
                      <w:color w:val="0000FF"/>
                      <w:lang w:val="en-US" w:eastAsia="zh-CN"/>
                    </w:rPr>
                    <w:t>L</w:t>
                  </w:r>
                </w:p>
              </w:tc>
              <w:tc>
                <w:tcPr>
                  <w:tcW w:w="620" w:type="pct"/>
                  <w:vAlign w:val="center"/>
                </w:tcPr>
                <w:p w14:paraId="3C18A15A">
                  <w:pPr>
                    <w:bidi w:val="0"/>
                    <w:jc w:val="center"/>
                    <w:rPr>
                      <w:color w:val="0000FF"/>
                    </w:rPr>
                  </w:pPr>
                  <w:r>
                    <w:rPr>
                      <w:rFonts w:hint="eastAsia"/>
                      <w:color w:val="0000FF"/>
                      <w:lang w:val="en-US" w:eastAsia="zh-CN"/>
                    </w:rPr>
                    <w:t>3×10</w:t>
                  </w:r>
                  <w:r>
                    <w:rPr>
                      <w:rFonts w:hint="eastAsia"/>
                      <w:color w:val="0000FF"/>
                      <w:vertAlign w:val="superscript"/>
                      <w:lang w:val="en-US" w:eastAsia="zh-CN"/>
                    </w:rPr>
                    <w:t>-4</w:t>
                  </w:r>
                  <w:r>
                    <w:rPr>
                      <w:rFonts w:hint="eastAsia"/>
                      <w:color w:val="0000FF"/>
                      <w:lang w:val="en-US" w:eastAsia="zh-CN"/>
                    </w:rPr>
                    <w:t>L</w:t>
                  </w:r>
                </w:p>
              </w:tc>
            </w:tr>
            <w:tr w14:paraId="4AE35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71C9001B">
                  <w:pPr>
                    <w:pStyle w:val="40"/>
                    <w:bidi w:val="0"/>
                    <w:jc w:val="center"/>
                    <w:rPr>
                      <w:rFonts w:hint="default"/>
                      <w:color w:val="0000FF"/>
                      <w:lang w:val="en-US" w:eastAsia="zh-CN"/>
                    </w:rPr>
                  </w:pPr>
                  <w:r>
                    <w:rPr>
                      <w:rFonts w:hint="eastAsia"/>
                      <w:color w:val="0000FF"/>
                      <w:lang w:val="en-US" w:eastAsia="zh-CN"/>
                    </w:rPr>
                    <w:t>汞</w:t>
                  </w:r>
                </w:p>
              </w:tc>
              <w:tc>
                <w:tcPr>
                  <w:tcW w:w="832" w:type="pct"/>
                  <w:vAlign w:val="center"/>
                </w:tcPr>
                <w:p w14:paraId="3C23E1EB">
                  <w:pPr>
                    <w:pStyle w:val="40"/>
                    <w:bidi w:val="0"/>
                    <w:ind w:firstLine="0" w:firstLineChars="0"/>
                    <w:jc w:val="center"/>
                    <w:rPr>
                      <w:rFonts w:hint="default"/>
                      <w:color w:val="0000FF"/>
                      <w:lang w:val="en-US" w:eastAsia="zh-CN"/>
                    </w:rPr>
                  </w:pPr>
                  <w:r>
                    <w:rPr>
                      <w:rFonts w:hint="eastAsia"/>
                      <w:color w:val="0000FF"/>
                      <w:lang w:val="en-US" w:eastAsia="zh-CN"/>
                    </w:rPr>
                    <w:t>≤0.001</w:t>
                  </w:r>
                </w:p>
              </w:tc>
              <w:tc>
                <w:tcPr>
                  <w:tcW w:w="724" w:type="pct"/>
                  <w:vAlign w:val="center"/>
                </w:tcPr>
                <w:p w14:paraId="2D43BA26">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69CE2DF0">
                  <w:pPr>
                    <w:pStyle w:val="40"/>
                    <w:bidi w:val="0"/>
                    <w:jc w:val="center"/>
                    <w:rPr>
                      <w:color w:val="0000FF"/>
                    </w:rPr>
                  </w:pPr>
                  <w:r>
                    <w:rPr>
                      <w:rFonts w:hint="eastAsia"/>
                      <w:color w:val="0000FF"/>
                      <w:lang w:val="en-US" w:eastAsia="zh-CN"/>
                    </w:rPr>
                    <w:t>4×10</w:t>
                  </w:r>
                  <w:r>
                    <w:rPr>
                      <w:rFonts w:hint="eastAsia"/>
                      <w:color w:val="0000FF"/>
                      <w:vertAlign w:val="superscript"/>
                      <w:lang w:val="en-US" w:eastAsia="zh-CN"/>
                    </w:rPr>
                    <w:t>-5</w:t>
                  </w:r>
                  <w:r>
                    <w:rPr>
                      <w:rFonts w:hint="eastAsia"/>
                      <w:color w:val="0000FF"/>
                      <w:lang w:val="en-US" w:eastAsia="zh-CN"/>
                    </w:rPr>
                    <w:t>L</w:t>
                  </w:r>
                </w:p>
              </w:tc>
              <w:tc>
                <w:tcPr>
                  <w:tcW w:w="618" w:type="pct"/>
                  <w:vAlign w:val="center"/>
                </w:tcPr>
                <w:p w14:paraId="6FE985E4">
                  <w:pPr>
                    <w:bidi w:val="0"/>
                    <w:jc w:val="center"/>
                    <w:rPr>
                      <w:color w:val="0000FF"/>
                    </w:rPr>
                  </w:pPr>
                  <w:r>
                    <w:rPr>
                      <w:rFonts w:hint="eastAsia"/>
                      <w:color w:val="0000FF"/>
                      <w:lang w:val="en-US" w:eastAsia="zh-CN"/>
                    </w:rPr>
                    <w:t>4×10</w:t>
                  </w:r>
                  <w:r>
                    <w:rPr>
                      <w:rFonts w:hint="eastAsia"/>
                      <w:color w:val="0000FF"/>
                      <w:vertAlign w:val="superscript"/>
                      <w:lang w:val="en-US" w:eastAsia="zh-CN"/>
                    </w:rPr>
                    <w:t>-5</w:t>
                  </w:r>
                  <w:r>
                    <w:rPr>
                      <w:rFonts w:hint="eastAsia"/>
                      <w:color w:val="0000FF"/>
                      <w:lang w:val="en-US" w:eastAsia="zh-CN"/>
                    </w:rPr>
                    <w:t>L</w:t>
                  </w:r>
                </w:p>
              </w:tc>
              <w:tc>
                <w:tcPr>
                  <w:tcW w:w="620" w:type="pct"/>
                  <w:vAlign w:val="center"/>
                </w:tcPr>
                <w:p w14:paraId="097923DE">
                  <w:pPr>
                    <w:bidi w:val="0"/>
                    <w:jc w:val="center"/>
                    <w:rPr>
                      <w:color w:val="0000FF"/>
                    </w:rPr>
                  </w:pPr>
                  <w:r>
                    <w:rPr>
                      <w:rFonts w:hint="eastAsia"/>
                      <w:color w:val="0000FF"/>
                      <w:lang w:val="en-US" w:eastAsia="zh-CN"/>
                    </w:rPr>
                    <w:t>4×10</w:t>
                  </w:r>
                  <w:r>
                    <w:rPr>
                      <w:rFonts w:hint="eastAsia"/>
                      <w:color w:val="0000FF"/>
                      <w:vertAlign w:val="superscript"/>
                      <w:lang w:val="en-US" w:eastAsia="zh-CN"/>
                    </w:rPr>
                    <w:t>-5</w:t>
                  </w:r>
                  <w:r>
                    <w:rPr>
                      <w:rFonts w:hint="eastAsia"/>
                      <w:color w:val="0000FF"/>
                      <w:lang w:val="en-US" w:eastAsia="zh-CN"/>
                    </w:rPr>
                    <w:t>L</w:t>
                  </w:r>
                </w:p>
              </w:tc>
            </w:tr>
            <w:tr w14:paraId="37425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512EB35F">
                  <w:pPr>
                    <w:pStyle w:val="40"/>
                    <w:bidi w:val="0"/>
                    <w:jc w:val="center"/>
                    <w:rPr>
                      <w:rFonts w:hint="default"/>
                      <w:color w:val="0000FF"/>
                      <w:lang w:val="en-US" w:eastAsia="zh-CN"/>
                    </w:rPr>
                  </w:pPr>
                  <w:r>
                    <w:rPr>
                      <w:rFonts w:hint="eastAsia"/>
                      <w:color w:val="0000FF"/>
                      <w:lang w:val="en-US" w:eastAsia="zh-CN"/>
                    </w:rPr>
                    <w:t>六价铬</w:t>
                  </w:r>
                </w:p>
              </w:tc>
              <w:tc>
                <w:tcPr>
                  <w:tcW w:w="832" w:type="pct"/>
                  <w:vAlign w:val="center"/>
                </w:tcPr>
                <w:p w14:paraId="79388874">
                  <w:pPr>
                    <w:pStyle w:val="40"/>
                    <w:bidi w:val="0"/>
                    <w:ind w:firstLine="0" w:firstLineChars="0"/>
                    <w:jc w:val="center"/>
                    <w:rPr>
                      <w:rFonts w:hint="default"/>
                      <w:color w:val="0000FF"/>
                      <w:lang w:val="en-US" w:eastAsia="zh-CN"/>
                    </w:rPr>
                  </w:pPr>
                  <w:r>
                    <w:rPr>
                      <w:rFonts w:hint="eastAsia"/>
                      <w:color w:val="0000FF"/>
                      <w:lang w:val="en-US" w:eastAsia="zh-CN"/>
                    </w:rPr>
                    <w:t>≤0.05</w:t>
                  </w:r>
                </w:p>
              </w:tc>
              <w:tc>
                <w:tcPr>
                  <w:tcW w:w="724" w:type="pct"/>
                  <w:vAlign w:val="center"/>
                </w:tcPr>
                <w:p w14:paraId="379C5E51">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58AE1456">
                  <w:pPr>
                    <w:pStyle w:val="40"/>
                    <w:bidi w:val="0"/>
                    <w:jc w:val="center"/>
                    <w:rPr>
                      <w:rFonts w:hint="default" w:eastAsia="宋体"/>
                      <w:color w:val="0000FF"/>
                      <w:lang w:val="en-US" w:eastAsia="zh-CN"/>
                    </w:rPr>
                  </w:pPr>
                  <w:r>
                    <w:rPr>
                      <w:rFonts w:hint="eastAsia"/>
                      <w:color w:val="0000FF"/>
                      <w:lang w:val="en-US" w:eastAsia="zh-CN"/>
                    </w:rPr>
                    <w:t>0.004L</w:t>
                  </w:r>
                </w:p>
              </w:tc>
              <w:tc>
                <w:tcPr>
                  <w:tcW w:w="618" w:type="pct"/>
                  <w:vAlign w:val="center"/>
                </w:tcPr>
                <w:p w14:paraId="7D62563C">
                  <w:pPr>
                    <w:bidi w:val="0"/>
                    <w:jc w:val="center"/>
                    <w:rPr>
                      <w:color w:val="0000FF"/>
                    </w:rPr>
                  </w:pPr>
                  <w:r>
                    <w:rPr>
                      <w:rFonts w:hint="eastAsia"/>
                      <w:color w:val="0000FF"/>
                      <w:lang w:val="en-US" w:eastAsia="zh-CN"/>
                    </w:rPr>
                    <w:t>0.004L</w:t>
                  </w:r>
                </w:p>
              </w:tc>
              <w:tc>
                <w:tcPr>
                  <w:tcW w:w="620" w:type="pct"/>
                  <w:vAlign w:val="center"/>
                </w:tcPr>
                <w:p w14:paraId="45761E68">
                  <w:pPr>
                    <w:bidi w:val="0"/>
                    <w:jc w:val="center"/>
                    <w:rPr>
                      <w:color w:val="0000FF"/>
                    </w:rPr>
                  </w:pPr>
                  <w:r>
                    <w:rPr>
                      <w:rFonts w:hint="eastAsia"/>
                      <w:color w:val="0000FF"/>
                      <w:lang w:val="en-US" w:eastAsia="zh-CN"/>
                    </w:rPr>
                    <w:t>0.004L</w:t>
                  </w:r>
                </w:p>
              </w:tc>
            </w:tr>
            <w:tr w14:paraId="40256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54703715">
                  <w:pPr>
                    <w:pStyle w:val="40"/>
                    <w:bidi w:val="0"/>
                    <w:jc w:val="center"/>
                    <w:rPr>
                      <w:rFonts w:hint="default"/>
                      <w:color w:val="0000FF"/>
                      <w:lang w:val="en-US" w:eastAsia="zh-CN"/>
                    </w:rPr>
                  </w:pPr>
                  <w:r>
                    <w:rPr>
                      <w:rFonts w:hint="eastAsia"/>
                      <w:color w:val="0000FF"/>
                      <w:lang w:val="en-US" w:eastAsia="zh-CN"/>
                    </w:rPr>
                    <w:t>氟化物</w:t>
                  </w:r>
                </w:p>
              </w:tc>
              <w:tc>
                <w:tcPr>
                  <w:tcW w:w="832" w:type="pct"/>
                  <w:vAlign w:val="center"/>
                </w:tcPr>
                <w:p w14:paraId="189C5D20">
                  <w:pPr>
                    <w:pStyle w:val="40"/>
                    <w:bidi w:val="0"/>
                    <w:ind w:firstLine="0" w:firstLineChars="0"/>
                    <w:jc w:val="center"/>
                    <w:rPr>
                      <w:rFonts w:hint="default"/>
                      <w:color w:val="0000FF"/>
                      <w:lang w:val="en-US" w:eastAsia="zh-CN"/>
                    </w:rPr>
                  </w:pPr>
                  <w:r>
                    <w:rPr>
                      <w:rFonts w:hint="eastAsia"/>
                      <w:color w:val="0000FF"/>
                      <w:lang w:val="en-US" w:eastAsia="zh-CN"/>
                    </w:rPr>
                    <w:t>≤1.0</w:t>
                  </w:r>
                </w:p>
              </w:tc>
              <w:tc>
                <w:tcPr>
                  <w:tcW w:w="724" w:type="pct"/>
                  <w:vAlign w:val="center"/>
                </w:tcPr>
                <w:p w14:paraId="1A95F91F">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6C1676A6">
                  <w:pPr>
                    <w:pStyle w:val="40"/>
                    <w:bidi w:val="0"/>
                    <w:jc w:val="center"/>
                    <w:rPr>
                      <w:rFonts w:hint="default" w:eastAsia="宋体"/>
                      <w:color w:val="0000FF"/>
                      <w:lang w:val="en-US" w:eastAsia="zh-CN"/>
                    </w:rPr>
                  </w:pPr>
                  <w:r>
                    <w:rPr>
                      <w:rFonts w:hint="eastAsia"/>
                      <w:color w:val="0000FF"/>
                      <w:lang w:val="en-US" w:eastAsia="zh-CN"/>
                    </w:rPr>
                    <w:t>3.13</w:t>
                  </w:r>
                </w:p>
              </w:tc>
              <w:tc>
                <w:tcPr>
                  <w:tcW w:w="618" w:type="pct"/>
                  <w:vAlign w:val="center"/>
                </w:tcPr>
                <w:p w14:paraId="70372F93">
                  <w:pPr>
                    <w:pStyle w:val="40"/>
                    <w:bidi w:val="0"/>
                    <w:jc w:val="center"/>
                    <w:rPr>
                      <w:rFonts w:hint="default" w:eastAsia="宋体"/>
                      <w:color w:val="0000FF"/>
                      <w:lang w:val="en-US" w:eastAsia="zh-CN"/>
                    </w:rPr>
                  </w:pPr>
                  <w:r>
                    <w:rPr>
                      <w:rFonts w:hint="eastAsia"/>
                      <w:color w:val="0000FF"/>
                      <w:lang w:val="en-US" w:eastAsia="zh-CN"/>
                    </w:rPr>
                    <w:t>0.964</w:t>
                  </w:r>
                </w:p>
              </w:tc>
              <w:tc>
                <w:tcPr>
                  <w:tcW w:w="620" w:type="pct"/>
                  <w:vAlign w:val="center"/>
                </w:tcPr>
                <w:p w14:paraId="3553B462">
                  <w:pPr>
                    <w:pStyle w:val="40"/>
                    <w:bidi w:val="0"/>
                    <w:jc w:val="center"/>
                    <w:rPr>
                      <w:rFonts w:hint="default" w:eastAsia="宋体"/>
                      <w:color w:val="0000FF"/>
                      <w:lang w:val="en-US" w:eastAsia="zh-CN"/>
                    </w:rPr>
                  </w:pPr>
                  <w:r>
                    <w:rPr>
                      <w:rFonts w:hint="eastAsia"/>
                      <w:color w:val="0000FF"/>
                      <w:lang w:val="en-US" w:eastAsia="zh-CN"/>
                    </w:rPr>
                    <w:t>0.874</w:t>
                  </w:r>
                </w:p>
              </w:tc>
            </w:tr>
            <w:tr w14:paraId="12DFB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0C2128C9">
                  <w:pPr>
                    <w:pStyle w:val="40"/>
                    <w:bidi w:val="0"/>
                    <w:jc w:val="center"/>
                    <w:rPr>
                      <w:rFonts w:hint="default"/>
                      <w:color w:val="0000FF"/>
                      <w:lang w:val="en-US" w:eastAsia="zh-CN"/>
                    </w:rPr>
                  </w:pPr>
                  <w:r>
                    <w:rPr>
                      <w:rFonts w:hint="eastAsia"/>
                      <w:color w:val="0000FF"/>
                      <w:lang w:val="en-US" w:eastAsia="zh-CN"/>
                    </w:rPr>
                    <w:t>铅</w:t>
                  </w:r>
                </w:p>
              </w:tc>
              <w:tc>
                <w:tcPr>
                  <w:tcW w:w="832" w:type="pct"/>
                  <w:vAlign w:val="center"/>
                </w:tcPr>
                <w:p w14:paraId="7A0C5FAF">
                  <w:pPr>
                    <w:pStyle w:val="40"/>
                    <w:bidi w:val="0"/>
                    <w:ind w:firstLine="0" w:firstLineChars="0"/>
                    <w:jc w:val="center"/>
                    <w:rPr>
                      <w:rFonts w:hint="default"/>
                      <w:color w:val="0000FF"/>
                      <w:lang w:val="en-US" w:eastAsia="zh-CN"/>
                    </w:rPr>
                  </w:pPr>
                  <w:r>
                    <w:rPr>
                      <w:rFonts w:hint="eastAsia"/>
                      <w:color w:val="0000FF"/>
                      <w:lang w:val="en-US" w:eastAsia="zh-CN"/>
                    </w:rPr>
                    <w:t>≤0.01</w:t>
                  </w:r>
                </w:p>
              </w:tc>
              <w:tc>
                <w:tcPr>
                  <w:tcW w:w="724" w:type="pct"/>
                  <w:vAlign w:val="center"/>
                </w:tcPr>
                <w:p w14:paraId="60DAE183">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49ADC489">
                  <w:pPr>
                    <w:pStyle w:val="40"/>
                    <w:bidi w:val="0"/>
                    <w:jc w:val="center"/>
                    <w:rPr>
                      <w:color w:val="0000FF"/>
                    </w:rPr>
                  </w:pPr>
                  <w:r>
                    <w:rPr>
                      <w:rFonts w:hint="eastAsia"/>
                      <w:color w:val="0000FF"/>
                      <w:lang w:val="en-US" w:eastAsia="zh-CN"/>
                    </w:rPr>
                    <w:t>1×10</w:t>
                  </w:r>
                  <w:r>
                    <w:rPr>
                      <w:rFonts w:hint="eastAsia"/>
                      <w:color w:val="0000FF"/>
                      <w:vertAlign w:val="superscript"/>
                      <w:lang w:val="en-US" w:eastAsia="zh-CN"/>
                    </w:rPr>
                    <w:t>-3</w:t>
                  </w:r>
                  <w:r>
                    <w:rPr>
                      <w:rFonts w:hint="eastAsia"/>
                      <w:color w:val="0000FF"/>
                      <w:lang w:val="en-US" w:eastAsia="zh-CN"/>
                    </w:rPr>
                    <w:t>L</w:t>
                  </w:r>
                </w:p>
              </w:tc>
              <w:tc>
                <w:tcPr>
                  <w:tcW w:w="618" w:type="pct"/>
                  <w:vAlign w:val="center"/>
                </w:tcPr>
                <w:p w14:paraId="177A6870">
                  <w:pPr>
                    <w:bidi w:val="0"/>
                    <w:jc w:val="center"/>
                    <w:rPr>
                      <w:color w:val="0000FF"/>
                    </w:rPr>
                  </w:pPr>
                  <w:r>
                    <w:rPr>
                      <w:rFonts w:hint="eastAsia"/>
                      <w:color w:val="0000FF"/>
                      <w:lang w:val="en-US" w:eastAsia="zh-CN"/>
                    </w:rPr>
                    <w:t>1×10</w:t>
                  </w:r>
                  <w:r>
                    <w:rPr>
                      <w:rFonts w:hint="eastAsia"/>
                      <w:color w:val="0000FF"/>
                      <w:vertAlign w:val="superscript"/>
                      <w:lang w:val="en-US" w:eastAsia="zh-CN"/>
                    </w:rPr>
                    <w:t>-3</w:t>
                  </w:r>
                  <w:r>
                    <w:rPr>
                      <w:rFonts w:hint="eastAsia"/>
                      <w:color w:val="0000FF"/>
                      <w:lang w:val="en-US" w:eastAsia="zh-CN"/>
                    </w:rPr>
                    <w:t>L</w:t>
                  </w:r>
                </w:p>
              </w:tc>
              <w:tc>
                <w:tcPr>
                  <w:tcW w:w="620" w:type="pct"/>
                  <w:vAlign w:val="center"/>
                </w:tcPr>
                <w:p w14:paraId="2211953C">
                  <w:pPr>
                    <w:bidi w:val="0"/>
                    <w:jc w:val="center"/>
                    <w:rPr>
                      <w:color w:val="0000FF"/>
                    </w:rPr>
                  </w:pPr>
                  <w:r>
                    <w:rPr>
                      <w:rFonts w:hint="eastAsia"/>
                      <w:color w:val="0000FF"/>
                      <w:lang w:val="en-US" w:eastAsia="zh-CN"/>
                    </w:rPr>
                    <w:t>1×10</w:t>
                  </w:r>
                  <w:r>
                    <w:rPr>
                      <w:rFonts w:hint="eastAsia"/>
                      <w:color w:val="0000FF"/>
                      <w:vertAlign w:val="superscript"/>
                      <w:lang w:val="en-US" w:eastAsia="zh-CN"/>
                    </w:rPr>
                    <w:t>-3</w:t>
                  </w:r>
                  <w:r>
                    <w:rPr>
                      <w:rFonts w:hint="eastAsia"/>
                      <w:color w:val="0000FF"/>
                      <w:lang w:val="en-US" w:eastAsia="zh-CN"/>
                    </w:rPr>
                    <w:t>L</w:t>
                  </w:r>
                </w:p>
              </w:tc>
            </w:tr>
            <w:tr w14:paraId="2357E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7BAC71A4">
                  <w:pPr>
                    <w:pStyle w:val="40"/>
                    <w:bidi w:val="0"/>
                    <w:jc w:val="center"/>
                    <w:rPr>
                      <w:rFonts w:hint="default"/>
                      <w:color w:val="0000FF"/>
                      <w:lang w:val="en-US" w:eastAsia="zh-CN"/>
                    </w:rPr>
                  </w:pPr>
                  <w:r>
                    <w:rPr>
                      <w:rFonts w:hint="eastAsia"/>
                      <w:color w:val="0000FF"/>
                      <w:lang w:val="en-US" w:eastAsia="zh-CN"/>
                    </w:rPr>
                    <w:t>镉</w:t>
                  </w:r>
                </w:p>
              </w:tc>
              <w:tc>
                <w:tcPr>
                  <w:tcW w:w="832" w:type="pct"/>
                  <w:vAlign w:val="center"/>
                </w:tcPr>
                <w:p w14:paraId="4EEEEA5B">
                  <w:pPr>
                    <w:pStyle w:val="40"/>
                    <w:bidi w:val="0"/>
                    <w:ind w:firstLine="0" w:firstLineChars="0"/>
                    <w:jc w:val="center"/>
                    <w:rPr>
                      <w:rFonts w:hint="default"/>
                      <w:color w:val="0000FF"/>
                      <w:lang w:val="en-US" w:eastAsia="zh-CN"/>
                    </w:rPr>
                  </w:pPr>
                  <w:r>
                    <w:rPr>
                      <w:rFonts w:hint="eastAsia"/>
                      <w:color w:val="0000FF"/>
                      <w:lang w:val="en-US" w:eastAsia="zh-CN"/>
                    </w:rPr>
                    <w:t>≤0.005</w:t>
                  </w:r>
                </w:p>
              </w:tc>
              <w:tc>
                <w:tcPr>
                  <w:tcW w:w="724" w:type="pct"/>
                  <w:vAlign w:val="center"/>
                </w:tcPr>
                <w:p w14:paraId="5FD4EDCB">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4BC962CB">
                  <w:pPr>
                    <w:pStyle w:val="40"/>
                    <w:bidi w:val="0"/>
                    <w:jc w:val="center"/>
                    <w:rPr>
                      <w:color w:val="0000FF"/>
                    </w:rPr>
                  </w:pPr>
                  <w:r>
                    <w:rPr>
                      <w:rFonts w:hint="eastAsia"/>
                      <w:color w:val="0000FF"/>
                      <w:lang w:val="en-US" w:eastAsia="zh-CN"/>
                    </w:rPr>
                    <w:t>1×10</w:t>
                  </w:r>
                  <w:r>
                    <w:rPr>
                      <w:rFonts w:hint="eastAsia"/>
                      <w:color w:val="0000FF"/>
                      <w:vertAlign w:val="superscript"/>
                      <w:lang w:val="en-US" w:eastAsia="zh-CN"/>
                    </w:rPr>
                    <w:t>-4</w:t>
                  </w:r>
                  <w:r>
                    <w:rPr>
                      <w:rFonts w:hint="eastAsia"/>
                      <w:color w:val="0000FF"/>
                      <w:lang w:val="en-US" w:eastAsia="zh-CN"/>
                    </w:rPr>
                    <w:t>L</w:t>
                  </w:r>
                </w:p>
              </w:tc>
              <w:tc>
                <w:tcPr>
                  <w:tcW w:w="618" w:type="pct"/>
                  <w:vAlign w:val="center"/>
                </w:tcPr>
                <w:p w14:paraId="180299F1">
                  <w:pPr>
                    <w:bidi w:val="0"/>
                    <w:jc w:val="center"/>
                    <w:rPr>
                      <w:color w:val="0000FF"/>
                    </w:rPr>
                  </w:pPr>
                  <w:r>
                    <w:rPr>
                      <w:rFonts w:hint="eastAsia"/>
                      <w:color w:val="0000FF"/>
                      <w:lang w:val="en-US" w:eastAsia="zh-CN"/>
                    </w:rPr>
                    <w:t>1×10</w:t>
                  </w:r>
                  <w:r>
                    <w:rPr>
                      <w:rFonts w:hint="eastAsia"/>
                      <w:color w:val="0000FF"/>
                      <w:vertAlign w:val="superscript"/>
                      <w:lang w:val="en-US" w:eastAsia="zh-CN"/>
                    </w:rPr>
                    <w:t>-4</w:t>
                  </w:r>
                  <w:r>
                    <w:rPr>
                      <w:rFonts w:hint="eastAsia"/>
                      <w:color w:val="0000FF"/>
                      <w:lang w:val="en-US" w:eastAsia="zh-CN"/>
                    </w:rPr>
                    <w:t>L</w:t>
                  </w:r>
                </w:p>
              </w:tc>
              <w:tc>
                <w:tcPr>
                  <w:tcW w:w="620" w:type="pct"/>
                  <w:vAlign w:val="center"/>
                </w:tcPr>
                <w:p w14:paraId="4CCEAF7D">
                  <w:pPr>
                    <w:bidi w:val="0"/>
                    <w:jc w:val="center"/>
                    <w:rPr>
                      <w:color w:val="0000FF"/>
                    </w:rPr>
                  </w:pPr>
                  <w:r>
                    <w:rPr>
                      <w:rFonts w:hint="eastAsia"/>
                      <w:color w:val="0000FF"/>
                      <w:lang w:val="en-US" w:eastAsia="zh-CN"/>
                    </w:rPr>
                    <w:t>1×10</w:t>
                  </w:r>
                  <w:r>
                    <w:rPr>
                      <w:rFonts w:hint="eastAsia"/>
                      <w:color w:val="0000FF"/>
                      <w:vertAlign w:val="superscript"/>
                      <w:lang w:val="en-US" w:eastAsia="zh-CN"/>
                    </w:rPr>
                    <w:t>-4</w:t>
                  </w:r>
                  <w:r>
                    <w:rPr>
                      <w:rFonts w:hint="eastAsia"/>
                      <w:color w:val="0000FF"/>
                      <w:lang w:val="en-US" w:eastAsia="zh-CN"/>
                    </w:rPr>
                    <w:t>L</w:t>
                  </w:r>
                </w:p>
              </w:tc>
            </w:tr>
            <w:tr w14:paraId="33E86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7F70CF6C">
                  <w:pPr>
                    <w:pStyle w:val="40"/>
                    <w:bidi w:val="0"/>
                    <w:jc w:val="center"/>
                    <w:rPr>
                      <w:rFonts w:hint="default"/>
                      <w:color w:val="0000FF"/>
                      <w:lang w:val="en-US" w:eastAsia="zh-CN"/>
                    </w:rPr>
                  </w:pPr>
                  <w:r>
                    <w:rPr>
                      <w:rFonts w:hint="eastAsia"/>
                      <w:color w:val="0000FF"/>
                      <w:lang w:val="en-US" w:eastAsia="zh-CN"/>
                    </w:rPr>
                    <w:t>铁</w:t>
                  </w:r>
                </w:p>
              </w:tc>
              <w:tc>
                <w:tcPr>
                  <w:tcW w:w="832" w:type="pct"/>
                  <w:vAlign w:val="center"/>
                </w:tcPr>
                <w:p w14:paraId="13A766BF">
                  <w:pPr>
                    <w:pStyle w:val="40"/>
                    <w:bidi w:val="0"/>
                    <w:ind w:firstLine="0" w:firstLineChars="0"/>
                    <w:jc w:val="center"/>
                    <w:rPr>
                      <w:rFonts w:hint="default"/>
                      <w:color w:val="0000FF"/>
                      <w:lang w:val="en-US" w:eastAsia="zh-CN"/>
                    </w:rPr>
                  </w:pPr>
                  <w:r>
                    <w:rPr>
                      <w:rFonts w:hint="eastAsia"/>
                      <w:color w:val="0000FF"/>
                      <w:lang w:val="en-US" w:eastAsia="zh-CN"/>
                    </w:rPr>
                    <w:t>≤0.3</w:t>
                  </w:r>
                </w:p>
              </w:tc>
              <w:tc>
                <w:tcPr>
                  <w:tcW w:w="724" w:type="pct"/>
                  <w:vAlign w:val="center"/>
                </w:tcPr>
                <w:p w14:paraId="06E84EC2">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7D37B95D">
                  <w:pPr>
                    <w:pStyle w:val="40"/>
                    <w:bidi w:val="0"/>
                    <w:jc w:val="center"/>
                    <w:rPr>
                      <w:rFonts w:hint="default"/>
                      <w:color w:val="0000FF"/>
                      <w:lang w:val="en-US" w:eastAsia="zh-CN"/>
                    </w:rPr>
                  </w:pPr>
                  <w:r>
                    <w:rPr>
                      <w:rFonts w:hint="eastAsia"/>
                      <w:color w:val="0000FF"/>
                      <w:lang w:val="en-US" w:eastAsia="zh-CN"/>
                    </w:rPr>
                    <w:t>0.03L</w:t>
                  </w:r>
                </w:p>
              </w:tc>
              <w:tc>
                <w:tcPr>
                  <w:tcW w:w="618" w:type="pct"/>
                  <w:vAlign w:val="center"/>
                </w:tcPr>
                <w:p w14:paraId="561F2B42">
                  <w:pPr>
                    <w:bidi w:val="0"/>
                    <w:jc w:val="center"/>
                    <w:rPr>
                      <w:rFonts w:hint="eastAsia"/>
                      <w:color w:val="0000FF"/>
                      <w:lang w:val="en-US" w:eastAsia="zh-CN"/>
                    </w:rPr>
                  </w:pPr>
                  <w:r>
                    <w:rPr>
                      <w:rFonts w:hint="eastAsia"/>
                      <w:color w:val="0000FF"/>
                      <w:lang w:val="en-US" w:eastAsia="zh-CN"/>
                    </w:rPr>
                    <w:t>0.03L</w:t>
                  </w:r>
                </w:p>
              </w:tc>
              <w:tc>
                <w:tcPr>
                  <w:tcW w:w="620" w:type="pct"/>
                  <w:vAlign w:val="center"/>
                </w:tcPr>
                <w:p w14:paraId="02B35B7D">
                  <w:pPr>
                    <w:bidi w:val="0"/>
                    <w:jc w:val="center"/>
                    <w:rPr>
                      <w:rFonts w:hint="eastAsia"/>
                      <w:color w:val="0000FF"/>
                      <w:lang w:val="en-US" w:eastAsia="zh-CN"/>
                    </w:rPr>
                  </w:pPr>
                  <w:r>
                    <w:rPr>
                      <w:rFonts w:hint="eastAsia"/>
                      <w:color w:val="0000FF"/>
                      <w:lang w:val="en-US" w:eastAsia="zh-CN"/>
                    </w:rPr>
                    <w:t>0.03L</w:t>
                  </w:r>
                </w:p>
              </w:tc>
            </w:tr>
            <w:tr w14:paraId="1A15F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4A4BBB51">
                  <w:pPr>
                    <w:pStyle w:val="40"/>
                    <w:bidi w:val="0"/>
                    <w:jc w:val="center"/>
                    <w:rPr>
                      <w:rFonts w:hint="default"/>
                      <w:color w:val="0000FF"/>
                      <w:lang w:val="en-US" w:eastAsia="zh-CN"/>
                    </w:rPr>
                  </w:pPr>
                  <w:r>
                    <w:rPr>
                      <w:rFonts w:hint="eastAsia"/>
                      <w:color w:val="0000FF"/>
                      <w:lang w:val="en-US" w:eastAsia="zh-CN"/>
                    </w:rPr>
                    <w:t>锰</w:t>
                  </w:r>
                </w:p>
              </w:tc>
              <w:tc>
                <w:tcPr>
                  <w:tcW w:w="832" w:type="pct"/>
                  <w:vAlign w:val="center"/>
                </w:tcPr>
                <w:p w14:paraId="1666752F">
                  <w:pPr>
                    <w:pStyle w:val="40"/>
                    <w:bidi w:val="0"/>
                    <w:ind w:firstLine="0" w:firstLineChars="0"/>
                    <w:jc w:val="center"/>
                    <w:rPr>
                      <w:rFonts w:hint="default"/>
                      <w:color w:val="0000FF"/>
                      <w:lang w:val="en-US" w:eastAsia="zh-CN"/>
                    </w:rPr>
                  </w:pPr>
                  <w:r>
                    <w:rPr>
                      <w:rFonts w:hint="eastAsia"/>
                      <w:color w:val="0000FF"/>
                      <w:lang w:val="en-US" w:eastAsia="zh-CN"/>
                    </w:rPr>
                    <w:t>≤0.1</w:t>
                  </w:r>
                </w:p>
              </w:tc>
              <w:tc>
                <w:tcPr>
                  <w:tcW w:w="724" w:type="pct"/>
                  <w:vAlign w:val="center"/>
                </w:tcPr>
                <w:p w14:paraId="1F0E554B">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0D22FB23">
                  <w:pPr>
                    <w:pStyle w:val="40"/>
                    <w:bidi w:val="0"/>
                    <w:jc w:val="center"/>
                    <w:rPr>
                      <w:rFonts w:hint="default"/>
                      <w:color w:val="0000FF"/>
                      <w:lang w:val="en-US" w:eastAsia="zh-CN"/>
                    </w:rPr>
                  </w:pPr>
                  <w:r>
                    <w:rPr>
                      <w:rFonts w:hint="eastAsia"/>
                      <w:color w:val="0000FF"/>
                      <w:lang w:val="en-US" w:eastAsia="zh-CN"/>
                    </w:rPr>
                    <w:t>0.01L</w:t>
                  </w:r>
                </w:p>
              </w:tc>
              <w:tc>
                <w:tcPr>
                  <w:tcW w:w="618" w:type="pct"/>
                  <w:vAlign w:val="center"/>
                </w:tcPr>
                <w:p w14:paraId="4F80DA60">
                  <w:pPr>
                    <w:bidi w:val="0"/>
                    <w:jc w:val="center"/>
                    <w:rPr>
                      <w:rFonts w:hint="eastAsia"/>
                      <w:color w:val="0000FF"/>
                      <w:lang w:val="en-US" w:eastAsia="zh-CN"/>
                    </w:rPr>
                  </w:pPr>
                  <w:r>
                    <w:rPr>
                      <w:rFonts w:hint="eastAsia"/>
                      <w:color w:val="0000FF"/>
                      <w:lang w:val="en-US" w:eastAsia="zh-CN"/>
                    </w:rPr>
                    <w:t>0.01L</w:t>
                  </w:r>
                </w:p>
              </w:tc>
              <w:tc>
                <w:tcPr>
                  <w:tcW w:w="620" w:type="pct"/>
                  <w:vAlign w:val="center"/>
                </w:tcPr>
                <w:p w14:paraId="1360C6B9">
                  <w:pPr>
                    <w:bidi w:val="0"/>
                    <w:jc w:val="center"/>
                    <w:rPr>
                      <w:rFonts w:hint="eastAsia"/>
                      <w:color w:val="0000FF"/>
                      <w:lang w:val="en-US" w:eastAsia="zh-CN"/>
                    </w:rPr>
                  </w:pPr>
                  <w:r>
                    <w:rPr>
                      <w:rFonts w:hint="eastAsia"/>
                      <w:color w:val="0000FF"/>
                      <w:lang w:val="en-US" w:eastAsia="zh-CN"/>
                    </w:rPr>
                    <w:t>0.01L</w:t>
                  </w:r>
                </w:p>
              </w:tc>
            </w:tr>
            <w:tr w14:paraId="7F2D5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0998CD45">
                  <w:pPr>
                    <w:pStyle w:val="40"/>
                    <w:bidi w:val="0"/>
                    <w:jc w:val="center"/>
                    <w:rPr>
                      <w:rFonts w:hint="default"/>
                      <w:color w:val="0000FF"/>
                      <w:lang w:val="en-US" w:eastAsia="zh-CN"/>
                    </w:rPr>
                  </w:pPr>
                  <w:r>
                    <w:rPr>
                      <w:rFonts w:hint="eastAsia"/>
                      <w:color w:val="0000FF"/>
                      <w:lang w:val="en-US" w:eastAsia="zh-CN"/>
                    </w:rPr>
                    <w:t>锌</w:t>
                  </w:r>
                </w:p>
              </w:tc>
              <w:tc>
                <w:tcPr>
                  <w:tcW w:w="832" w:type="pct"/>
                  <w:vAlign w:val="center"/>
                </w:tcPr>
                <w:p w14:paraId="6A07E355">
                  <w:pPr>
                    <w:pStyle w:val="40"/>
                    <w:bidi w:val="0"/>
                    <w:ind w:firstLine="0" w:firstLineChars="0"/>
                    <w:jc w:val="center"/>
                    <w:rPr>
                      <w:rFonts w:hint="default"/>
                      <w:color w:val="0000FF"/>
                      <w:lang w:val="en-US" w:eastAsia="zh-CN"/>
                    </w:rPr>
                  </w:pPr>
                  <w:r>
                    <w:rPr>
                      <w:rFonts w:hint="eastAsia"/>
                      <w:color w:val="0000FF"/>
                      <w:lang w:val="en-US" w:eastAsia="zh-CN"/>
                    </w:rPr>
                    <w:t>≤1.0</w:t>
                  </w:r>
                </w:p>
              </w:tc>
              <w:tc>
                <w:tcPr>
                  <w:tcW w:w="724" w:type="pct"/>
                  <w:vAlign w:val="center"/>
                </w:tcPr>
                <w:p w14:paraId="53320905">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3C6363F5">
                  <w:pPr>
                    <w:pStyle w:val="40"/>
                    <w:bidi w:val="0"/>
                    <w:jc w:val="center"/>
                    <w:rPr>
                      <w:rFonts w:hint="default"/>
                      <w:color w:val="0000FF"/>
                      <w:lang w:val="en-US" w:eastAsia="zh-CN"/>
                    </w:rPr>
                  </w:pPr>
                  <w:r>
                    <w:rPr>
                      <w:rFonts w:hint="eastAsia"/>
                      <w:color w:val="0000FF"/>
                      <w:lang w:val="en-US" w:eastAsia="zh-CN"/>
                    </w:rPr>
                    <w:t>0.05L</w:t>
                  </w:r>
                </w:p>
              </w:tc>
              <w:tc>
                <w:tcPr>
                  <w:tcW w:w="618" w:type="pct"/>
                  <w:vAlign w:val="center"/>
                </w:tcPr>
                <w:p w14:paraId="5F93DDDD">
                  <w:pPr>
                    <w:bidi w:val="0"/>
                    <w:jc w:val="center"/>
                    <w:rPr>
                      <w:rFonts w:hint="eastAsia"/>
                      <w:color w:val="0000FF"/>
                      <w:lang w:val="en-US" w:eastAsia="zh-CN"/>
                    </w:rPr>
                  </w:pPr>
                  <w:r>
                    <w:rPr>
                      <w:rFonts w:hint="eastAsia"/>
                      <w:color w:val="0000FF"/>
                      <w:lang w:val="en-US" w:eastAsia="zh-CN"/>
                    </w:rPr>
                    <w:t>0.05L</w:t>
                  </w:r>
                </w:p>
              </w:tc>
              <w:tc>
                <w:tcPr>
                  <w:tcW w:w="620" w:type="pct"/>
                  <w:vAlign w:val="center"/>
                </w:tcPr>
                <w:p w14:paraId="7D63C834">
                  <w:pPr>
                    <w:bidi w:val="0"/>
                    <w:jc w:val="center"/>
                    <w:rPr>
                      <w:rFonts w:hint="eastAsia"/>
                      <w:color w:val="0000FF"/>
                      <w:lang w:val="en-US" w:eastAsia="zh-CN"/>
                    </w:rPr>
                  </w:pPr>
                  <w:r>
                    <w:rPr>
                      <w:rFonts w:hint="eastAsia"/>
                      <w:color w:val="0000FF"/>
                      <w:lang w:val="en-US" w:eastAsia="zh-CN"/>
                    </w:rPr>
                    <w:t>0.05L</w:t>
                  </w:r>
                </w:p>
              </w:tc>
            </w:tr>
            <w:tr w14:paraId="4CD7B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6161ABBE">
                  <w:pPr>
                    <w:pStyle w:val="40"/>
                    <w:bidi w:val="0"/>
                    <w:jc w:val="center"/>
                    <w:rPr>
                      <w:rFonts w:hint="default"/>
                      <w:color w:val="0000FF"/>
                      <w:lang w:val="en-US" w:eastAsia="zh-CN"/>
                    </w:rPr>
                  </w:pPr>
                  <w:r>
                    <w:rPr>
                      <w:rFonts w:hint="eastAsia"/>
                      <w:color w:val="0000FF"/>
                      <w:lang w:val="en-US" w:eastAsia="zh-CN"/>
                    </w:rPr>
                    <w:t>铜</w:t>
                  </w:r>
                </w:p>
              </w:tc>
              <w:tc>
                <w:tcPr>
                  <w:tcW w:w="832" w:type="pct"/>
                  <w:vAlign w:val="center"/>
                </w:tcPr>
                <w:p w14:paraId="031E14B8">
                  <w:pPr>
                    <w:pStyle w:val="40"/>
                    <w:bidi w:val="0"/>
                    <w:ind w:firstLine="0" w:firstLineChars="0"/>
                    <w:jc w:val="center"/>
                    <w:rPr>
                      <w:rFonts w:hint="default"/>
                      <w:color w:val="0000FF"/>
                      <w:lang w:val="en-US" w:eastAsia="zh-CN"/>
                    </w:rPr>
                  </w:pPr>
                  <w:r>
                    <w:rPr>
                      <w:rFonts w:hint="eastAsia"/>
                      <w:color w:val="0000FF"/>
                      <w:lang w:val="en-US" w:eastAsia="zh-CN"/>
                    </w:rPr>
                    <w:t>≤1.0</w:t>
                  </w:r>
                </w:p>
              </w:tc>
              <w:tc>
                <w:tcPr>
                  <w:tcW w:w="724" w:type="pct"/>
                  <w:vAlign w:val="center"/>
                </w:tcPr>
                <w:p w14:paraId="415D3C45">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shd w:val="clear" w:color="auto" w:fill="auto"/>
                  <w:vAlign w:val="center"/>
                </w:tcPr>
                <w:p w14:paraId="596AA3A3">
                  <w:pPr>
                    <w:pStyle w:val="40"/>
                    <w:bidi w:val="0"/>
                    <w:ind w:firstLine="0" w:firstLineChars="0"/>
                    <w:jc w:val="center"/>
                    <w:rPr>
                      <w:rFonts w:hint="eastAsia" w:ascii="Times New Roman" w:hAnsi="Times New Roman" w:eastAsia="宋体" w:cs="Times New Roman"/>
                      <w:color w:val="0000FF"/>
                      <w:kern w:val="2"/>
                      <w:sz w:val="21"/>
                      <w:szCs w:val="21"/>
                      <w:lang w:val="en-US" w:eastAsia="zh-CN" w:bidi="ar-SA"/>
                    </w:rPr>
                  </w:pPr>
                  <w:r>
                    <w:rPr>
                      <w:rFonts w:hint="eastAsia"/>
                      <w:color w:val="0000FF"/>
                      <w:lang w:val="en-US" w:eastAsia="zh-CN"/>
                    </w:rPr>
                    <w:t>0.05L</w:t>
                  </w:r>
                </w:p>
              </w:tc>
              <w:tc>
                <w:tcPr>
                  <w:tcW w:w="618" w:type="pct"/>
                  <w:shd w:val="clear" w:color="auto" w:fill="auto"/>
                  <w:vAlign w:val="center"/>
                </w:tcPr>
                <w:p w14:paraId="0DF98078">
                  <w:pPr>
                    <w:bidi w:val="0"/>
                    <w:jc w:val="center"/>
                    <w:rPr>
                      <w:rFonts w:hint="eastAsia" w:ascii="Times New Roman" w:hAnsi="Times New Roman" w:eastAsia="宋体" w:cs="Times New Roman"/>
                      <w:color w:val="0000FF"/>
                      <w:kern w:val="2"/>
                      <w:sz w:val="21"/>
                      <w:szCs w:val="24"/>
                      <w:lang w:val="en-US" w:eastAsia="zh-CN" w:bidi="ar-SA"/>
                    </w:rPr>
                  </w:pPr>
                  <w:r>
                    <w:rPr>
                      <w:rFonts w:hint="eastAsia"/>
                      <w:color w:val="0000FF"/>
                      <w:lang w:val="en-US" w:eastAsia="zh-CN"/>
                    </w:rPr>
                    <w:t>0.05L</w:t>
                  </w:r>
                </w:p>
              </w:tc>
              <w:tc>
                <w:tcPr>
                  <w:tcW w:w="620" w:type="pct"/>
                  <w:shd w:val="clear" w:color="auto" w:fill="auto"/>
                  <w:vAlign w:val="center"/>
                </w:tcPr>
                <w:p w14:paraId="202B29AB">
                  <w:pPr>
                    <w:bidi w:val="0"/>
                    <w:jc w:val="center"/>
                    <w:rPr>
                      <w:rFonts w:hint="eastAsia" w:ascii="Times New Roman" w:hAnsi="Times New Roman" w:eastAsia="宋体" w:cs="Times New Roman"/>
                      <w:color w:val="0000FF"/>
                      <w:kern w:val="2"/>
                      <w:sz w:val="21"/>
                      <w:szCs w:val="24"/>
                      <w:lang w:val="en-US" w:eastAsia="zh-CN" w:bidi="ar-SA"/>
                    </w:rPr>
                  </w:pPr>
                  <w:r>
                    <w:rPr>
                      <w:rFonts w:hint="eastAsia"/>
                      <w:color w:val="0000FF"/>
                      <w:lang w:val="en-US" w:eastAsia="zh-CN"/>
                    </w:rPr>
                    <w:t>0.05L</w:t>
                  </w:r>
                </w:p>
              </w:tc>
            </w:tr>
            <w:tr w14:paraId="4CEAA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6AF7CC4E">
                  <w:pPr>
                    <w:pStyle w:val="40"/>
                    <w:bidi w:val="0"/>
                    <w:jc w:val="center"/>
                    <w:rPr>
                      <w:rFonts w:hint="default"/>
                      <w:color w:val="0000FF"/>
                      <w:lang w:val="en-US" w:eastAsia="zh-CN"/>
                    </w:rPr>
                  </w:pPr>
                  <w:r>
                    <w:rPr>
                      <w:rFonts w:hint="eastAsia"/>
                      <w:color w:val="0000FF"/>
                      <w:lang w:val="en-US" w:eastAsia="zh-CN"/>
                    </w:rPr>
                    <w:t>铝</w:t>
                  </w:r>
                </w:p>
              </w:tc>
              <w:tc>
                <w:tcPr>
                  <w:tcW w:w="832" w:type="pct"/>
                  <w:vAlign w:val="center"/>
                </w:tcPr>
                <w:p w14:paraId="2F4539D0">
                  <w:pPr>
                    <w:pStyle w:val="40"/>
                    <w:bidi w:val="0"/>
                    <w:ind w:firstLine="0" w:firstLineChars="0"/>
                    <w:jc w:val="center"/>
                    <w:rPr>
                      <w:rFonts w:hint="eastAsia"/>
                      <w:color w:val="0000FF"/>
                      <w:lang w:val="en-US" w:eastAsia="zh-CN"/>
                    </w:rPr>
                  </w:pPr>
                  <w:r>
                    <w:rPr>
                      <w:rFonts w:hint="eastAsia"/>
                      <w:color w:val="0000FF"/>
                      <w:lang w:val="en-US" w:eastAsia="zh-CN"/>
                    </w:rPr>
                    <w:t>≤0.2</w:t>
                  </w:r>
                </w:p>
              </w:tc>
              <w:tc>
                <w:tcPr>
                  <w:tcW w:w="724" w:type="pct"/>
                  <w:vAlign w:val="center"/>
                </w:tcPr>
                <w:p w14:paraId="41604189">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2E8B4F5A">
                  <w:pPr>
                    <w:pStyle w:val="40"/>
                    <w:bidi w:val="0"/>
                    <w:jc w:val="center"/>
                    <w:rPr>
                      <w:rFonts w:hint="default"/>
                      <w:color w:val="0000FF"/>
                      <w:lang w:val="en-US" w:eastAsia="zh-CN"/>
                    </w:rPr>
                  </w:pPr>
                  <w:r>
                    <w:rPr>
                      <w:rFonts w:hint="eastAsia"/>
                      <w:color w:val="0000FF"/>
                      <w:lang w:val="en-US" w:eastAsia="zh-CN"/>
                    </w:rPr>
                    <w:t>0.01L</w:t>
                  </w:r>
                </w:p>
              </w:tc>
              <w:tc>
                <w:tcPr>
                  <w:tcW w:w="618" w:type="pct"/>
                  <w:vAlign w:val="center"/>
                </w:tcPr>
                <w:p w14:paraId="2CF8B48E">
                  <w:pPr>
                    <w:bidi w:val="0"/>
                    <w:jc w:val="center"/>
                    <w:rPr>
                      <w:rFonts w:hint="eastAsia"/>
                      <w:color w:val="0000FF"/>
                      <w:lang w:val="en-US" w:eastAsia="zh-CN"/>
                    </w:rPr>
                  </w:pPr>
                  <w:r>
                    <w:rPr>
                      <w:rFonts w:hint="eastAsia"/>
                      <w:color w:val="0000FF"/>
                      <w:lang w:val="en-US" w:eastAsia="zh-CN"/>
                    </w:rPr>
                    <w:t>0.01L</w:t>
                  </w:r>
                </w:p>
              </w:tc>
              <w:tc>
                <w:tcPr>
                  <w:tcW w:w="620" w:type="pct"/>
                  <w:vAlign w:val="center"/>
                </w:tcPr>
                <w:p w14:paraId="52099515">
                  <w:pPr>
                    <w:bidi w:val="0"/>
                    <w:jc w:val="center"/>
                    <w:rPr>
                      <w:rFonts w:hint="eastAsia"/>
                      <w:color w:val="0000FF"/>
                      <w:lang w:val="en-US" w:eastAsia="zh-CN"/>
                    </w:rPr>
                  </w:pPr>
                  <w:r>
                    <w:rPr>
                      <w:rFonts w:hint="eastAsia"/>
                      <w:color w:val="0000FF"/>
                      <w:lang w:val="en-US" w:eastAsia="zh-CN"/>
                    </w:rPr>
                    <w:t>0.01L</w:t>
                  </w:r>
                </w:p>
              </w:tc>
            </w:tr>
            <w:tr w14:paraId="7BDA8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0AEEA8A1">
                  <w:pPr>
                    <w:pStyle w:val="40"/>
                    <w:bidi w:val="0"/>
                    <w:jc w:val="center"/>
                    <w:rPr>
                      <w:rFonts w:hint="default"/>
                      <w:color w:val="0000FF"/>
                      <w:lang w:val="en-US" w:eastAsia="zh-CN"/>
                    </w:rPr>
                  </w:pPr>
                  <w:r>
                    <w:rPr>
                      <w:rFonts w:hint="eastAsia"/>
                      <w:color w:val="0000FF"/>
                      <w:lang w:val="en-US" w:eastAsia="zh-CN"/>
                    </w:rPr>
                    <w:t>耗氧量（高锰酸盐指数）</w:t>
                  </w:r>
                </w:p>
              </w:tc>
              <w:tc>
                <w:tcPr>
                  <w:tcW w:w="832" w:type="pct"/>
                  <w:vAlign w:val="center"/>
                </w:tcPr>
                <w:p w14:paraId="78E22381">
                  <w:pPr>
                    <w:pStyle w:val="40"/>
                    <w:bidi w:val="0"/>
                    <w:ind w:firstLine="0" w:firstLineChars="0"/>
                    <w:jc w:val="center"/>
                    <w:rPr>
                      <w:rFonts w:hint="eastAsia"/>
                      <w:color w:val="0000FF"/>
                      <w:lang w:val="en-US" w:eastAsia="zh-CN"/>
                    </w:rPr>
                  </w:pPr>
                  <w:r>
                    <w:rPr>
                      <w:rFonts w:hint="eastAsia"/>
                      <w:color w:val="0000FF"/>
                      <w:lang w:val="en-US" w:eastAsia="zh-CN"/>
                    </w:rPr>
                    <w:t>≤3</w:t>
                  </w:r>
                </w:p>
              </w:tc>
              <w:tc>
                <w:tcPr>
                  <w:tcW w:w="724" w:type="pct"/>
                  <w:vAlign w:val="center"/>
                </w:tcPr>
                <w:p w14:paraId="6DB05C4E">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188C0B91">
                  <w:pPr>
                    <w:pStyle w:val="40"/>
                    <w:bidi w:val="0"/>
                    <w:jc w:val="center"/>
                    <w:rPr>
                      <w:rFonts w:hint="default"/>
                      <w:color w:val="0000FF"/>
                      <w:lang w:val="en-US" w:eastAsia="zh-CN"/>
                    </w:rPr>
                  </w:pPr>
                  <w:r>
                    <w:rPr>
                      <w:rFonts w:hint="eastAsia"/>
                      <w:color w:val="0000FF"/>
                      <w:lang w:val="en-US" w:eastAsia="zh-CN"/>
                    </w:rPr>
                    <w:t>2.48</w:t>
                  </w:r>
                </w:p>
              </w:tc>
              <w:tc>
                <w:tcPr>
                  <w:tcW w:w="618" w:type="pct"/>
                  <w:vAlign w:val="center"/>
                </w:tcPr>
                <w:p w14:paraId="29752994">
                  <w:pPr>
                    <w:bidi w:val="0"/>
                    <w:jc w:val="center"/>
                    <w:rPr>
                      <w:rFonts w:hint="default"/>
                      <w:color w:val="0000FF"/>
                      <w:lang w:val="en-US" w:eastAsia="zh-CN"/>
                    </w:rPr>
                  </w:pPr>
                  <w:r>
                    <w:rPr>
                      <w:rFonts w:hint="eastAsia"/>
                      <w:color w:val="0000FF"/>
                      <w:lang w:val="en-US" w:eastAsia="zh-CN"/>
                    </w:rPr>
                    <w:t>2.65</w:t>
                  </w:r>
                </w:p>
              </w:tc>
              <w:tc>
                <w:tcPr>
                  <w:tcW w:w="620" w:type="pct"/>
                  <w:vAlign w:val="center"/>
                </w:tcPr>
                <w:p w14:paraId="01329D94">
                  <w:pPr>
                    <w:bidi w:val="0"/>
                    <w:jc w:val="center"/>
                    <w:rPr>
                      <w:rFonts w:hint="default"/>
                      <w:color w:val="0000FF"/>
                      <w:lang w:val="en-US" w:eastAsia="zh-CN"/>
                    </w:rPr>
                  </w:pPr>
                  <w:r>
                    <w:rPr>
                      <w:rFonts w:hint="eastAsia"/>
                      <w:color w:val="0000FF"/>
                      <w:lang w:val="en-US" w:eastAsia="zh-CN"/>
                    </w:rPr>
                    <w:t>0.88</w:t>
                  </w:r>
                </w:p>
              </w:tc>
            </w:tr>
            <w:tr w14:paraId="1AA50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53EB7AA7">
                  <w:pPr>
                    <w:pStyle w:val="40"/>
                    <w:bidi w:val="0"/>
                    <w:jc w:val="center"/>
                    <w:rPr>
                      <w:rFonts w:hint="default"/>
                      <w:color w:val="0000FF"/>
                      <w:lang w:val="en-US" w:eastAsia="zh-CN"/>
                    </w:rPr>
                  </w:pPr>
                  <w:r>
                    <w:rPr>
                      <w:rFonts w:hint="eastAsia"/>
                      <w:color w:val="0000FF"/>
                      <w:lang w:val="en-US" w:eastAsia="zh-CN"/>
                    </w:rPr>
                    <w:t>菌落总数</w:t>
                  </w:r>
                </w:p>
              </w:tc>
              <w:tc>
                <w:tcPr>
                  <w:tcW w:w="832" w:type="pct"/>
                  <w:vAlign w:val="center"/>
                </w:tcPr>
                <w:p w14:paraId="44778590">
                  <w:pPr>
                    <w:pStyle w:val="40"/>
                    <w:bidi w:val="0"/>
                    <w:ind w:firstLine="0" w:firstLineChars="0"/>
                    <w:jc w:val="center"/>
                    <w:rPr>
                      <w:rFonts w:hint="default"/>
                      <w:color w:val="0000FF"/>
                      <w:lang w:val="en-US" w:eastAsia="zh-CN"/>
                    </w:rPr>
                  </w:pPr>
                  <w:r>
                    <w:rPr>
                      <w:rFonts w:hint="eastAsia"/>
                      <w:color w:val="0000FF"/>
                      <w:lang w:val="en-US" w:eastAsia="zh-CN"/>
                    </w:rPr>
                    <w:t>≤100</w:t>
                  </w:r>
                </w:p>
              </w:tc>
              <w:tc>
                <w:tcPr>
                  <w:tcW w:w="724" w:type="pct"/>
                  <w:vAlign w:val="center"/>
                </w:tcPr>
                <w:p w14:paraId="2B89FBA2">
                  <w:pPr>
                    <w:pStyle w:val="40"/>
                    <w:bidi w:val="0"/>
                    <w:ind w:firstLine="0" w:firstLineChars="0"/>
                    <w:jc w:val="center"/>
                    <w:rPr>
                      <w:rFonts w:hint="eastAsia"/>
                      <w:color w:val="0000FF"/>
                      <w:lang w:val="en-US" w:eastAsia="zh-CN"/>
                    </w:rPr>
                  </w:pPr>
                  <w:r>
                    <w:rPr>
                      <w:rFonts w:hint="eastAsia"/>
                      <w:color w:val="0000FF"/>
                      <w:lang w:val="en-US" w:eastAsia="zh-CN"/>
                    </w:rPr>
                    <w:t>CFU/mL</w:t>
                  </w:r>
                </w:p>
              </w:tc>
              <w:tc>
                <w:tcPr>
                  <w:tcW w:w="617" w:type="pct"/>
                  <w:vAlign w:val="center"/>
                </w:tcPr>
                <w:p w14:paraId="2CFCECA1">
                  <w:pPr>
                    <w:pStyle w:val="40"/>
                    <w:bidi w:val="0"/>
                    <w:jc w:val="center"/>
                    <w:rPr>
                      <w:rFonts w:hint="default"/>
                      <w:color w:val="0000FF"/>
                      <w:lang w:val="en-US" w:eastAsia="zh-CN"/>
                    </w:rPr>
                  </w:pPr>
                  <w:r>
                    <w:rPr>
                      <w:rFonts w:hint="eastAsia"/>
                      <w:color w:val="0000FF"/>
                      <w:lang w:val="en-US" w:eastAsia="zh-CN"/>
                    </w:rPr>
                    <w:t>9</w:t>
                  </w:r>
                </w:p>
              </w:tc>
              <w:tc>
                <w:tcPr>
                  <w:tcW w:w="618" w:type="pct"/>
                  <w:vAlign w:val="center"/>
                </w:tcPr>
                <w:p w14:paraId="38540577">
                  <w:pPr>
                    <w:bidi w:val="0"/>
                    <w:jc w:val="center"/>
                    <w:rPr>
                      <w:rFonts w:hint="default"/>
                      <w:color w:val="0000FF"/>
                      <w:lang w:val="en-US" w:eastAsia="zh-CN"/>
                    </w:rPr>
                  </w:pPr>
                  <w:r>
                    <w:rPr>
                      <w:rFonts w:hint="eastAsia"/>
                      <w:color w:val="0000FF"/>
                      <w:lang w:val="en-US" w:eastAsia="zh-CN"/>
                    </w:rPr>
                    <w:t>10</w:t>
                  </w:r>
                </w:p>
              </w:tc>
              <w:tc>
                <w:tcPr>
                  <w:tcW w:w="620" w:type="pct"/>
                  <w:vAlign w:val="center"/>
                </w:tcPr>
                <w:p w14:paraId="43BA0E5A">
                  <w:pPr>
                    <w:bidi w:val="0"/>
                    <w:jc w:val="center"/>
                    <w:rPr>
                      <w:rFonts w:hint="default"/>
                      <w:color w:val="0000FF"/>
                      <w:lang w:val="en-US" w:eastAsia="zh-CN"/>
                    </w:rPr>
                  </w:pPr>
                  <w:r>
                    <w:rPr>
                      <w:rFonts w:hint="eastAsia"/>
                      <w:color w:val="0000FF"/>
                      <w:lang w:val="en-US" w:eastAsia="zh-CN"/>
                    </w:rPr>
                    <w:t>11</w:t>
                  </w:r>
                </w:p>
              </w:tc>
            </w:tr>
            <w:tr w14:paraId="0B3D2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130F8006">
                  <w:pPr>
                    <w:pStyle w:val="40"/>
                    <w:bidi w:val="0"/>
                    <w:jc w:val="center"/>
                    <w:rPr>
                      <w:rFonts w:hint="default"/>
                      <w:color w:val="0000FF"/>
                      <w:lang w:val="en-US" w:eastAsia="zh-CN"/>
                    </w:rPr>
                  </w:pPr>
                  <w:r>
                    <w:rPr>
                      <w:rFonts w:hint="eastAsia"/>
                      <w:color w:val="0000FF"/>
                      <w:lang w:val="en-US" w:eastAsia="zh-CN"/>
                    </w:rPr>
                    <w:t>总大肠菌群</w:t>
                  </w:r>
                </w:p>
              </w:tc>
              <w:tc>
                <w:tcPr>
                  <w:tcW w:w="832" w:type="pct"/>
                  <w:vAlign w:val="center"/>
                </w:tcPr>
                <w:p w14:paraId="5E4DF6AD">
                  <w:pPr>
                    <w:pStyle w:val="40"/>
                    <w:bidi w:val="0"/>
                    <w:ind w:firstLine="0" w:firstLineChars="0"/>
                    <w:jc w:val="center"/>
                    <w:rPr>
                      <w:rFonts w:hint="eastAsia"/>
                      <w:color w:val="0000FF"/>
                      <w:lang w:val="en-US" w:eastAsia="zh-CN"/>
                    </w:rPr>
                  </w:pPr>
                  <w:r>
                    <w:rPr>
                      <w:rFonts w:hint="eastAsia"/>
                      <w:color w:val="0000FF"/>
                      <w:lang w:val="en-US" w:eastAsia="zh-CN"/>
                    </w:rPr>
                    <w:t>≤3</w:t>
                  </w:r>
                </w:p>
              </w:tc>
              <w:tc>
                <w:tcPr>
                  <w:tcW w:w="724" w:type="pct"/>
                  <w:vAlign w:val="center"/>
                </w:tcPr>
                <w:p w14:paraId="31D92ADA">
                  <w:pPr>
                    <w:pStyle w:val="40"/>
                    <w:bidi w:val="0"/>
                    <w:ind w:firstLine="0" w:firstLineChars="0"/>
                    <w:jc w:val="center"/>
                    <w:rPr>
                      <w:rFonts w:hint="eastAsia"/>
                      <w:color w:val="0000FF"/>
                      <w:lang w:val="en-US" w:eastAsia="zh-CN"/>
                    </w:rPr>
                  </w:pPr>
                  <w:r>
                    <w:rPr>
                      <w:rFonts w:hint="eastAsia"/>
                      <w:color w:val="0000FF"/>
                      <w:lang w:val="en-US" w:eastAsia="zh-CN"/>
                    </w:rPr>
                    <w:t>MPN/mL</w:t>
                  </w:r>
                </w:p>
              </w:tc>
              <w:tc>
                <w:tcPr>
                  <w:tcW w:w="617" w:type="pct"/>
                  <w:vAlign w:val="center"/>
                </w:tcPr>
                <w:p w14:paraId="1650CCEF">
                  <w:pPr>
                    <w:pStyle w:val="40"/>
                    <w:bidi w:val="0"/>
                    <w:jc w:val="center"/>
                    <w:rPr>
                      <w:rFonts w:hint="default"/>
                      <w:color w:val="0000FF"/>
                      <w:lang w:val="en-US" w:eastAsia="zh-CN"/>
                    </w:rPr>
                  </w:pPr>
                  <w:r>
                    <w:rPr>
                      <w:rFonts w:hint="eastAsia"/>
                      <w:color w:val="0000FF"/>
                      <w:lang w:val="en-US" w:eastAsia="zh-CN"/>
                    </w:rPr>
                    <w:t>未检出</w:t>
                  </w:r>
                </w:p>
              </w:tc>
              <w:tc>
                <w:tcPr>
                  <w:tcW w:w="618" w:type="pct"/>
                  <w:vAlign w:val="center"/>
                </w:tcPr>
                <w:p w14:paraId="7A10DC97">
                  <w:pPr>
                    <w:bidi w:val="0"/>
                    <w:jc w:val="center"/>
                    <w:rPr>
                      <w:rFonts w:hint="eastAsia"/>
                      <w:color w:val="0000FF"/>
                      <w:lang w:val="en-US" w:eastAsia="zh-CN"/>
                    </w:rPr>
                  </w:pPr>
                  <w:r>
                    <w:rPr>
                      <w:rFonts w:hint="eastAsia"/>
                      <w:color w:val="0000FF"/>
                      <w:lang w:val="en-US" w:eastAsia="zh-CN"/>
                    </w:rPr>
                    <w:t>未检出</w:t>
                  </w:r>
                </w:p>
              </w:tc>
              <w:tc>
                <w:tcPr>
                  <w:tcW w:w="620" w:type="pct"/>
                  <w:vAlign w:val="center"/>
                </w:tcPr>
                <w:p w14:paraId="0780B5F9">
                  <w:pPr>
                    <w:bidi w:val="0"/>
                    <w:jc w:val="center"/>
                    <w:rPr>
                      <w:rFonts w:hint="eastAsia"/>
                      <w:color w:val="0000FF"/>
                      <w:lang w:val="en-US" w:eastAsia="zh-CN"/>
                    </w:rPr>
                  </w:pPr>
                  <w:r>
                    <w:rPr>
                      <w:rFonts w:hint="eastAsia"/>
                      <w:color w:val="0000FF"/>
                      <w:lang w:val="en-US" w:eastAsia="zh-CN"/>
                    </w:rPr>
                    <w:t>未检出</w:t>
                  </w:r>
                </w:p>
              </w:tc>
            </w:tr>
            <w:tr w14:paraId="69AB1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269942CC">
                  <w:pPr>
                    <w:pStyle w:val="40"/>
                    <w:bidi w:val="0"/>
                    <w:jc w:val="center"/>
                    <w:rPr>
                      <w:rFonts w:hint="default"/>
                      <w:color w:val="0000FF"/>
                      <w:lang w:val="en-US" w:eastAsia="zh-CN"/>
                    </w:rPr>
                  </w:pPr>
                  <w:r>
                    <w:rPr>
                      <w:rFonts w:hint="eastAsia"/>
                      <w:color w:val="0000FF"/>
                      <w:lang w:val="en-US" w:eastAsia="zh-CN"/>
                    </w:rPr>
                    <w:t>阴离子表面活性剂</w:t>
                  </w:r>
                </w:p>
              </w:tc>
              <w:tc>
                <w:tcPr>
                  <w:tcW w:w="832" w:type="pct"/>
                  <w:vAlign w:val="center"/>
                </w:tcPr>
                <w:p w14:paraId="2AE267FE">
                  <w:pPr>
                    <w:pStyle w:val="40"/>
                    <w:bidi w:val="0"/>
                    <w:ind w:firstLine="0" w:firstLineChars="0"/>
                    <w:jc w:val="center"/>
                    <w:rPr>
                      <w:rFonts w:hint="default"/>
                      <w:color w:val="0000FF"/>
                      <w:lang w:val="en-US" w:eastAsia="zh-CN"/>
                    </w:rPr>
                  </w:pPr>
                  <w:r>
                    <w:rPr>
                      <w:rFonts w:hint="eastAsia"/>
                      <w:color w:val="0000FF"/>
                      <w:lang w:val="en-US" w:eastAsia="zh-CN"/>
                    </w:rPr>
                    <w:t>≤0.3</w:t>
                  </w:r>
                </w:p>
              </w:tc>
              <w:tc>
                <w:tcPr>
                  <w:tcW w:w="724" w:type="pct"/>
                  <w:vAlign w:val="center"/>
                </w:tcPr>
                <w:p w14:paraId="0A71D662">
                  <w:pPr>
                    <w:pStyle w:val="40"/>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3327390F">
                  <w:pPr>
                    <w:pStyle w:val="40"/>
                    <w:bidi w:val="0"/>
                    <w:jc w:val="center"/>
                    <w:rPr>
                      <w:rFonts w:hint="default"/>
                      <w:color w:val="0000FF"/>
                      <w:lang w:val="en-US" w:eastAsia="zh-CN"/>
                    </w:rPr>
                  </w:pPr>
                  <w:r>
                    <w:rPr>
                      <w:rFonts w:hint="eastAsia"/>
                      <w:color w:val="0000FF"/>
                      <w:lang w:val="en-US" w:eastAsia="zh-CN"/>
                    </w:rPr>
                    <w:t>0.050L</w:t>
                  </w:r>
                </w:p>
              </w:tc>
              <w:tc>
                <w:tcPr>
                  <w:tcW w:w="618" w:type="pct"/>
                  <w:shd w:val="clear" w:color="auto" w:fill="auto"/>
                  <w:vAlign w:val="center"/>
                </w:tcPr>
                <w:p w14:paraId="2935DBDC">
                  <w:pPr>
                    <w:pStyle w:val="40"/>
                    <w:bidi w:val="0"/>
                    <w:ind w:firstLine="0" w:firstLineChars="0"/>
                    <w:jc w:val="center"/>
                    <w:rPr>
                      <w:rFonts w:hint="eastAsia" w:ascii="Times New Roman" w:hAnsi="Times New Roman" w:eastAsia="宋体" w:cs="Times New Roman"/>
                      <w:color w:val="0000FF"/>
                      <w:kern w:val="2"/>
                      <w:sz w:val="21"/>
                      <w:szCs w:val="21"/>
                      <w:lang w:val="en-US" w:eastAsia="zh-CN" w:bidi="ar-SA"/>
                    </w:rPr>
                  </w:pPr>
                  <w:r>
                    <w:rPr>
                      <w:rFonts w:hint="eastAsia"/>
                      <w:color w:val="0000FF"/>
                      <w:lang w:val="en-US" w:eastAsia="zh-CN"/>
                    </w:rPr>
                    <w:t>0.050L</w:t>
                  </w:r>
                </w:p>
              </w:tc>
              <w:tc>
                <w:tcPr>
                  <w:tcW w:w="620" w:type="pct"/>
                  <w:shd w:val="clear" w:color="auto" w:fill="auto"/>
                  <w:vAlign w:val="center"/>
                </w:tcPr>
                <w:p w14:paraId="141954B5">
                  <w:pPr>
                    <w:pStyle w:val="40"/>
                    <w:bidi w:val="0"/>
                    <w:ind w:firstLine="0" w:firstLineChars="0"/>
                    <w:jc w:val="center"/>
                    <w:rPr>
                      <w:rFonts w:hint="eastAsia" w:ascii="Times New Roman" w:hAnsi="Times New Roman" w:eastAsia="宋体" w:cs="Times New Roman"/>
                      <w:color w:val="0000FF"/>
                      <w:kern w:val="2"/>
                      <w:sz w:val="21"/>
                      <w:szCs w:val="21"/>
                      <w:lang w:val="en-US" w:eastAsia="zh-CN" w:bidi="ar-SA"/>
                    </w:rPr>
                  </w:pPr>
                  <w:r>
                    <w:rPr>
                      <w:rFonts w:hint="eastAsia"/>
                      <w:color w:val="0000FF"/>
                      <w:lang w:val="en-US" w:eastAsia="zh-CN"/>
                    </w:rPr>
                    <w:t>0.050L</w:t>
                  </w:r>
                </w:p>
              </w:tc>
            </w:tr>
            <w:tr w14:paraId="5FB09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03F40DD8">
                  <w:pPr>
                    <w:pStyle w:val="40"/>
                    <w:bidi w:val="0"/>
                    <w:jc w:val="center"/>
                    <w:rPr>
                      <w:rFonts w:hint="default"/>
                      <w:color w:val="0000FF"/>
                      <w:lang w:val="en-US" w:eastAsia="zh-CN"/>
                    </w:rPr>
                  </w:pPr>
                  <w:r>
                    <w:rPr>
                      <w:rFonts w:hint="eastAsia"/>
                      <w:color w:val="0000FF"/>
                      <w:lang w:val="en-US" w:eastAsia="zh-CN"/>
                    </w:rPr>
                    <w:t>硫化物</w:t>
                  </w:r>
                </w:p>
              </w:tc>
              <w:tc>
                <w:tcPr>
                  <w:tcW w:w="832" w:type="pct"/>
                  <w:vAlign w:val="center"/>
                </w:tcPr>
                <w:p w14:paraId="73CC2E16">
                  <w:pPr>
                    <w:bidi w:val="0"/>
                    <w:ind w:firstLine="0" w:firstLineChars="0"/>
                    <w:jc w:val="center"/>
                    <w:rPr>
                      <w:rFonts w:hint="default"/>
                      <w:color w:val="0000FF"/>
                      <w:lang w:val="en-US" w:eastAsia="zh-CN"/>
                    </w:rPr>
                  </w:pPr>
                  <w:r>
                    <w:rPr>
                      <w:rFonts w:hint="eastAsia"/>
                      <w:color w:val="0000FF"/>
                      <w:lang w:val="en-US" w:eastAsia="zh-CN"/>
                    </w:rPr>
                    <w:t>≤0.02</w:t>
                  </w:r>
                </w:p>
              </w:tc>
              <w:tc>
                <w:tcPr>
                  <w:tcW w:w="724" w:type="pct"/>
                  <w:vAlign w:val="center"/>
                </w:tcPr>
                <w:p w14:paraId="11C7FE15">
                  <w:pPr>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672B34F9">
                  <w:pPr>
                    <w:pStyle w:val="40"/>
                    <w:bidi w:val="0"/>
                    <w:jc w:val="center"/>
                    <w:rPr>
                      <w:rFonts w:hint="default"/>
                      <w:color w:val="0000FF"/>
                      <w:lang w:val="en-US" w:eastAsia="zh-CN"/>
                    </w:rPr>
                  </w:pPr>
                  <w:r>
                    <w:rPr>
                      <w:rFonts w:hint="eastAsia"/>
                      <w:color w:val="0000FF"/>
                      <w:lang w:val="en-US" w:eastAsia="zh-CN"/>
                    </w:rPr>
                    <w:t>0.003L</w:t>
                  </w:r>
                </w:p>
              </w:tc>
              <w:tc>
                <w:tcPr>
                  <w:tcW w:w="618" w:type="pct"/>
                  <w:vAlign w:val="center"/>
                </w:tcPr>
                <w:p w14:paraId="7C50BBF3">
                  <w:pPr>
                    <w:bidi w:val="0"/>
                    <w:jc w:val="center"/>
                    <w:rPr>
                      <w:rFonts w:hint="eastAsia"/>
                      <w:color w:val="0000FF"/>
                      <w:lang w:val="en-US" w:eastAsia="zh-CN"/>
                    </w:rPr>
                  </w:pPr>
                  <w:r>
                    <w:rPr>
                      <w:rFonts w:hint="eastAsia"/>
                      <w:color w:val="0000FF"/>
                      <w:lang w:val="en-US" w:eastAsia="zh-CN"/>
                    </w:rPr>
                    <w:t>0.003L</w:t>
                  </w:r>
                </w:p>
              </w:tc>
              <w:tc>
                <w:tcPr>
                  <w:tcW w:w="620" w:type="pct"/>
                  <w:vAlign w:val="center"/>
                </w:tcPr>
                <w:p w14:paraId="1A5CE667">
                  <w:pPr>
                    <w:bidi w:val="0"/>
                    <w:jc w:val="center"/>
                    <w:rPr>
                      <w:rFonts w:hint="eastAsia"/>
                      <w:color w:val="0000FF"/>
                      <w:lang w:val="en-US" w:eastAsia="zh-CN"/>
                    </w:rPr>
                  </w:pPr>
                  <w:r>
                    <w:rPr>
                      <w:rFonts w:hint="eastAsia"/>
                      <w:color w:val="0000FF"/>
                      <w:lang w:val="en-US" w:eastAsia="zh-CN"/>
                    </w:rPr>
                    <w:t>0.003L</w:t>
                  </w:r>
                </w:p>
              </w:tc>
            </w:tr>
            <w:tr w14:paraId="41974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7" w:type="pct"/>
                  <w:vAlign w:val="center"/>
                </w:tcPr>
                <w:p w14:paraId="66432C37">
                  <w:pPr>
                    <w:pStyle w:val="40"/>
                    <w:bidi w:val="0"/>
                    <w:jc w:val="center"/>
                    <w:rPr>
                      <w:rFonts w:hint="default"/>
                      <w:color w:val="0000FF"/>
                      <w:lang w:val="en-US" w:eastAsia="zh-CN"/>
                    </w:rPr>
                  </w:pPr>
                  <w:r>
                    <w:rPr>
                      <w:rFonts w:hint="eastAsia"/>
                      <w:color w:val="0000FF"/>
                      <w:lang w:val="en-US" w:eastAsia="zh-CN"/>
                    </w:rPr>
                    <w:t>石油类</w:t>
                  </w:r>
                </w:p>
              </w:tc>
              <w:tc>
                <w:tcPr>
                  <w:tcW w:w="832" w:type="pct"/>
                  <w:vAlign w:val="center"/>
                </w:tcPr>
                <w:p w14:paraId="374E32DC">
                  <w:pPr>
                    <w:bidi w:val="0"/>
                    <w:ind w:firstLine="0" w:firstLineChars="0"/>
                    <w:jc w:val="center"/>
                    <w:rPr>
                      <w:rFonts w:hint="default"/>
                      <w:color w:val="0000FF"/>
                      <w:lang w:val="en-US" w:eastAsia="zh-CN"/>
                    </w:rPr>
                  </w:pPr>
                  <w:r>
                    <w:rPr>
                      <w:rFonts w:hint="eastAsia"/>
                      <w:color w:val="0000FF"/>
                      <w:lang w:val="en-US" w:eastAsia="zh-CN"/>
                    </w:rPr>
                    <w:t>≤0.05</w:t>
                  </w:r>
                </w:p>
              </w:tc>
              <w:tc>
                <w:tcPr>
                  <w:tcW w:w="724" w:type="pct"/>
                  <w:vAlign w:val="center"/>
                </w:tcPr>
                <w:p w14:paraId="045A5694">
                  <w:pPr>
                    <w:bidi w:val="0"/>
                    <w:ind w:firstLine="0" w:firstLineChars="0"/>
                    <w:jc w:val="center"/>
                    <w:rPr>
                      <w:rFonts w:hint="eastAsia"/>
                      <w:color w:val="0000FF"/>
                      <w:lang w:val="en-US" w:eastAsia="zh-CN"/>
                    </w:rPr>
                  </w:pPr>
                  <w:r>
                    <w:rPr>
                      <w:rFonts w:hint="eastAsia"/>
                      <w:color w:val="0000FF"/>
                      <w:lang w:val="en-US" w:eastAsia="zh-CN"/>
                    </w:rPr>
                    <w:t>mg/L</w:t>
                  </w:r>
                </w:p>
              </w:tc>
              <w:tc>
                <w:tcPr>
                  <w:tcW w:w="617" w:type="pct"/>
                  <w:vAlign w:val="center"/>
                </w:tcPr>
                <w:p w14:paraId="1FA25D8A">
                  <w:pPr>
                    <w:pStyle w:val="40"/>
                    <w:bidi w:val="0"/>
                    <w:jc w:val="center"/>
                    <w:rPr>
                      <w:rFonts w:hint="default"/>
                      <w:color w:val="0000FF"/>
                      <w:lang w:val="en-US" w:eastAsia="zh-CN"/>
                    </w:rPr>
                  </w:pPr>
                  <w:r>
                    <w:rPr>
                      <w:rFonts w:hint="eastAsia"/>
                      <w:color w:val="0000FF"/>
                      <w:lang w:val="en-US" w:eastAsia="zh-CN"/>
                    </w:rPr>
                    <w:t>0.01L</w:t>
                  </w:r>
                </w:p>
              </w:tc>
              <w:tc>
                <w:tcPr>
                  <w:tcW w:w="618" w:type="pct"/>
                  <w:vAlign w:val="center"/>
                </w:tcPr>
                <w:p w14:paraId="6FA2A1DC">
                  <w:pPr>
                    <w:bidi w:val="0"/>
                    <w:jc w:val="center"/>
                    <w:rPr>
                      <w:rFonts w:hint="eastAsia"/>
                      <w:color w:val="0000FF"/>
                      <w:lang w:val="en-US" w:eastAsia="zh-CN"/>
                    </w:rPr>
                  </w:pPr>
                  <w:r>
                    <w:rPr>
                      <w:rFonts w:hint="eastAsia"/>
                      <w:color w:val="0000FF"/>
                      <w:lang w:val="en-US" w:eastAsia="zh-CN"/>
                    </w:rPr>
                    <w:t>0.01L</w:t>
                  </w:r>
                </w:p>
              </w:tc>
              <w:tc>
                <w:tcPr>
                  <w:tcW w:w="620" w:type="pct"/>
                  <w:vAlign w:val="center"/>
                </w:tcPr>
                <w:p w14:paraId="50CF5D41">
                  <w:pPr>
                    <w:bidi w:val="0"/>
                    <w:jc w:val="center"/>
                    <w:rPr>
                      <w:rFonts w:hint="eastAsia"/>
                      <w:color w:val="0000FF"/>
                      <w:lang w:val="en-US" w:eastAsia="zh-CN"/>
                    </w:rPr>
                  </w:pPr>
                  <w:r>
                    <w:rPr>
                      <w:rFonts w:hint="eastAsia"/>
                      <w:color w:val="0000FF"/>
                      <w:lang w:val="en-US" w:eastAsia="zh-CN"/>
                    </w:rPr>
                    <w:t>0.01L</w:t>
                  </w:r>
                </w:p>
              </w:tc>
            </w:tr>
          </w:tbl>
          <w:p w14:paraId="579C72BF">
            <w:pPr>
              <w:pStyle w:val="58"/>
              <w:keepNext w:val="0"/>
              <w:keepLines w:val="0"/>
              <w:pageBreakBefore w:val="0"/>
              <w:widowControl w:val="0"/>
              <w:kinsoku/>
              <w:wordWrap/>
              <w:overflowPunct/>
              <w:topLinePunct w:val="0"/>
              <w:autoSpaceDE/>
              <w:autoSpaceDN/>
              <w:bidi w:val="0"/>
              <w:adjustRightInd/>
              <w:snapToGrid w:val="0"/>
              <w:spacing w:before="313" w:beforeLines="100" w:line="360" w:lineRule="auto"/>
              <w:ind w:left="0" w:leftChars="0" w:firstLine="480" w:firstLineChars="200"/>
              <w:jc w:val="left"/>
              <w:textAlignment w:val="center"/>
              <w:rPr>
                <w:rFonts w:hint="default" w:eastAsia="宋体"/>
                <w:color w:val="0000FF"/>
                <w:sz w:val="24"/>
                <w:lang w:val="en-US" w:eastAsia="zh-CN"/>
              </w:rPr>
            </w:pPr>
            <w:r>
              <w:rPr>
                <w:rFonts w:hint="eastAsia"/>
                <w:color w:val="0000FF"/>
                <w:sz w:val="24"/>
                <w:lang w:val="en-US" w:eastAsia="zh-CN"/>
              </w:rPr>
              <w:t>（3）评价方法</w:t>
            </w:r>
          </w:p>
          <w:p w14:paraId="6795BD1A">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color w:val="0000FF"/>
                <w:sz w:val="24"/>
              </w:rPr>
            </w:pPr>
            <w:r>
              <w:rPr>
                <w:color w:val="0000FF"/>
                <w:sz w:val="24"/>
              </w:rPr>
              <w:t>采用单因子指数法进行评价，其公式为：</w:t>
            </w:r>
          </w:p>
          <w:p w14:paraId="5FBB3813">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center"/>
              <w:rPr>
                <w:color w:val="0000FF"/>
                <w:sz w:val="24"/>
              </w:rPr>
            </w:pPr>
            <w:r>
              <w:rPr>
                <w:color w:val="0000FF"/>
                <w:sz w:val="24"/>
              </w:rPr>
              <w:drawing>
                <wp:inline distT="0" distB="0" distL="114300" distR="114300">
                  <wp:extent cx="583565" cy="393700"/>
                  <wp:effectExtent l="0" t="0" r="0" b="5715"/>
                  <wp:docPr id="5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4"/>
                          <pic:cNvPicPr>
                            <a:picLocks noChangeAspect="1"/>
                          </pic:cNvPicPr>
                        </pic:nvPicPr>
                        <pic:blipFill>
                          <a:blip r:embed="rId43"/>
                          <a:stretch>
                            <a:fillRect/>
                          </a:stretch>
                        </pic:blipFill>
                        <pic:spPr>
                          <a:xfrm>
                            <a:off x="0" y="0"/>
                            <a:ext cx="583565" cy="393700"/>
                          </a:xfrm>
                          <a:prstGeom prst="rect">
                            <a:avLst/>
                          </a:prstGeom>
                          <a:noFill/>
                          <a:ln>
                            <a:noFill/>
                          </a:ln>
                        </pic:spPr>
                      </pic:pic>
                    </a:graphicData>
                  </a:graphic>
                </wp:inline>
              </w:drawing>
            </w:r>
          </w:p>
          <w:p w14:paraId="0C6FAAAC">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color w:val="0000FF"/>
                <w:sz w:val="24"/>
              </w:rPr>
            </w:pPr>
            <w:r>
              <w:rPr>
                <w:color w:val="0000FF"/>
                <w:sz w:val="24"/>
              </w:rPr>
              <w:t>式中：Pi—污染物i的单项质量指数；</w:t>
            </w:r>
          </w:p>
          <w:p w14:paraId="1108915D">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color w:val="0000FF"/>
                <w:sz w:val="24"/>
              </w:rPr>
            </w:pPr>
            <w:r>
              <w:rPr>
                <w:color w:val="0000FF"/>
                <w:sz w:val="24"/>
              </w:rPr>
              <w:t xml:space="preserve">      Ci—污染物i的实测浓度值；</w:t>
            </w:r>
          </w:p>
          <w:p w14:paraId="1A8E5793">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color w:val="0000FF"/>
                <w:sz w:val="24"/>
              </w:rPr>
            </w:pPr>
            <w:r>
              <w:rPr>
                <w:color w:val="0000FF"/>
                <w:sz w:val="24"/>
              </w:rPr>
              <w:t xml:space="preserve">      Si—污染物i的地下水环境质量标准。</w:t>
            </w:r>
          </w:p>
          <w:p w14:paraId="22EFF6DA">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color w:val="0000FF"/>
                <w:sz w:val="24"/>
              </w:rPr>
            </w:pPr>
            <w:r>
              <w:rPr>
                <w:color w:val="0000FF"/>
                <w:sz w:val="24"/>
              </w:rPr>
              <w:t>其中pH值的计算公式采用：</w:t>
            </w:r>
          </w:p>
          <w:p w14:paraId="4FF7F6C0">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center"/>
              <w:textAlignment w:val="center"/>
              <w:rPr>
                <w:color w:val="0000FF"/>
                <w:sz w:val="24"/>
              </w:rPr>
            </w:pPr>
            <w:r>
              <w:rPr>
                <w:color w:val="0000FF"/>
                <w:sz w:val="24"/>
              </w:rPr>
              <w:drawing>
                <wp:inline distT="0" distB="0" distL="114300" distR="114300">
                  <wp:extent cx="977900" cy="393700"/>
                  <wp:effectExtent l="0" t="0" r="0" b="5715"/>
                  <wp:docPr id="5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5"/>
                          <pic:cNvPicPr>
                            <a:picLocks noChangeAspect="1"/>
                          </pic:cNvPicPr>
                        </pic:nvPicPr>
                        <pic:blipFill>
                          <a:blip r:embed="rId44"/>
                          <a:stretch>
                            <a:fillRect/>
                          </a:stretch>
                        </pic:blipFill>
                        <pic:spPr>
                          <a:xfrm>
                            <a:off x="0" y="0"/>
                            <a:ext cx="977900" cy="393700"/>
                          </a:xfrm>
                          <a:prstGeom prst="rect">
                            <a:avLst/>
                          </a:prstGeom>
                          <a:noFill/>
                          <a:ln>
                            <a:noFill/>
                          </a:ln>
                        </pic:spPr>
                      </pic:pic>
                    </a:graphicData>
                  </a:graphic>
                </wp:inline>
              </w:drawing>
            </w:r>
          </w:p>
          <w:p w14:paraId="1E376F6B">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rFonts w:hint="eastAsia"/>
                <w:color w:val="0000FF"/>
                <w:sz w:val="24"/>
              </w:rPr>
            </w:pPr>
            <w:r>
              <w:rPr>
                <w:rFonts w:hint="eastAsia"/>
                <w:color w:val="0000FF"/>
                <w:sz w:val="24"/>
                <w:lang w:eastAsia="zh-CN"/>
              </w:rPr>
              <w:t>（</w:t>
            </w:r>
            <w:r>
              <w:rPr>
                <w:rFonts w:hint="eastAsia"/>
                <w:color w:val="0000FF"/>
                <w:sz w:val="24"/>
                <w:lang w:val="en-US" w:eastAsia="zh-CN"/>
              </w:rPr>
              <w:t>4</w:t>
            </w:r>
            <w:r>
              <w:rPr>
                <w:rFonts w:hint="eastAsia"/>
                <w:color w:val="0000FF"/>
                <w:sz w:val="24"/>
                <w:lang w:eastAsia="zh-CN"/>
              </w:rPr>
              <w:t>）</w:t>
            </w:r>
            <w:r>
              <w:rPr>
                <w:rFonts w:hint="eastAsia"/>
                <w:color w:val="0000FF"/>
                <w:sz w:val="24"/>
              </w:rPr>
              <w:t>评价标准</w:t>
            </w:r>
          </w:p>
          <w:p w14:paraId="05F324E8">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center"/>
              <w:rPr>
                <w:rFonts w:hint="eastAsia" w:ascii="Times New Roman" w:hAnsi="Times New Roman" w:cs="Times New Roman"/>
                <w:color w:val="0000FF"/>
                <w:spacing w:val="0"/>
                <w:kern w:val="2"/>
                <w:position w:val="0"/>
                <w:sz w:val="24"/>
                <w:szCs w:val="24"/>
                <w:u w:val="none" w:color="auto"/>
                <w:lang w:val="en-US" w:eastAsia="zh-CN" w:bidi="ar-SA"/>
              </w:rPr>
            </w:pPr>
            <w:r>
              <w:rPr>
                <w:rFonts w:hint="eastAsia" w:ascii="Times New Roman" w:hAnsi="Times New Roman" w:cs="Times New Roman"/>
                <w:color w:val="0000FF"/>
                <w:spacing w:val="0"/>
                <w:kern w:val="2"/>
                <w:position w:val="0"/>
                <w:sz w:val="24"/>
                <w:szCs w:val="24"/>
                <w:u w:val="none" w:color="auto"/>
                <w:lang w:val="en-US" w:eastAsia="zh-CN" w:bidi="ar-SA"/>
              </w:rPr>
              <w:t>本次地下水环境质量现状评价标准采用《地下水质量标准》(GB/T14848-2017)III类标准。石油类参照《地表水环境质量标准》(GB3838-2002)III类标准限值要求。</w:t>
            </w:r>
          </w:p>
          <w:p w14:paraId="26F0D471">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rFonts w:hint="default" w:ascii="Times New Roman" w:hAnsi="Times New Roman" w:cs="Times New Roman"/>
                <w:color w:val="0000FF"/>
                <w:sz w:val="24"/>
              </w:rPr>
            </w:pPr>
            <w:r>
              <w:rPr>
                <w:rFonts w:hint="default" w:ascii="Times New Roman" w:hAnsi="Times New Roman" w:cs="Times New Roman"/>
                <w:color w:val="0000FF"/>
                <w:sz w:val="24"/>
                <w:lang w:eastAsia="zh-CN"/>
              </w:rPr>
              <w:t>（</w:t>
            </w:r>
            <w:r>
              <w:rPr>
                <w:rFonts w:hint="default" w:ascii="Times New Roman" w:hAnsi="Times New Roman" w:cs="Times New Roman"/>
                <w:color w:val="0000FF"/>
                <w:sz w:val="24"/>
                <w:lang w:val="en-US" w:eastAsia="zh-CN"/>
              </w:rPr>
              <w:t>5</w:t>
            </w:r>
            <w:r>
              <w:rPr>
                <w:rFonts w:hint="default" w:ascii="Times New Roman" w:hAnsi="Times New Roman" w:cs="Times New Roman"/>
                <w:color w:val="0000FF"/>
                <w:sz w:val="24"/>
                <w:lang w:eastAsia="zh-CN"/>
              </w:rPr>
              <w:t>）</w:t>
            </w:r>
            <w:r>
              <w:rPr>
                <w:rFonts w:hint="default" w:ascii="Times New Roman" w:hAnsi="Times New Roman" w:cs="Times New Roman"/>
                <w:color w:val="0000FF"/>
                <w:sz w:val="24"/>
              </w:rPr>
              <w:t>评价结果</w:t>
            </w:r>
          </w:p>
          <w:p w14:paraId="371FFBAE">
            <w:pPr>
              <w:pStyle w:val="58"/>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center"/>
              <w:rPr>
                <w:rFonts w:hint="default" w:ascii="Times New Roman" w:hAnsi="Times New Roman" w:cs="Times New Roman"/>
                <w:color w:val="0000FF"/>
                <w:sz w:val="24"/>
              </w:rPr>
            </w:pPr>
            <w:r>
              <w:rPr>
                <w:rFonts w:hint="default" w:ascii="Times New Roman" w:hAnsi="Times New Roman" w:cs="Times New Roman"/>
                <w:color w:val="0000FF"/>
                <w:sz w:val="24"/>
              </w:rPr>
              <w:t>根据评价方法及评价标准，对现状监测结果进行评价，并对评价结果进行分析。地下水监测结果及评价结果列于表</w:t>
            </w:r>
            <w:r>
              <w:rPr>
                <w:rFonts w:hint="default" w:ascii="Times New Roman" w:hAnsi="Times New Roman" w:cs="Times New Roman"/>
                <w:color w:val="0000FF"/>
                <w:sz w:val="24"/>
                <w:lang w:val="en-US" w:eastAsia="zh-CN"/>
              </w:rPr>
              <w:t>3.4-3</w:t>
            </w:r>
            <w:r>
              <w:rPr>
                <w:rFonts w:hint="default" w:ascii="Times New Roman" w:hAnsi="Times New Roman" w:cs="Times New Roman"/>
                <w:color w:val="0000FF"/>
                <w:sz w:val="24"/>
              </w:rPr>
              <w:t>。</w:t>
            </w:r>
          </w:p>
          <w:p w14:paraId="6F15368D">
            <w:pPr>
              <w:pStyle w:val="31"/>
              <w:spacing w:after="0"/>
              <w:ind w:left="0" w:leftChars="0" w:firstLine="0" w:firstLineChars="0"/>
              <w:jc w:val="center"/>
              <w:rPr>
                <w:rFonts w:hint="eastAsia" w:ascii="Times New Roman" w:hAnsi="Times New Roman" w:cs="Times New Roman"/>
                <w:b/>
                <w:bCs/>
                <w:color w:val="0000FF"/>
                <w:sz w:val="24"/>
                <w:lang w:val="en-US" w:eastAsia="zh-CN"/>
              </w:rPr>
            </w:pPr>
            <w:r>
              <w:rPr>
                <w:rFonts w:hint="default" w:ascii="Times New Roman" w:hAnsi="Times New Roman" w:cs="Times New Roman"/>
                <w:b/>
                <w:bCs/>
                <w:color w:val="0000FF"/>
                <w:sz w:val="24"/>
              </w:rPr>
              <w:t>表3</w:t>
            </w:r>
            <w:r>
              <w:rPr>
                <w:rFonts w:hint="default" w:ascii="Times New Roman" w:hAnsi="Times New Roman" w:cs="Times New Roman"/>
                <w:b/>
                <w:bCs/>
                <w:color w:val="0000FF"/>
                <w:sz w:val="24"/>
                <w:lang w:val="en-US" w:eastAsia="zh-CN"/>
              </w:rPr>
              <w:t>.4-</w:t>
            </w:r>
            <w:r>
              <w:rPr>
                <w:rFonts w:hint="eastAsia" w:ascii="Times New Roman" w:hAnsi="Times New Roman" w:cs="Times New Roman"/>
                <w:b/>
                <w:bCs/>
                <w:color w:val="0000FF"/>
                <w:sz w:val="24"/>
                <w:lang w:val="en-US" w:eastAsia="zh-CN"/>
              </w:rPr>
              <w:t>3</w:t>
            </w:r>
            <w:r>
              <w:rPr>
                <w:rFonts w:hint="default" w:ascii="Times New Roman" w:hAnsi="Times New Roman" w:cs="Times New Roman"/>
                <w:b/>
                <w:bCs/>
                <w:color w:val="0000FF"/>
                <w:sz w:val="24"/>
              </w:rPr>
              <w:t xml:space="preserve"> </w:t>
            </w:r>
            <w:r>
              <w:rPr>
                <w:rFonts w:hint="eastAsia" w:ascii="Times New Roman" w:hAnsi="Times New Roman" w:cs="Times New Roman"/>
                <w:b/>
                <w:bCs/>
                <w:color w:val="0000FF"/>
                <w:sz w:val="24"/>
                <w:lang w:val="en-US" w:eastAsia="zh-CN"/>
              </w:rPr>
              <w:t xml:space="preserve">  </w:t>
            </w:r>
            <w:r>
              <w:rPr>
                <w:rFonts w:hint="default" w:ascii="Times New Roman" w:hAnsi="Times New Roman" w:cs="Times New Roman"/>
                <w:b/>
                <w:bCs/>
                <w:color w:val="0000FF"/>
                <w:sz w:val="24"/>
              </w:rPr>
              <w:t xml:space="preserve"> </w:t>
            </w:r>
            <w:r>
              <w:rPr>
                <w:rFonts w:hint="eastAsia" w:ascii="Times New Roman" w:hAnsi="Times New Roman" w:cs="Times New Roman"/>
                <w:b/>
                <w:bCs/>
                <w:color w:val="0000FF"/>
                <w:sz w:val="24"/>
                <w:lang w:val="en-US" w:eastAsia="zh-CN"/>
              </w:rPr>
              <w:t>地下水监测评价结果</w:t>
            </w:r>
          </w:p>
          <w:tbl>
            <w:tblPr>
              <w:tblStyle w:val="32"/>
              <w:tblW w:w="493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801"/>
              <w:gridCol w:w="665"/>
              <w:gridCol w:w="665"/>
              <w:gridCol w:w="672"/>
              <w:gridCol w:w="1595"/>
              <w:gridCol w:w="1481"/>
            </w:tblGrid>
            <w:tr w14:paraId="0E75E0B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70" w:hRule="atLeast"/>
              </w:trPr>
              <w:tc>
                <w:tcPr>
                  <w:tcW w:w="1777"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2ED0C7F">
                  <w:pPr>
                    <w:keepNext w:val="0"/>
                    <w:keepLines w:val="0"/>
                    <w:widowControl/>
                    <w:suppressLineNumbers w:val="0"/>
                    <w:jc w:val="center"/>
                    <w:textAlignment w:val="top"/>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监测因子</w:t>
                  </w:r>
                </w:p>
              </w:tc>
              <w:tc>
                <w:tcPr>
                  <w:tcW w:w="1270" w:type="pct"/>
                  <w:gridSpan w:val="3"/>
                  <w:tcBorders>
                    <w:top w:val="single" w:color="000000" w:sz="8" w:space="0"/>
                    <w:left w:val="single" w:color="000000" w:sz="8" w:space="0"/>
                    <w:bottom w:val="single" w:color="000000" w:sz="8" w:space="0"/>
                    <w:right w:val="single" w:color="000000" w:sz="8" w:space="0"/>
                  </w:tcBorders>
                  <w:shd w:val="clear" w:color="auto" w:fill="auto"/>
                  <w:vAlign w:val="center"/>
                </w:tcPr>
                <w:p w14:paraId="62E1E2A5">
                  <w:pPr>
                    <w:keepNext w:val="0"/>
                    <w:keepLines w:val="0"/>
                    <w:widowControl/>
                    <w:suppressLineNumbers w:val="0"/>
                    <w:jc w:val="center"/>
                    <w:textAlignment w:val="top"/>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评价结果</w:t>
                  </w:r>
                </w:p>
              </w:tc>
              <w:tc>
                <w:tcPr>
                  <w:tcW w:w="1012" w:type="pct"/>
                  <w:tcBorders>
                    <w:top w:val="single" w:color="000000" w:sz="8" w:space="0"/>
                    <w:left w:val="single" w:color="000000" w:sz="8" w:space="0"/>
                    <w:bottom w:val="single" w:color="000000" w:sz="8" w:space="0"/>
                    <w:right w:val="single" w:color="000000" w:sz="8" w:space="0"/>
                  </w:tcBorders>
                  <w:shd w:val="clear" w:color="auto" w:fill="auto"/>
                  <w:vAlign w:val="center"/>
                </w:tcPr>
                <w:p w14:paraId="5AB3D75B">
                  <w:pPr>
                    <w:keepNext w:val="0"/>
                    <w:keepLines w:val="0"/>
                    <w:widowControl/>
                    <w:suppressLineNumbers w:val="0"/>
                    <w:jc w:val="center"/>
                    <w:textAlignment w:val="top"/>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超标率（</w:t>
                  </w:r>
                  <w:r>
                    <w:rPr>
                      <w:rFonts w:hint="default" w:ascii="Times New Roman" w:hAnsi="Times New Roman" w:eastAsia="宋体" w:cs="Times New Roman"/>
                      <w:i w:val="0"/>
                      <w:iCs w:val="0"/>
                      <w:color w:val="0000FF"/>
                      <w:kern w:val="0"/>
                      <w:sz w:val="21"/>
                      <w:szCs w:val="21"/>
                      <w:u w:val="none"/>
                      <w:lang w:val="en-US" w:eastAsia="zh-CN" w:bidi="ar"/>
                    </w:rPr>
                    <w:t>%</w:t>
                  </w:r>
                  <w:r>
                    <w:rPr>
                      <w:rFonts w:hint="eastAsia" w:ascii="宋体" w:hAnsi="宋体" w:eastAsia="宋体" w:cs="宋体"/>
                      <w:i w:val="0"/>
                      <w:iCs w:val="0"/>
                      <w:color w:val="0000FF"/>
                      <w:kern w:val="0"/>
                      <w:sz w:val="21"/>
                      <w:szCs w:val="21"/>
                      <w:u w:val="none"/>
                      <w:lang w:val="en-US" w:eastAsia="zh-CN" w:bidi="ar"/>
                    </w:rPr>
                    <w:t>）</w:t>
                  </w:r>
                </w:p>
              </w:tc>
              <w:tc>
                <w:tcPr>
                  <w:tcW w:w="939" w:type="pct"/>
                  <w:tcBorders>
                    <w:top w:val="single" w:color="000000" w:sz="8" w:space="0"/>
                    <w:left w:val="single" w:color="000000" w:sz="8" w:space="0"/>
                    <w:bottom w:val="single" w:color="000000" w:sz="8" w:space="0"/>
                    <w:right w:val="single" w:color="000000" w:sz="8" w:space="0"/>
                  </w:tcBorders>
                  <w:shd w:val="clear" w:color="auto" w:fill="auto"/>
                  <w:vAlign w:val="center"/>
                </w:tcPr>
                <w:p w14:paraId="7CC4F729">
                  <w:pPr>
                    <w:keepNext w:val="0"/>
                    <w:keepLines w:val="0"/>
                    <w:widowControl/>
                    <w:suppressLineNumbers w:val="0"/>
                    <w:jc w:val="center"/>
                    <w:textAlignment w:val="top"/>
                    <w:rPr>
                      <w:rFonts w:hint="eastAsia" w:ascii="宋体" w:hAnsi="宋体" w:eastAsia="宋体" w:cs="宋体"/>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最大超标倍数</w:t>
                  </w:r>
                </w:p>
              </w:tc>
            </w:tr>
            <w:tr w14:paraId="36EDE3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47C0B9B3">
                  <w:pPr>
                    <w:jc w:val="center"/>
                    <w:rPr>
                      <w:rFonts w:hint="eastAsia" w:ascii="宋体" w:hAnsi="宋体" w:eastAsia="宋体" w:cs="宋体"/>
                      <w:i w:val="0"/>
                      <w:iCs w:val="0"/>
                      <w:color w:val="0000FF"/>
                      <w:sz w:val="21"/>
                      <w:szCs w:val="21"/>
                      <w:u w:val="none"/>
                    </w:rPr>
                  </w:pPr>
                </w:p>
              </w:tc>
              <w:tc>
                <w:tcPr>
                  <w:tcW w:w="422" w:type="pct"/>
                  <w:tcBorders>
                    <w:top w:val="nil"/>
                    <w:left w:val="single" w:color="000000" w:sz="8" w:space="0"/>
                    <w:bottom w:val="single" w:color="000000" w:sz="8" w:space="0"/>
                    <w:right w:val="single" w:color="000000" w:sz="8" w:space="0"/>
                  </w:tcBorders>
                  <w:shd w:val="clear" w:color="auto" w:fill="auto"/>
                  <w:vAlign w:val="center"/>
                </w:tcPr>
                <w:p w14:paraId="7725E9E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2576D1E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6AB14F3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w:t>
                  </w:r>
                </w:p>
              </w:tc>
              <w:tc>
                <w:tcPr>
                  <w:tcW w:w="1012" w:type="pct"/>
                  <w:tcBorders>
                    <w:top w:val="single" w:color="000000" w:sz="8" w:space="0"/>
                    <w:left w:val="single" w:color="000000" w:sz="8" w:space="0"/>
                    <w:bottom w:val="single" w:color="000000" w:sz="8" w:space="0"/>
                    <w:right w:val="single" w:color="000000" w:sz="8" w:space="0"/>
                  </w:tcBorders>
                  <w:shd w:val="clear" w:color="auto" w:fill="auto"/>
                  <w:vAlign w:val="center"/>
                </w:tcPr>
                <w:p w14:paraId="00CB1B7B">
                  <w:pPr>
                    <w:jc w:val="center"/>
                    <w:rPr>
                      <w:rFonts w:hint="eastAsia" w:ascii="宋体" w:hAnsi="宋体" w:eastAsia="宋体" w:cs="宋体"/>
                      <w:i w:val="0"/>
                      <w:iCs w:val="0"/>
                      <w:color w:val="0000FF"/>
                      <w:sz w:val="21"/>
                      <w:szCs w:val="21"/>
                      <w:u w:val="none"/>
                    </w:rPr>
                  </w:pPr>
                </w:p>
              </w:tc>
              <w:tc>
                <w:tcPr>
                  <w:tcW w:w="939" w:type="pct"/>
                  <w:tcBorders>
                    <w:top w:val="single" w:color="000000" w:sz="8" w:space="0"/>
                    <w:left w:val="single" w:color="000000" w:sz="8" w:space="0"/>
                    <w:bottom w:val="single" w:color="000000" w:sz="8" w:space="0"/>
                    <w:right w:val="single" w:color="000000" w:sz="8" w:space="0"/>
                  </w:tcBorders>
                  <w:shd w:val="clear" w:color="auto" w:fill="auto"/>
                  <w:vAlign w:val="center"/>
                </w:tcPr>
                <w:p w14:paraId="3F69FD01">
                  <w:pPr>
                    <w:jc w:val="center"/>
                    <w:rPr>
                      <w:rFonts w:hint="eastAsia" w:ascii="宋体" w:hAnsi="宋体" w:eastAsia="宋体" w:cs="宋体"/>
                      <w:i w:val="0"/>
                      <w:iCs w:val="0"/>
                      <w:color w:val="0000FF"/>
                      <w:sz w:val="21"/>
                      <w:szCs w:val="21"/>
                      <w:u w:val="none"/>
                    </w:rPr>
                  </w:pPr>
                </w:p>
              </w:tc>
            </w:tr>
            <w:tr w14:paraId="0F328C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7BBA9BC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pH</w:t>
                  </w:r>
                </w:p>
              </w:tc>
              <w:tc>
                <w:tcPr>
                  <w:tcW w:w="422" w:type="pct"/>
                  <w:tcBorders>
                    <w:top w:val="nil"/>
                    <w:left w:val="nil"/>
                    <w:bottom w:val="nil"/>
                    <w:right w:val="nil"/>
                  </w:tcBorders>
                  <w:shd w:val="clear" w:color="auto" w:fill="auto"/>
                  <w:noWrap/>
                  <w:vAlign w:val="center"/>
                </w:tcPr>
                <w:p w14:paraId="2E4B378A">
                  <w:pPr>
                    <w:keepNext w:val="0"/>
                    <w:keepLines w:val="0"/>
                    <w:widowControl/>
                    <w:suppressLineNumbers w:val="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0.20</w:t>
                  </w:r>
                </w:p>
              </w:tc>
              <w:tc>
                <w:tcPr>
                  <w:tcW w:w="422" w:type="pct"/>
                  <w:tcBorders>
                    <w:top w:val="nil"/>
                    <w:left w:val="nil"/>
                    <w:bottom w:val="nil"/>
                    <w:right w:val="nil"/>
                  </w:tcBorders>
                  <w:shd w:val="clear" w:color="auto" w:fill="auto"/>
                  <w:noWrap/>
                  <w:vAlign w:val="center"/>
                </w:tcPr>
                <w:p w14:paraId="10628911">
                  <w:pPr>
                    <w:keepNext w:val="0"/>
                    <w:keepLines w:val="0"/>
                    <w:widowControl/>
                    <w:suppressLineNumbers w:val="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0.27</w:t>
                  </w:r>
                </w:p>
              </w:tc>
              <w:tc>
                <w:tcPr>
                  <w:tcW w:w="425" w:type="pct"/>
                  <w:tcBorders>
                    <w:top w:val="nil"/>
                    <w:left w:val="nil"/>
                    <w:bottom w:val="nil"/>
                    <w:right w:val="nil"/>
                  </w:tcBorders>
                  <w:shd w:val="clear" w:color="auto" w:fill="auto"/>
                  <w:noWrap/>
                  <w:vAlign w:val="center"/>
                </w:tcPr>
                <w:p w14:paraId="5FF873F1">
                  <w:pPr>
                    <w:keepNext w:val="0"/>
                    <w:keepLines w:val="0"/>
                    <w:widowControl/>
                    <w:suppressLineNumbers w:val="0"/>
                    <w:jc w:val="center"/>
                    <w:textAlignment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2"/>
                      <w:szCs w:val="22"/>
                      <w:u w:val="none"/>
                      <w:lang w:val="en-US" w:eastAsia="zh-CN" w:bidi="ar"/>
                    </w:rPr>
                    <w:t>0.27</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65A1376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4DEDECA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1FCDFF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62387E2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浑浊度</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5F642A4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0.17</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6F789AC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0.17</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274042C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0.17</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6F8EAA6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774AF1D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1BF247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21BA49D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氨氮</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42B0131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64D11CE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0.62</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1E7D75A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7FF3BD4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3A45AFA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486C2C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70"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710E6E0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总硬度（以</w:t>
                  </w:r>
                  <w:r>
                    <w:rPr>
                      <w:rFonts w:hint="default" w:ascii="Times New Roman" w:hAnsi="Times New Roman" w:eastAsia="宋体" w:cs="Times New Roman"/>
                      <w:i w:val="0"/>
                      <w:iCs w:val="0"/>
                      <w:color w:val="0000FF"/>
                      <w:kern w:val="0"/>
                      <w:sz w:val="21"/>
                      <w:szCs w:val="21"/>
                      <w:u w:val="none"/>
                      <w:lang w:val="en-US" w:eastAsia="zh-CN" w:bidi="ar"/>
                    </w:rPr>
                    <w:t>CaCO</w:t>
                  </w:r>
                  <w:r>
                    <w:rPr>
                      <w:rFonts w:hint="default" w:ascii="Times New Roman" w:hAnsi="Times New Roman" w:eastAsia="宋体" w:cs="Times New Roman"/>
                      <w:i w:val="0"/>
                      <w:iCs w:val="0"/>
                      <w:color w:val="0000FF"/>
                      <w:kern w:val="0"/>
                      <w:sz w:val="21"/>
                      <w:szCs w:val="21"/>
                      <w:u w:val="none"/>
                      <w:vertAlign w:val="subscript"/>
                      <w:lang w:val="en-US" w:eastAsia="zh-CN" w:bidi="ar"/>
                    </w:rPr>
                    <w:t>3</w:t>
                  </w:r>
                  <w:r>
                    <w:rPr>
                      <w:rFonts w:hint="eastAsia" w:ascii="宋体" w:hAnsi="宋体" w:eastAsia="宋体" w:cs="宋体"/>
                      <w:i w:val="0"/>
                      <w:iCs w:val="0"/>
                      <w:color w:val="0000FF"/>
                      <w:kern w:val="0"/>
                      <w:sz w:val="21"/>
                      <w:szCs w:val="21"/>
                      <w:u w:val="none"/>
                      <w:lang w:val="en-US" w:eastAsia="zh-CN" w:bidi="ar"/>
                    </w:rPr>
                    <w:t>计）</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0F792D4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0.45</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B482CB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0.37</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485DD4C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0.24</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1AF5502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7F1B21E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5146AA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4F7EB26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溶解性总固体</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389D3FB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0.93</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7D64857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0.39</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79B8A67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0.42</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1C2BF64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7841AA7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1DB3F0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5A7C57B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氯化物</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3B632D2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0.76</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6347B0B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0.09</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554D932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0.15</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3C99449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4870B2A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385FCC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2373AE4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硫酸盐</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2DF3AB3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0.93</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254D71D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0.53</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185E0EF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0.55</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56F187B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54DDCFB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13B2C1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48089B9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钠</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52C526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1.12</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9E0E77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0.35</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70B26D3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0.53</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58A8DA4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33.33%</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79BE108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0.115</w:t>
                  </w:r>
                </w:p>
              </w:tc>
            </w:tr>
            <w:tr w14:paraId="72E443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5DFA981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亚硝酸盐氮</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3F25359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7480E15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6FEFE1E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6062E7E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75812A9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0FBB0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7CE0CF6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硝酸盐氮</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52A2997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0ECF83D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0.00</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6A1EF5B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169976E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7EA9778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6AE6E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5981E3C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挥发酚</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6FDA384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0044C95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24C91FA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6D376D9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354D052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10538F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2F6D105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氰化物</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1DCC76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7C77D7F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6BBED47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3E549D8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62E9982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0A07DA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0A76B25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砷</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2C64D7C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C799EC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0232572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1B3D420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5090D3C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2BA470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07A61C3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汞</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3AFBB05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0513F40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539B3A7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0.02</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5838FD5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62F65FC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3A5B58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0278E17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六价铬</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2023AC5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7CA7068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6D4E988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0.04</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4F8A38B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0400FB6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524D98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64AFA53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氟化物</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5C859F5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3.13</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3561E07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0.96</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1FFAF15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0.87</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72E6FC0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33.33%</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054B1F0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2.130</w:t>
                  </w:r>
                </w:p>
              </w:tc>
            </w:tr>
            <w:tr w14:paraId="0B9D49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3F3560C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铅</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A04A9C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5C11961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677B962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0548381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38943AB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03ECA3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0AAD603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镉</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2E106DF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6EA5E02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320D8B9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0.01</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6663C4A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3CCA717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66D02F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1428094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铁</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2B3AFC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4505521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4111649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4F98FAA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001A75C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423AB8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36A5A94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锰</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7807639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4AA4F37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4C993FF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0.05</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7D62F98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21E5995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18A3BF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19C9AD4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锌</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58694AE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5C62BFC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18E14B0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5960EBA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04DDFCF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1FE7D6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71359F8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铜</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5A86904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C42692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4CBB9DD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26A7171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78B9DA3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74E87F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4200F3E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铝</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4A15FE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782464D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40125CE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6EFF6B1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61AC3F4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5D79D5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1210106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耗氧量（高锰酸盐指数）</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2761DFF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0.83</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1E9CA8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0.88</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0ABC35E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0.29</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58331EB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6A53A4C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0D1DB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545C18F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菌落总数</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00BEEAF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0.09</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05D9D5D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0.10</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5417CEF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0.11</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273BB32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77E2DAE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31E7DF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17EBFE0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总大肠菌群</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72101BE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51C9A01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401AB1E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7DF6D40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5636196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72FE8C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75C8C0B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阴离子表面活性剂</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3E27709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16CE29E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22583E1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669BCFE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47136FD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66516F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022C699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硫化物</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39877BC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0B2979C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21395B8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0.08</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3253320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12433F8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r w14:paraId="5D5647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1777" w:type="pct"/>
                  <w:tcBorders>
                    <w:top w:val="nil"/>
                    <w:left w:val="single" w:color="000000" w:sz="8" w:space="0"/>
                    <w:bottom w:val="single" w:color="000000" w:sz="8" w:space="0"/>
                    <w:right w:val="single" w:color="000000" w:sz="8" w:space="0"/>
                  </w:tcBorders>
                  <w:shd w:val="clear" w:color="auto" w:fill="auto"/>
                  <w:vAlign w:val="center"/>
                </w:tcPr>
                <w:p w14:paraId="1115F6D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eastAsia" w:ascii="宋体" w:hAnsi="宋体" w:eastAsia="宋体" w:cs="宋体"/>
                      <w:i w:val="0"/>
                      <w:iCs w:val="0"/>
                      <w:color w:val="0000FF"/>
                      <w:kern w:val="0"/>
                      <w:sz w:val="21"/>
                      <w:szCs w:val="21"/>
                      <w:u w:val="none"/>
                      <w:lang w:val="en-US" w:eastAsia="zh-CN" w:bidi="ar"/>
                    </w:rPr>
                    <w:t>石油类</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4912482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0.10</w:t>
                  </w:r>
                </w:p>
              </w:tc>
              <w:tc>
                <w:tcPr>
                  <w:tcW w:w="422" w:type="pct"/>
                  <w:tcBorders>
                    <w:top w:val="nil"/>
                    <w:left w:val="single" w:color="000000" w:sz="8" w:space="0"/>
                    <w:bottom w:val="single" w:color="000000" w:sz="8" w:space="0"/>
                    <w:right w:val="single" w:color="000000" w:sz="8" w:space="0"/>
                  </w:tcBorders>
                  <w:shd w:val="clear" w:color="auto" w:fill="auto"/>
                  <w:vAlign w:val="center"/>
                </w:tcPr>
                <w:p w14:paraId="6548B5A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0.10</w:t>
                  </w:r>
                </w:p>
              </w:tc>
              <w:tc>
                <w:tcPr>
                  <w:tcW w:w="425" w:type="pct"/>
                  <w:tcBorders>
                    <w:top w:val="nil"/>
                    <w:left w:val="single" w:color="000000" w:sz="8" w:space="0"/>
                    <w:bottom w:val="single" w:color="000000" w:sz="8" w:space="0"/>
                    <w:right w:val="single" w:color="000000" w:sz="8" w:space="0"/>
                  </w:tcBorders>
                  <w:shd w:val="clear" w:color="auto" w:fill="auto"/>
                  <w:vAlign w:val="center"/>
                </w:tcPr>
                <w:p w14:paraId="7CF1720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0.10</w:t>
                  </w:r>
                </w:p>
              </w:tc>
              <w:tc>
                <w:tcPr>
                  <w:tcW w:w="1012" w:type="pct"/>
                  <w:tcBorders>
                    <w:top w:val="nil"/>
                    <w:left w:val="single" w:color="000000" w:sz="8" w:space="0"/>
                    <w:bottom w:val="single" w:color="000000" w:sz="8" w:space="0"/>
                    <w:right w:val="single" w:color="000000" w:sz="8" w:space="0"/>
                  </w:tcBorders>
                  <w:shd w:val="clear" w:color="auto" w:fill="auto"/>
                  <w:vAlign w:val="center"/>
                </w:tcPr>
                <w:p w14:paraId="0DE7F49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c>
                <w:tcPr>
                  <w:tcW w:w="939" w:type="pct"/>
                  <w:tcBorders>
                    <w:top w:val="nil"/>
                    <w:left w:val="single" w:color="000000" w:sz="8" w:space="0"/>
                    <w:bottom w:val="single" w:color="000000" w:sz="8" w:space="0"/>
                    <w:right w:val="single" w:color="000000" w:sz="8" w:space="0"/>
                  </w:tcBorders>
                  <w:shd w:val="clear" w:color="auto" w:fill="auto"/>
                  <w:vAlign w:val="center"/>
                </w:tcPr>
                <w:p w14:paraId="65CDABE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0</w:t>
                  </w:r>
                </w:p>
              </w:tc>
            </w:tr>
          </w:tbl>
          <w:p w14:paraId="2631B47C">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color w:val="0000FF"/>
                <w:sz w:val="21"/>
                <w:szCs w:val="21"/>
                <w:highlight w:val="none"/>
                <w:lang w:val="en-US" w:eastAsia="zh-CN"/>
              </w:rPr>
            </w:pPr>
            <w:r>
              <w:rPr>
                <w:rFonts w:hint="eastAsia" w:cs="Times New Roman"/>
                <w:b/>
                <w:bCs/>
                <w:color w:val="0000FF"/>
                <w:sz w:val="21"/>
                <w:szCs w:val="21"/>
                <w:highlight w:val="none"/>
                <w:lang w:val="en-US" w:eastAsia="zh-CN"/>
              </w:rPr>
              <w:t>注：</w:t>
            </w:r>
            <w:r>
              <w:rPr>
                <w:rFonts w:hint="eastAsia" w:cs="Times New Roman"/>
                <w:color w:val="0000FF"/>
                <w:sz w:val="21"/>
                <w:szCs w:val="21"/>
                <w:highlight w:val="none"/>
                <w:lang w:val="en-US" w:eastAsia="zh-CN"/>
              </w:rPr>
              <w:t>检测结果低于检测限的因子，按照检测限的1/2进行单因子指数核算。</w:t>
            </w:r>
          </w:p>
          <w:p w14:paraId="4F5B2EA1">
            <w:pPr>
              <w:pStyle w:val="9"/>
              <w:keepNext w:val="0"/>
              <w:keepLines w:val="0"/>
              <w:pageBreakBefore w:val="0"/>
              <w:widowControl w:val="0"/>
              <w:numPr>
                <w:ilvl w:val="0"/>
                <w:numId w:val="0"/>
              </w:numPr>
              <w:kinsoku/>
              <w:wordWrap/>
              <w:overflowPunct/>
              <w:topLinePunct w:val="0"/>
              <w:autoSpaceDE/>
              <w:autoSpaceDN/>
              <w:bidi w:val="0"/>
              <w:adjustRightInd/>
              <w:snapToGrid/>
              <w:spacing w:before="313" w:beforeLines="100" w:line="360" w:lineRule="auto"/>
              <w:ind w:firstLine="480" w:firstLineChars="200"/>
              <w:textAlignment w:val="auto"/>
              <w:rPr>
                <w:rFonts w:hint="default" w:ascii="Times New Roman" w:hAnsi="Times New Roman" w:cs="Times New Roman"/>
                <w:color w:val="0000FF"/>
                <w:sz w:val="24"/>
                <w:szCs w:val="24"/>
                <w:highlight w:val="none"/>
                <w:lang w:val="en-US" w:eastAsia="zh-CN"/>
              </w:rPr>
            </w:pPr>
            <w:r>
              <w:rPr>
                <w:rFonts w:hint="default" w:ascii="Times New Roman" w:hAnsi="Times New Roman" w:cs="Times New Roman"/>
                <w:color w:val="0000FF"/>
                <w:sz w:val="24"/>
                <w:szCs w:val="24"/>
                <w:highlight w:val="none"/>
                <w:lang w:val="en-US" w:eastAsia="zh-CN"/>
              </w:rPr>
              <w:t>由上表可以看出,本项目地下水现状监测因子除个别点位钠、氟化物浓度标准指数大于1，其余监测因子浓度均小于1，监测因子浓度均满足《地下水环境质量标准》(GB/T 14848-2017)Ш类标准限值要求，石油类满足《地表水环境质量标准》(GB3838-2002)Ш类标准限值要求。</w:t>
            </w:r>
          </w:p>
          <w:p w14:paraId="4EDBFAA6">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szCs w:val="24"/>
                <w:highlight w:val="none"/>
                <w:lang w:val="en-US" w:eastAsia="zh-CN"/>
              </w:rPr>
            </w:pPr>
            <w:r>
              <w:rPr>
                <w:rFonts w:hint="default" w:ascii="Times New Roman" w:hAnsi="Times New Roman" w:cs="Times New Roman"/>
                <w:color w:val="0000FF"/>
                <w:sz w:val="24"/>
                <w:szCs w:val="24"/>
                <w:highlight w:val="none"/>
                <w:lang w:val="en-US" w:eastAsia="zh-CN"/>
              </w:rPr>
              <w:t>钠、氟化物超标原因主要是厂区地处黄河冲积平原区,区域地下水径流滞缓,加之含水层介质中可溶盐含量高，长期的水-岩相互作用使得介质中大量的可溶盐进入水中并积累起来，加之强烈的蒸发浓缩作用，最终使得这些因子超标，属天然的水文地质条件所致。</w:t>
            </w:r>
          </w:p>
          <w:p w14:paraId="69323E2A">
            <w:pPr>
              <w:pStyle w:val="77"/>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ascii="Times New Roman" w:hAnsi="Times New Roman" w:eastAsia="宋体" w:cs="Times New Roman"/>
                <w:b/>
                <w:bCs/>
                <w:color w:val="0000FF"/>
                <w:spacing w:val="0"/>
                <w:kern w:val="2"/>
                <w:position w:val="0"/>
                <w:sz w:val="24"/>
                <w:szCs w:val="24"/>
                <w:lang w:val="en-US" w:eastAsia="zh-CN" w:bidi="ar-SA"/>
              </w:rPr>
            </w:pPr>
            <w:r>
              <w:rPr>
                <w:rFonts w:hint="eastAsia" w:ascii="Times New Roman" w:hAnsi="Times New Roman" w:cs="Times New Roman"/>
                <w:b/>
                <w:bCs/>
                <w:color w:val="0000FF"/>
                <w:kern w:val="2"/>
                <w:sz w:val="24"/>
                <w:szCs w:val="24"/>
                <w:lang w:val="en-US" w:eastAsia="zh-CN" w:bidi="ar-SA"/>
              </w:rPr>
              <w:t>5</w:t>
            </w:r>
            <w:r>
              <w:rPr>
                <w:rFonts w:hint="default" w:ascii="Times New Roman" w:hAnsi="Times New Roman" w:eastAsia="宋体" w:cs="Times New Roman"/>
                <w:b/>
                <w:bCs/>
                <w:color w:val="0000FF"/>
                <w:kern w:val="2"/>
                <w:sz w:val="24"/>
                <w:szCs w:val="24"/>
                <w:lang w:val="en-US" w:eastAsia="zh-CN" w:bidi="ar-SA"/>
              </w:rPr>
              <w:t>、</w:t>
            </w:r>
            <w:r>
              <w:rPr>
                <w:rFonts w:hint="eastAsia" w:ascii="Times New Roman" w:hAnsi="Times New Roman" w:cs="Times New Roman"/>
                <w:b/>
                <w:bCs/>
                <w:color w:val="0000FF"/>
                <w:kern w:val="2"/>
                <w:sz w:val="24"/>
                <w:szCs w:val="24"/>
                <w:lang w:val="en-US" w:eastAsia="zh-CN" w:bidi="ar-SA"/>
              </w:rPr>
              <w:t>土壤</w:t>
            </w:r>
            <w:r>
              <w:rPr>
                <w:rFonts w:hint="default" w:ascii="Times New Roman" w:hAnsi="Times New Roman" w:eastAsia="宋体" w:cs="Times New Roman"/>
                <w:b/>
                <w:bCs/>
                <w:color w:val="0000FF"/>
                <w:kern w:val="2"/>
                <w:sz w:val="24"/>
                <w:szCs w:val="24"/>
                <w:lang w:val="en-US" w:eastAsia="zh-CN" w:bidi="ar-SA"/>
              </w:rPr>
              <w:t>环境</w:t>
            </w:r>
            <w:r>
              <w:rPr>
                <w:rFonts w:hint="eastAsia" w:ascii="Times New Roman" w:hAnsi="Times New Roman" w:cs="Times New Roman"/>
                <w:b/>
                <w:bCs/>
                <w:color w:val="0000FF"/>
                <w:kern w:val="2"/>
                <w:sz w:val="24"/>
                <w:szCs w:val="24"/>
                <w:lang w:val="en-US" w:eastAsia="zh-CN" w:bidi="ar-SA"/>
              </w:rPr>
              <w:t>质量</w:t>
            </w:r>
            <w:r>
              <w:rPr>
                <w:rFonts w:hint="default" w:ascii="Times New Roman" w:hAnsi="Times New Roman" w:eastAsia="宋体" w:cs="Times New Roman"/>
                <w:b/>
                <w:bCs/>
                <w:color w:val="0000FF"/>
                <w:kern w:val="2"/>
                <w:sz w:val="24"/>
                <w:szCs w:val="24"/>
                <w:lang w:val="en-US" w:eastAsia="zh-CN" w:bidi="ar-SA"/>
              </w:rPr>
              <w:t>现状</w:t>
            </w:r>
          </w:p>
          <w:p w14:paraId="6D328ED9">
            <w:pPr>
              <w:autoSpaceDE w:val="0"/>
              <w:autoSpaceDN w:val="0"/>
              <w:spacing w:line="360" w:lineRule="auto"/>
              <w:ind w:firstLine="480" w:firstLineChars="200"/>
              <w:rPr>
                <w:rFonts w:ascii="Times New Roman" w:hAnsi="Times New Roman" w:eastAsia="宋体" w:cs="Times New Roman"/>
                <w:color w:val="0000FF"/>
                <w:sz w:val="24"/>
              </w:rPr>
            </w:pPr>
            <w:r>
              <w:rPr>
                <w:rFonts w:ascii="Times New Roman" w:hAnsi="Times New Roman" w:eastAsia="宋体" w:cs="Times New Roman"/>
                <w:color w:val="0000FF"/>
                <w:sz w:val="24"/>
              </w:rPr>
              <w:t>为掌握评价区土壤环境质量现状，委托</w:t>
            </w:r>
            <w:r>
              <w:rPr>
                <w:rFonts w:hint="eastAsia" w:ascii="Times New Roman" w:hAnsi="Times New Roman" w:eastAsia="宋体" w:cs="Times New Roman"/>
                <w:color w:val="0000FF"/>
                <w:sz w:val="24"/>
              </w:rPr>
              <w:t>内蒙古宇驰环保科技有限公司</w:t>
            </w:r>
            <w:r>
              <w:rPr>
                <w:rFonts w:ascii="Times New Roman" w:hAnsi="Times New Roman" w:eastAsia="宋体" w:cs="Times New Roman"/>
                <w:color w:val="0000FF"/>
                <w:sz w:val="24"/>
              </w:rPr>
              <w:t>开展土壤环境质量现状监测，监测布点见下表3</w:t>
            </w:r>
            <w:r>
              <w:rPr>
                <w:rFonts w:hint="eastAsia" w:ascii="Times New Roman" w:hAnsi="Times New Roman" w:eastAsia="宋体" w:cs="Times New Roman"/>
                <w:color w:val="0000FF"/>
                <w:sz w:val="24"/>
                <w:lang w:val="en-US" w:eastAsia="zh-CN"/>
              </w:rPr>
              <w:t>.5</w:t>
            </w:r>
            <w:r>
              <w:rPr>
                <w:rFonts w:ascii="Times New Roman" w:hAnsi="Times New Roman" w:eastAsia="宋体" w:cs="Times New Roman"/>
                <w:color w:val="0000FF"/>
                <w:sz w:val="24"/>
              </w:rPr>
              <w:t>-</w:t>
            </w:r>
            <w:r>
              <w:rPr>
                <w:rFonts w:hint="eastAsia" w:ascii="Times New Roman" w:hAnsi="Times New Roman" w:eastAsia="宋体" w:cs="Times New Roman"/>
                <w:color w:val="0000FF"/>
                <w:sz w:val="24"/>
                <w:lang w:val="en-US" w:eastAsia="zh-CN"/>
              </w:rPr>
              <w:t>1</w:t>
            </w:r>
            <w:r>
              <w:rPr>
                <w:rFonts w:ascii="Times New Roman" w:hAnsi="Times New Roman" w:eastAsia="宋体" w:cs="Times New Roman"/>
                <w:color w:val="0000FF"/>
                <w:sz w:val="24"/>
              </w:rPr>
              <w:t>。</w:t>
            </w:r>
          </w:p>
          <w:p w14:paraId="4AC5474E">
            <w:pPr>
              <w:ind w:firstLine="482" w:firstLineChars="200"/>
              <w:jc w:val="center"/>
              <w:rPr>
                <w:rFonts w:ascii="Times New Roman" w:hAnsi="Times New Roman" w:eastAsia="宋体" w:cs="Times New Roman"/>
                <w:b/>
                <w:bCs/>
                <w:color w:val="0000FF"/>
                <w:sz w:val="24"/>
              </w:rPr>
            </w:pPr>
            <w:r>
              <w:rPr>
                <w:rFonts w:ascii="Times New Roman" w:hAnsi="Times New Roman" w:eastAsia="宋体" w:cs="Times New Roman"/>
                <w:b/>
                <w:bCs/>
                <w:color w:val="0000FF"/>
                <w:sz w:val="24"/>
              </w:rPr>
              <w:t>表3</w:t>
            </w:r>
            <w:r>
              <w:rPr>
                <w:rFonts w:hint="eastAsia" w:ascii="Times New Roman" w:hAnsi="Times New Roman" w:eastAsia="宋体" w:cs="Times New Roman"/>
                <w:b/>
                <w:bCs/>
                <w:color w:val="0000FF"/>
                <w:sz w:val="24"/>
                <w:lang w:val="en-US" w:eastAsia="zh-CN"/>
              </w:rPr>
              <w:t xml:space="preserve">.5-1     </w:t>
            </w:r>
            <w:r>
              <w:rPr>
                <w:rFonts w:ascii="Times New Roman" w:hAnsi="Times New Roman" w:eastAsia="宋体" w:cs="Times New Roman"/>
                <w:b/>
                <w:bCs/>
                <w:color w:val="0000FF"/>
                <w:sz w:val="24"/>
              </w:rPr>
              <w:t>土壤现状监测点位</w:t>
            </w:r>
          </w:p>
          <w:tbl>
            <w:tblPr>
              <w:tblStyle w:val="32"/>
              <w:tblW w:w="4993"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autofit"/>
              <w:tblCellMar>
                <w:top w:w="0" w:type="dxa"/>
                <w:left w:w="28" w:type="dxa"/>
                <w:bottom w:w="0" w:type="dxa"/>
                <w:right w:w="28" w:type="dxa"/>
              </w:tblCellMar>
            </w:tblPr>
            <w:tblGrid>
              <w:gridCol w:w="544"/>
              <w:gridCol w:w="1817"/>
              <w:gridCol w:w="1357"/>
              <w:gridCol w:w="1200"/>
              <w:gridCol w:w="1486"/>
              <w:gridCol w:w="1535"/>
            </w:tblGrid>
            <w:tr w14:paraId="65F1F0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62" w:hRule="atLeast"/>
                <w:jc w:val="center"/>
              </w:trPr>
              <w:tc>
                <w:tcPr>
                  <w:tcW w:w="343" w:type="pct"/>
                  <w:vMerge w:val="restart"/>
                  <w:tcBorders>
                    <w:top w:val="single" w:color="auto" w:sz="4" w:space="0"/>
                    <w:tl2br w:val="nil"/>
                    <w:tr2bl w:val="nil"/>
                  </w:tcBorders>
                  <w:vAlign w:val="center"/>
                </w:tcPr>
                <w:p w14:paraId="341FD393">
                  <w:pPr>
                    <w:adjustRightInd w:val="0"/>
                    <w:snapToGrid w:val="0"/>
                    <w:spacing w:line="360" w:lineRule="auto"/>
                    <w:jc w:val="center"/>
                    <w:rPr>
                      <w:rFonts w:ascii="Times New Roman" w:hAnsi="Times New Roman" w:eastAsia="宋体" w:cs="Times New Roman"/>
                      <w:b/>
                      <w:bCs/>
                      <w:color w:val="0000FF"/>
                      <w:szCs w:val="21"/>
                    </w:rPr>
                  </w:pPr>
                  <w:r>
                    <w:rPr>
                      <w:rFonts w:ascii="Times New Roman" w:hAnsi="Times New Roman" w:eastAsia="宋体" w:cs="Times New Roman"/>
                      <w:b/>
                      <w:bCs/>
                      <w:color w:val="0000FF"/>
                      <w:szCs w:val="21"/>
                    </w:rPr>
                    <w:t>编号</w:t>
                  </w:r>
                </w:p>
              </w:tc>
              <w:tc>
                <w:tcPr>
                  <w:tcW w:w="1144" w:type="pct"/>
                  <w:vMerge w:val="restart"/>
                  <w:tcBorders>
                    <w:top w:val="single" w:color="auto" w:sz="4" w:space="0"/>
                    <w:tl2br w:val="nil"/>
                    <w:tr2bl w:val="nil"/>
                  </w:tcBorders>
                  <w:vAlign w:val="center"/>
                </w:tcPr>
                <w:p w14:paraId="7E018D94">
                  <w:pPr>
                    <w:adjustRightInd w:val="0"/>
                    <w:snapToGrid w:val="0"/>
                    <w:spacing w:line="360" w:lineRule="auto"/>
                    <w:jc w:val="center"/>
                    <w:rPr>
                      <w:rFonts w:ascii="Times New Roman" w:hAnsi="Times New Roman" w:eastAsia="宋体" w:cs="Times New Roman"/>
                      <w:b/>
                      <w:bCs/>
                      <w:color w:val="0000FF"/>
                      <w:szCs w:val="21"/>
                    </w:rPr>
                  </w:pPr>
                  <w:r>
                    <w:rPr>
                      <w:rFonts w:ascii="Times New Roman" w:hAnsi="Times New Roman" w:eastAsia="宋体" w:cs="Times New Roman"/>
                      <w:b/>
                      <w:bCs/>
                      <w:color w:val="0000FF"/>
                      <w:szCs w:val="21"/>
                    </w:rPr>
                    <w:t>位置</w:t>
                  </w:r>
                </w:p>
              </w:tc>
              <w:tc>
                <w:tcPr>
                  <w:tcW w:w="854" w:type="pct"/>
                  <w:vMerge w:val="restart"/>
                  <w:tcBorders>
                    <w:top w:val="single" w:color="auto" w:sz="4" w:space="0"/>
                    <w:tl2br w:val="nil"/>
                    <w:tr2bl w:val="nil"/>
                  </w:tcBorders>
                  <w:vAlign w:val="center"/>
                </w:tcPr>
                <w:p w14:paraId="15915033">
                  <w:pPr>
                    <w:adjustRightInd w:val="0"/>
                    <w:snapToGrid w:val="0"/>
                    <w:spacing w:line="360" w:lineRule="auto"/>
                    <w:jc w:val="center"/>
                    <w:rPr>
                      <w:rFonts w:ascii="Times New Roman" w:hAnsi="Times New Roman" w:eastAsia="宋体" w:cs="Times New Roman"/>
                      <w:b/>
                      <w:bCs/>
                      <w:color w:val="0000FF"/>
                      <w:szCs w:val="21"/>
                    </w:rPr>
                  </w:pPr>
                  <w:r>
                    <w:rPr>
                      <w:rFonts w:ascii="Times New Roman" w:hAnsi="Times New Roman" w:eastAsia="宋体" w:cs="Times New Roman"/>
                      <w:b/>
                      <w:bCs/>
                      <w:color w:val="0000FF"/>
                      <w:szCs w:val="21"/>
                    </w:rPr>
                    <w:t>样品类型</w:t>
                  </w:r>
                </w:p>
              </w:tc>
              <w:tc>
                <w:tcPr>
                  <w:tcW w:w="755" w:type="pct"/>
                  <w:vMerge w:val="restart"/>
                  <w:tcBorders>
                    <w:top w:val="single" w:color="auto" w:sz="4" w:space="0"/>
                    <w:tl2br w:val="nil"/>
                    <w:tr2bl w:val="nil"/>
                  </w:tcBorders>
                  <w:vAlign w:val="center"/>
                </w:tcPr>
                <w:p w14:paraId="73F8C5E9">
                  <w:pPr>
                    <w:adjustRightInd w:val="0"/>
                    <w:snapToGrid w:val="0"/>
                    <w:spacing w:line="360" w:lineRule="auto"/>
                    <w:jc w:val="center"/>
                    <w:rPr>
                      <w:rFonts w:ascii="Times New Roman" w:hAnsi="Times New Roman" w:eastAsia="宋体" w:cs="Times New Roman"/>
                      <w:b/>
                      <w:bCs/>
                      <w:color w:val="0000FF"/>
                      <w:szCs w:val="21"/>
                    </w:rPr>
                  </w:pPr>
                  <w:r>
                    <w:rPr>
                      <w:rFonts w:ascii="Times New Roman" w:hAnsi="Times New Roman" w:eastAsia="宋体" w:cs="Times New Roman"/>
                      <w:b/>
                      <w:bCs/>
                      <w:color w:val="0000FF"/>
                      <w:szCs w:val="21"/>
                    </w:rPr>
                    <w:t>采样数量</w:t>
                  </w:r>
                </w:p>
              </w:tc>
              <w:tc>
                <w:tcPr>
                  <w:tcW w:w="935" w:type="pct"/>
                  <w:vMerge w:val="restart"/>
                  <w:tcBorders>
                    <w:top w:val="single" w:color="auto" w:sz="4" w:space="0"/>
                    <w:tl2br w:val="nil"/>
                    <w:tr2bl w:val="nil"/>
                  </w:tcBorders>
                  <w:vAlign w:val="center"/>
                </w:tcPr>
                <w:p w14:paraId="1A54D159">
                  <w:pPr>
                    <w:adjustRightInd w:val="0"/>
                    <w:snapToGrid w:val="0"/>
                    <w:spacing w:line="360" w:lineRule="auto"/>
                    <w:jc w:val="center"/>
                    <w:rPr>
                      <w:rFonts w:ascii="Times New Roman" w:hAnsi="Times New Roman" w:eastAsia="宋体" w:cs="Times New Roman"/>
                      <w:b/>
                      <w:bCs/>
                      <w:color w:val="0000FF"/>
                      <w:szCs w:val="21"/>
                    </w:rPr>
                  </w:pPr>
                  <w:r>
                    <w:rPr>
                      <w:rFonts w:ascii="Times New Roman" w:hAnsi="Times New Roman" w:eastAsia="宋体" w:cs="Times New Roman"/>
                      <w:b/>
                      <w:bCs/>
                      <w:color w:val="0000FF"/>
                      <w:szCs w:val="21"/>
                    </w:rPr>
                    <w:t>采样深度</w:t>
                  </w:r>
                </w:p>
              </w:tc>
              <w:tc>
                <w:tcPr>
                  <w:tcW w:w="966" w:type="pct"/>
                  <w:vMerge w:val="restart"/>
                  <w:tcBorders>
                    <w:top w:val="single" w:color="auto" w:sz="4" w:space="0"/>
                    <w:right w:val="single" w:color="auto" w:sz="4" w:space="0"/>
                    <w:tl2br w:val="nil"/>
                    <w:tr2bl w:val="nil"/>
                  </w:tcBorders>
                  <w:vAlign w:val="center"/>
                </w:tcPr>
                <w:p w14:paraId="0A4F69E2">
                  <w:pPr>
                    <w:adjustRightInd w:val="0"/>
                    <w:snapToGrid w:val="0"/>
                    <w:spacing w:line="360" w:lineRule="auto"/>
                    <w:jc w:val="center"/>
                    <w:rPr>
                      <w:rFonts w:ascii="Times New Roman" w:hAnsi="Times New Roman" w:eastAsia="宋体" w:cs="Times New Roman"/>
                      <w:b/>
                      <w:bCs/>
                      <w:color w:val="0000FF"/>
                      <w:szCs w:val="21"/>
                    </w:rPr>
                  </w:pPr>
                  <w:r>
                    <w:rPr>
                      <w:rFonts w:ascii="Times New Roman" w:hAnsi="Times New Roman" w:eastAsia="宋体" w:cs="Times New Roman"/>
                      <w:b/>
                      <w:bCs/>
                      <w:color w:val="0000FF"/>
                      <w:szCs w:val="21"/>
                    </w:rPr>
                    <w:t>备注</w:t>
                  </w:r>
                </w:p>
              </w:tc>
            </w:tr>
            <w:tr w14:paraId="3FB877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468" w:hRule="atLeast"/>
                <w:jc w:val="center"/>
              </w:trPr>
              <w:tc>
                <w:tcPr>
                  <w:tcW w:w="343" w:type="pct"/>
                  <w:vMerge w:val="continue"/>
                  <w:tcBorders>
                    <w:left w:val="single" w:color="auto" w:sz="4" w:space="0"/>
                    <w:tl2br w:val="nil"/>
                    <w:tr2bl w:val="nil"/>
                  </w:tcBorders>
                  <w:vAlign w:val="center"/>
                </w:tcPr>
                <w:p w14:paraId="5FA942FA">
                  <w:pPr>
                    <w:widowControl/>
                    <w:spacing w:line="360" w:lineRule="auto"/>
                    <w:jc w:val="center"/>
                    <w:rPr>
                      <w:rFonts w:ascii="Times New Roman" w:hAnsi="Times New Roman" w:eastAsia="宋体" w:cs="Times New Roman"/>
                      <w:color w:val="0000FF"/>
                      <w:szCs w:val="21"/>
                    </w:rPr>
                  </w:pPr>
                </w:p>
              </w:tc>
              <w:tc>
                <w:tcPr>
                  <w:tcW w:w="1144" w:type="pct"/>
                  <w:vMerge w:val="continue"/>
                  <w:tcBorders>
                    <w:tl2br w:val="nil"/>
                    <w:tr2bl w:val="nil"/>
                  </w:tcBorders>
                  <w:vAlign w:val="center"/>
                </w:tcPr>
                <w:p w14:paraId="6B0EBDC6">
                  <w:pPr>
                    <w:widowControl/>
                    <w:spacing w:line="360" w:lineRule="auto"/>
                    <w:jc w:val="center"/>
                    <w:rPr>
                      <w:rFonts w:ascii="Times New Roman" w:hAnsi="Times New Roman" w:eastAsia="宋体" w:cs="Times New Roman"/>
                      <w:color w:val="0000FF"/>
                      <w:szCs w:val="21"/>
                    </w:rPr>
                  </w:pPr>
                </w:p>
              </w:tc>
              <w:tc>
                <w:tcPr>
                  <w:tcW w:w="854" w:type="pct"/>
                  <w:vMerge w:val="continue"/>
                  <w:tcBorders>
                    <w:tl2br w:val="nil"/>
                    <w:tr2bl w:val="nil"/>
                  </w:tcBorders>
                  <w:vAlign w:val="center"/>
                </w:tcPr>
                <w:p w14:paraId="51FE425A">
                  <w:pPr>
                    <w:widowControl/>
                    <w:spacing w:line="360" w:lineRule="auto"/>
                    <w:jc w:val="center"/>
                    <w:rPr>
                      <w:rFonts w:ascii="Times New Roman" w:hAnsi="Times New Roman" w:eastAsia="宋体" w:cs="Times New Roman"/>
                      <w:color w:val="0000FF"/>
                      <w:szCs w:val="21"/>
                    </w:rPr>
                  </w:pPr>
                </w:p>
              </w:tc>
              <w:tc>
                <w:tcPr>
                  <w:tcW w:w="755" w:type="pct"/>
                  <w:vMerge w:val="continue"/>
                  <w:tcBorders>
                    <w:tl2br w:val="nil"/>
                    <w:tr2bl w:val="nil"/>
                  </w:tcBorders>
                  <w:vAlign w:val="center"/>
                </w:tcPr>
                <w:p w14:paraId="717CC5B7">
                  <w:pPr>
                    <w:widowControl/>
                    <w:spacing w:line="360" w:lineRule="auto"/>
                    <w:jc w:val="center"/>
                    <w:rPr>
                      <w:rFonts w:ascii="Times New Roman" w:hAnsi="Times New Roman" w:eastAsia="宋体" w:cs="Times New Roman"/>
                      <w:color w:val="0000FF"/>
                      <w:szCs w:val="21"/>
                    </w:rPr>
                  </w:pPr>
                </w:p>
              </w:tc>
              <w:tc>
                <w:tcPr>
                  <w:tcW w:w="935" w:type="pct"/>
                  <w:vMerge w:val="continue"/>
                  <w:tcBorders>
                    <w:tl2br w:val="nil"/>
                    <w:tr2bl w:val="nil"/>
                  </w:tcBorders>
                  <w:vAlign w:val="center"/>
                </w:tcPr>
                <w:p w14:paraId="1DE5252D">
                  <w:pPr>
                    <w:widowControl/>
                    <w:spacing w:line="360" w:lineRule="auto"/>
                    <w:jc w:val="center"/>
                    <w:rPr>
                      <w:rFonts w:ascii="Times New Roman" w:hAnsi="Times New Roman" w:eastAsia="宋体" w:cs="Times New Roman"/>
                      <w:color w:val="0000FF"/>
                      <w:szCs w:val="21"/>
                    </w:rPr>
                  </w:pPr>
                </w:p>
              </w:tc>
              <w:tc>
                <w:tcPr>
                  <w:tcW w:w="966" w:type="pct"/>
                  <w:vMerge w:val="continue"/>
                  <w:tcBorders>
                    <w:right w:val="single" w:color="auto" w:sz="4" w:space="0"/>
                    <w:tl2br w:val="nil"/>
                    <w:tr2bl w:val="nil"/>
                  </w:tcBorders>
                  <w:vAlign w:val="center"/>
                </w:tcPr>
                <w:p w14:paraId="7D9F3FA3">
                  <w:pPr>
                    <w:widowControl/>
                    <w:spacing w:line="360" w:lineRule="auto"/>
                    <w:jc w:val="center"/>
                    <w:rPr>
                      <w:rFonts w:ascii="Times New Roman" w:hAnsi="Times New Roman" w:eastAsia="宋体" w:cs="Times New Roman"/>
                      <w:color w:val="0000FF"/>
                      <w:szCs w:val="21"/>
                    </w:rPr>
                  </w:pPr>
                </w:p>
              </w:tc>
            </w:tr>
            <w:tr w14:paraId="5F9E6C8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340" w:hRule="atLeast"/>
                <w:jc w:val="center"/>
              </w:trPr>
              <w:tc>
                <w:tcPr>
                  <w:tcW w:w="343" w:type="pct"/>
                  <w:tcBorders>
                    <w:left w:val="single" w:color="auto" w:sz="4" w:space="0"/>
                    <w:bottom w:val="single" w:color="auto" w:sz="4" w:space="0"/>
                    <w:tl2br w:val="nil"/>
                    <w:tr2bl w:val="nil"/>
                  </w:tcBorders>
                  <w:vAlign w:val="center"/>
                </w:tcPr>
                <w:p w14:paraId="10D0B2D5">
                  <w:pPr>
                    <w:pStyle w:val="40"/>
                    <w:bidi w:val="0"/>
                    <w:rPr>
                      <w:color w:val="0000FF"/>
                    </w:rPr>
                  </w:pPr>
                  <w:r>
                    <w:rPr>
                      <w:color w:val="0000FF"/>
                    </w:rPr>
                    <w:t>1#</w:t>
                  </w:r>
                </w:p>
              </w:tc>
              <w:tc>
                <w:tcPr>
                  <w:tcW w:w="1144" w:type="pct"/>
                  <w:tcBorders>
                    <w:bottom w:val="single" w:color="auto" w:sz="4" w:space="0"/>
                    <w:tl2br w:val="nil"/>
                    <w:tr2bl w:val="nil"/>
                  </w:tcBorders>
                  <w:vAlign w:val="center"/>
                </w:tcPr>
                <w:p w14:paraId="7EEC12D2">
                  <w:pPr>
                    <w:pStyle w:val="40"/>
                    <w:bidi w:val="0"/>
                    <w:rPr>
                      <w:color w:val="0000FF"/>
                    </w:rPr>
                  </w:pPr>
                  <w:r>
                    <w:rPr>
                      <w:color w:val="0000FF"/>
                    </w:rPr>
                    <w:t>项目占地范围内</w:t>
                  </w:r>
                </w:p>
                <w:p w14:paraId="6B4D7A3A">
                  <w:pPr>
                    <w:pStyle w:val="40"/>
                    <w:bidi w:val="0"/>
                    <w:rPr>
                      <w:color w:val="0000FF"/>
                    </w:rPr>
                  </w:pPr>
                  <w:bookmarkStart w:id="8" w:name="OLE_LINK34"/>
                  <w:r>
                    <w:rPr>
                      <w:color w:val="0000FF"/>
                    </w:rPr>
                    <w:t xml:space="preserve">E: </w:t>
                  </w:r>
                  <w:r>
                    <w:rPr>
                      <w:rFonts w:hint="eastAsia"/>
                      <w:color w:val="0000FF"/>
                    </w:rPr>
                    <w:t>109</w:t>
                  </w:r>
                  <w:r>
                    <w:rPr>
                      <w:color w:val="0000FF"/>
                    </w:rPr>
                    <w:t>°</w:t>
                  </w:r>
                  <w:r>
                    <w:rPr>
                      <w:rFonts w:hint="eastAsia"/>
                      <w:color w:val="0000FF"/>
                    </w:rPr>
                    <w:t>39</w:t>
                  </w:r>
                  <w:r>
                    <w:rPr>
                      <w:color w:val="0000FF"/>
                    </w:rPr>
                    <w:t>'</w:t>
                  </w:r>
                  <w:r>
                    <w:rPr>
                      <w:rFonts w:hint="eastAsia"/>
                      <w:color w:val="0000FF"/>
                    </w:rPr>
                    <w:t>03.1717</w:t>
                  </w:r>
                  <w:r>
                    <w:rPr>
                      <w:color w:val="0000FF"/>
                    </w:rPr>
                    <w:t>"</w:t>
                  </w:r>
                </w:p>
                <w:p w14:paraId="2B8B98A6">
                  <w:pPr>
                    <w:pStyle w:val="40"/>
                    <w:bidi w:val="0"/>
                    <w:rPr>
                      <w:color w:val="0000FF"/>
                    </w:rPr>
                  </w:pPr>
                  <w:r>
                    <w:rPr>
                      <w:color w:val="0000FF"/>
                    </w:rPr>
                    <w:t>N: 40°</w:t>
                  </w:r>
                  <w:r>
                    <w:rPr>
                      <w:rFonts w:hint="eastAsia"/>
                      <w:color w:val="0000FF"/>
                    </w:rPr>
                    <w:t>34</w:t>
                  </w:r>
                  <w:r>
                    <w:rPr>
                      <w:color w:val="0000FF"/>
                    </w:rPr>
                    <w:t>'</w:t>
                  </w:r>
                  <w:r>
                    <w:rPr>
                      <w:rFonts w:hint="eastAsia"/>
                      <w:color w:val="0000FF"/>
                    </w:rPr>
                    <w:t>56.7341</w:t>
                  </w:r>
                  <w:r>
                    <w:rPr>
                      <w:color w:val="0000FF"/>
                    </w:rPr>
                    <w:t>"</w:t>
                  </w:r>
                  <w:bookmarkEnd w:id="8"/>
                </w:p>
              </w:tc>
              <w:tc>
                <w:tcPr>
                  <w:tcW w:w="854" w:type="pct"/>
                  <w:tcBorders>
                    <w:bottom w:val="single" w:color="auto" w:sz="4" w:space="0"/>
                    <w:tl2br w:val="nil"/>
                    <w:tr2bl w:val="nil"/>
                  </w:tcBorders>
                  <w:vAlign w:val="center"/>
                </w:tcPr>
                <w:p w14:paraId="0193C661">
                  <w:pPr>
                    <w:pStyle w:val="40"/>
                    <w:bidi w:val="0"/>
                    <w:rPr>
                      <w:color w:val="0000FF"/>
                    </w:rPr>
                  </w:pPr>
                  <w:r>
                    <w:rPr>
                      <w:color w:val="0000FF"/>
                    </w:rPr>
                    <w:t>表层样</w:t>
                  </w:r>
                </w:p>
              </w:tc>
              <w:tc>
                <w:tcPr>
                  <w:tcW w:w="755" w:type="pct"/>
                  <w:tcBorders>
                    <w:bottom w:val="single" w:color="auto" w:sz="4" w:space="0"/>
                    <w:tl2br w:val="nil"/>
                    <w:tr2bl w:val="nil"/>
                  </w:tcBorders>
                  <w:vAlign w:val="center"/>
                </w:tcPr>
                <w:p w14:paraId="75978F64">
                  <w:pPr>
                    <w:pStyle w:val="40"/>
                    <w:bidi w:val="0"/>
                    <w:rPr>
                      <w:color w:val="0000FF"/>
                    </w:rPr>
                  </w:pPr>
                  <w:r>
                    <w:rPr>
                      <w:color w:val="0000FF"/>
                    </w:rPr>
                    <w:t>1</w:t>
                  </w:r>
                </w:p>
              </w:tc>
              <w:tc>
                <w:tcPr>
                  <w:tcW w:w="935" w:type="pct"/>
                  <w:tcBorders>
                    <w:bottom w:val="single" w:color="auto" w:sz="4" w:space="0"/>
                    <w:tl2br w:val="nil"/>
                    <w:tr2bl w:val="nil"/>
                  </w:tcBorders>
                  <w:vAlign w:val="center"/>
                </w:tcPr>
                <w:p w14:paraId="71343489">
                  <w:pPr>
                    <w:pStyle w:val="40"/>
                    <w:bidi w:val="0"/>
                    <w:rPr>
                      <w:color w:val="0000FF"/>
                    </w:rPr>
                  </w:pPr>
                  <w:r>
                    <w:rPr>
                      <w:color w:val="0000FF"/>
                    </w:rPr>
                    <w:t>0~0.2m</w:t>
                  </w:r>
                </w:p>
              </w:tc>
              <w:tc>
                <w:tcPr>
                  <w:tcW w:w="966" w:type="pct"/>
                  <w:tcBorders>
                    <w:bottom w:val="single" w:color="auto" w:sz="4" w:space="0"/>
                    <w:right w:val="single" w:color="auto" w:sz="4" w:space="0"/>
                    <w:tl2br w:val="nil"/>
                    <w:tr2bl w:val="nil"/>
                  </w:tcBorders>
                  <w:vAlign w:val="center"/>
                </w:tcPr>
                <w:p w14:paraId="4C7E5A07">
                  <w:pPr>
                    <w:pStyle w:val="40"/>
                    <w:bidi w:val="0"/>
                    <w:rPr>
                      <w:rFonts w:hint="default"/>
                      <w:color w:val="0000FF"/>
                      <w:lang w:val="en-US" w:eastAsia="zh-CN"/>
                    </w:rPr>
                  </w:pPr>
                  <w:r>
                    <w:rPr>
                      <w:rFonts w:hint="eastAsia"/>
                      <w:color w:val="0000FF"/>
                      <w:lang w:val="en-US" w:eastAsia="zh-CN"/>
                    </w:rPr>
                    <w:t>项目厂区内储罐区附近</w:t>
                  </w:r>
                </w:p>
              </w:tc>
            </w:tr>
          </w:tbl>
          <w:p w14:paraId="2EA91809">
            <w:pPr>
              <w:keepNext w:val="0"/>
              <w:keepLines w:val="0"/>
              <w:pageBreakBefore w:val="0"/>
              <w:widowControl w:val="0"/>
              <w:kinsoku/>
              <w:wordWrap/>
              <w:overflowPunct/>
              <w:topLinePunct w:val="0"/>
              <w:autoSpaceDE/>
              <w:autoSpaceDN/>
              <w:bidi w:val="0"/>
              <w:adjustRightInd/>
              <w:snapToGrid/>
              <w:spacing w:before="313" w:beforeLines="100" w:line="360" w:lineRule="auto"/>
              <w:textAlignment w:val="auto"/>
              <w:rPr>
                <w:rFonts w:hint="eastAsia" w:ascii="Times New Roman" w:hAnsi="Times New Roman" w:eastAsia="宋体" w:cs="Times New Roman"/>
                <w:color w:val="0000FF"/>
                <w:sz w:val="24"/>
                <w:lang w:eastAsia="zh-CN"/>
              </w:rPr>
            </w:pPr>
            <w:r>
              <w:rPr>
                <w:rFonts w:hint="eastAsia" w:ascii="Times New Roman" w:hAnsi="Times New Roman" w:eastAsia="宋体" w:cs="Times New Roman"/>
                <w:color w:val="0000FF"/>
                <w:sz w:val="24"/>
                <w:lang w:eastAsia="zh-CN"/>
              </w:rPr>
              <w:drawing>
                <wp:inline distT="0" distB="0" distL="114300" distR="114300">
                  <wp:extent cx="5059045" cy="3576955"/>
                  <wp:effectExtent l="0" t="0" r="8255" b="4445"/>
                  <wp:docPr id="7" name="图片 7" descr="土壤现状监测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土壤现状监测点"/>
                          <pic:cNvPicPr>
                            <a:picLocks noChangeAspect="1"/>
                          </pic:cNvPicPr>
                        </pic:nvPicPr>
                        <pic:blipFill>
                          <a:blip r:embed="rId45"/>
                          <a:stretch>
                            <a:fillRect/>
                          </a:stretch>
                        </pic:blipFill>
                        <pic:spPr>
                          <a:xfrm>
                            <a:off x="0" y="0"/>
                            <a:ext cx="5059045" cy="3576955"/>
                          </a:xfrm>
                          <a:prstGeom prst="rect">
                            <a:avLst/>
                          </a:prstGeom>
                        </pic:spPr>
                      </pic:pic>
                    </a:graphicData>
                  </a:graphic>
                </wp:inline>
              </w:drawing>
            </w:r>
          </w:p>
          <w:p w14:paraId="6D0AF9EE">
            <w:pPr>
              <w:pStyle w:val="58"/>
              <w:keepNext w:val="0"/>
              <w:keepLines w:val="0"/>
              <w:pageBreakBefore w:val="0"/>
              <w:widowControl w:val="0"/>
              <w:kinsoku/>
              <w:wordWrap/>
              <w:overflowPunct/>
              <w:topLinePunct w:val="0"/>
              <w:autoSpaceDE/>
              <w:autoSpaceDN/>
              <w:bidi w:val="0"/>
              <w:adjustRightInd/>
              <w:snapToGrid w:val="0"/>
              <w:spacing w:line="360" w:lineRule="auto"/>
              <w:ind w:firstLine="482" w:firstLineChars="200"/>
              <w:jc w:val="center"/>
              <w:textAlignment w:val="center"/>
              <w:rPr>
                <w:rFonts w:hint="default" w:ascii="Times New Roman" w:hAnsi="Times New Roman" w:cs="Times New Roman"/>
                <w:b/>
                <w:bCs/>
                <w:color w:val="0000FF"/>
                <w:sz w:val="24"/>
                <w:lang w:val="en-US" w:eastAsia="zh-CN"/>
              </w:rPr>
            </w:pPr>
            <w:r>
              <w:rPr>
                <w:rFonts w:hint="default" w:ascii="Times New Roman" w:hAnsi="Times New Roman" w:cs="Times New Roman"/>
                <w:b/>
                <w:bCs/>
                <w:color w:val="0000FF"/>
                <w:sz w:val="24"/>
                <w:lang w:val="en-US" w:eastAsia="zh-CN"/>
              </w:rPr>
              <w:t>图3.</w:t>
            </w:r>
            <w:r>
              <w:rPr>
                <w:rFonts w:hint="eastAsia" w:ascii="Times New Roman" w:hAnsi="Times New Roman" w:cs="Times New Roman"/>
                <w:b/>
                <w:bCs/>
                <w:color w:val="0000FF"/>
                <w:sz w:val="24"/>
                <w:lang w:val="en-US" w:eastAsia="zh-CN"/>
              </w:rPr>
              <w:t>5</w:t>
            </w:r>
            <w:r>
              <w:rPr>
                <w:rFonts w:hint="default" w:ascii="Times New Roman" w:hAnsi="Times New Roman" w:cs="Times New Roman"/>
                <w:b/>
                <w:bCs/>
                <w:color w:val="0000FF"/>
                <w:sz w:val="24"/>
                <w:lang w:val="en-US" w:eastAsia="zh-CN"/>
              </w:rPr>
              <w:t xml:space="preserve">-1    </w:t>
            </w:r>
            <w:r>
              <w:rPr>
                <w:rFonts w:hint="eastAsia" w:ascii="Times New Roman" w:hAnsi="Times New Roman" w:cs="Times New Roman"/>
                <w:b/>
                <w:bCs/>
                <w:color w:val="0000FF"/>
                <w:sz w:val="24"/>
                <w:lang w:val="en-US" w:eastAsia="zh-CN"/>
              </w:rPr>
              <w:t>土壤</w:t>
            </w:r>
            <w:r>
              <w:rPr>
                <w:rFonts w:hint="default" w:ascii="Times New Roman" w:hAnsi="Times New Roman" w:cs="Times New Roman"/>
                <w:b/>
                <w:bCs/>
                <w:color w:val="0000FF"/>
                <w:sz w:val="24"/>
                <w:lang w:val="en-US" w:eastAsia="zh-CN"/>
              </w:rPr>
              <w:t>环境质量现状监测布点图</w:t>
            </w:r>
          </w:p>
          <w:p w14:paraId="2F00E05D">
            <w:pPr>
              <w:spacing w:line="360" w:lineRule="auto"/>
              <w:ind w:firstLine="480" w:firstLineChars="200"/>
              <w:rPr>
                <w:rFonts w:ascii="Times New Roman" w:hAnsi="Times New Roman" w:eastAsia="宋体" w:cs="Times New Roman"/>
                <w:color w:val="0000FF"/>
                <w:sz w:val="24"/>
              </w:rPr>
            </w:pPr>
            <w:r>
              <w:rPr>
                <w:rFonts w:ascii="Times New Roman" w:hAnsi="Times New Roman" w:eastAsia="宋体" w:cs="Times New Roman"/>
                <w:color w:val="0000FF"/>
                <w:sz w:val="24"/>
              </w:rPr>
              <w:t>（1）监测项目</w:t>
            </w:r>
          </w:p>
          <w:p w14:paraId="64BBFD90">
            <w:pPr>
              <w:autoSpaceDE w:val="0"/>
              <w:autoSpaceDN w:val="0"/>
              <w:spacing w:line="360" w:lineRule="auto"/>
              <w:ind w:firstLine="480" w:firstLineChars="200"/>
              <w:rPr>
                <w:rFonts w:ascii="Times New Roman" w:hAnsi="Times New Roman" w:eastAsia="宋体" w:cs="Times New Roman"/>
                <w:color w:val="0000FF"/>
                <w:sz w:val="24"/>
              </w:rPr>
            </w:pPr>
            <w:r>
              <w:rPr>
                <w:rFonts w:hint="eastAsia" w:cs="Times New Roman"/>
                <w:color w:val="0000FF"/>
                <w:sz w:val="24"/>
                <w:lang w:val="en-US" w:eastAsia="zh-CN"/>
              </w:rPr>
              <w:t>监测因子参照《</w:t>
            </w:r>
            <w:r>
              <w:rPr>
                <w:rFonts w:ascii="宋体" w:hAnsi="宋体" w:eastAsia="宋体" w:cs="宋体"/>
                <w:color w:val="0000FF"/>
                <w:sz w:val="24"/>
                <w:szCs w:val="24"/>
              </w:rPr>
              <w:t>排污单位自行监测技术指南 陆上石油天然气开采工业</w:t>
            </w:r>
            <w:r>
              <w:rPr>
                <w:rFonts w:hint="eastAsia" w:cs="Times New Roman"/>
                <w:color w:val="0000FF"/>
                <w:sz w:val="24"/>
                <w:lang w:val="en-US" w:eastAsia="zh-CN"/>
              </w:rPr>
              <w:t>》（HJ 1248—2022），确定监测因子为</w:t>
            </w:r>
            <w:r>
              <w:rPr>
                <w:rFonts w:hint="eastAsia" w:ascii="Times New Roman" w:hAnsi="Times New Roman" w:eastAsia="宋体" w:cs="Times New Roman"/>
                <w:color w:val="0000FF"/>
                <w:sz w:val="24"/>
                <w:lang w:val="en-US" w:eastAsia="zh-CN"/>
              </w:rPr>
              <w:t>pH、石油类、石油烃（C10~C40）、汞、砷、六价铬。</w:t>
            </w:r>
          </w:p>
          <w:p w14:paraId="7C5E19E6">
            <w:pPr>
              <w:widowControl w:val="0"/>
              <w:spacing w:line="360" w:lineRule="auto"/>
              <w:ind w:firstLine="480" w:firstLineChars="200"/>
              <w:jc w:val="left"/>
              <w:rPr>
                <w:rFonts w:ascii="Times New Roman" w:hAnsi="Times New Roman" w:eastAsia="宋体" w:cs="Times New Roman"/>
                <w:color w:val="0000FF"/>
                <w:kern w:val="2"/>
                <w:sz w:val="24"/>
                <w:szCs w:val="24"/>
                <w:lang w:val="en-US" w:eastAsia="zh-CN" w:bidi="ar-SA"/>
              </w:rPr>
            </w:pPr>
            <w:r>
              <w:rPr>
                <w:rFonts w:ascii="Times New Roman" w:hAnsi="Times New Roman" w:eastAsia="宋体" w:cs="Times New Roman"/>
                <w:color w:val="0000FF"/>
                <w:kern w:val="2"/>
                <w:sz w:val="24"/>
                <w:szCs w:val="24"/>
                <w:lang w:val="en-US" w:eastAsia="zh-CN" w:bidi="ar-SA"/>
              </w:rPr>
              <w:t>（2）分析方法</w:t>
            </w:r>
          </w:p>
          <w:p w14:paraId="62823BEC">
            <w:pPr>
              <w:widowControl w:val="0"/>
              <w:spacing w:line="360" w:lineRule="auto"/>
              <w:ind w:firstLine="482" w:firstLineChars="200"/>
              <w:jc w:val="center"/>
              <w:rPr>
                <w:rFonts w:ascii="Times New Roman" w:hAnsi="Times New Roman" w:eastAsia="宋体" w:cs="Times New Roman"/>
                <w:color w:val="0000FF"/>
                <w:kern w:val="2"/>
                <w:sz w:val="24"/>
                <w:szCs w:val="24"/>
                <w:lang w:val="en-US" w:eastAsia="zh-CN" w:bidi="ar-SA"/>
              </w:rPr>
            </w:pPr>
            <w:r>
              <w:rPr>
                <w:rFonts w:ascii="Times New Roman" w:hAnsi="Times New Roman" w:eastAsia="宋体" w:cs="Times New Roman"/>
                <w:b/>
                <w:bCs/>
                <w:color w:val="0000FF"/>
                <w:sz w:val="24"/>
              </w:rPr>
              <w:t>表3</w:t>
            </w:r>
            <w:r>
              <w:rPr>
                <w:rFonts w:hint="eastAsia" w:ascii="Times New Roman" w:hAnsi="Times New Roman" w:eastAsia="宋体" w:cs="Times New Roman"/>
                <w:b/>
                <w:bCs/>
                <w:color w:val="0000FF"/>
                <w:sz w:val="24"/>
                <w:lang w:val="en-US" w:eastAsia="zh-CN"/>
              </w:rPr>
              <w:t xml:space="preserve">.5-2    </w:t>
            </w:r>
            <w:r>
              <w:rPr>
                <w:rFonts w:ascii="Times New Roman" w:hAnsi="Times New Roman" w:eastAsia="宋体" w:cs="Times New Roman"/>
                <w:b/>
                <w:bCs/>
                <w:color w:val="0000FF"/>
                <w:kern w:val="2"/>
                <w:sz w:val="24"/>
                <w:szCs w:val="24"/>
                <w:lang w:val="en-US" w:eastAsia="zh-CN" w:bidi="ar-SA"/>
              </w:rPr>
              <w:t>分析方法</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1161"/>
              <w:gridCol w:w="5248"/>
              <w:gridCol w:w="893"/>
            </w:tblGrid>
            <w:tr w14:paraId="1D7AC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03" w:type="pct"/>
                  <w:vAlign w:val="center"/>
                </w:tcPr>
                <w:p w14:paraId="7953909A">
                  <w:pPr>
                    <w:pStyle w:val="40"/>
                    <w:bidi w:val="0"/>
                    <w:rPr>
                      <w:color w:val="0000FF"/>
                    </w:rPr>
                  </w:pPr>
                  <w:r>
                    <w:rPr>
                      <w:color w:val="0000FF"/>
                    </w:rPr>
                    <w:t>样品类别</w:t>
                  </w:r>
                </w:p>
              </w:tc>
              <w:tc>
                <w:tcPr>
                  <w:tcW w:w="620" w:type="pct"/>
                  <w:vAlign w:val="center"/>
                </w:tcPr>
                <w:p w14:paraId="3CA8D016">
                  <w:pPr>
                    <w:pStyle w:val="40"/>
                    <w:bidi w:val="0"/>
                    <w:rPr>
                      <w:color w:val="0000FF"/>
                    </w:rPr>
                  </w:pPr>
                  <w:r>
                    <w:rPr>
                      <w:rFonts w:hint="eastAsia"/>
                      <w:color w:val="0000FF"/>
                    </w:rPr>
                    <w:t>项目</w:t>
                  </w:r>
                </w:p>
              </w:tc>
              <w:tc>
                <w:tcPr>
                  <w:tcW w:w="3375" w:type="pct"/>
                  <w:vAlign w:val="center"/>
                </w:tcPr>
                <w:p w14:paraId="4D1CD408">
                  <w:pPr>
                    <w:pStyle w:val="40"/>
                    <w:bidi w:val="0"/>
                    <w:rPr>
                      <w:color w:val="0000FF"/>
                    </w:rPr>
                  </w:pPr>
                  <w:r>
                    <w:rPr>
                      <w:rFonts w:hint="eastAsia"/>
                      <w:color w:val="0000FF"/>
                    </w:rPr>
                    <w:t>分析方法</w:t>
                  </w:r>
                </w:p>
              </w:tc>
              <w:tc>
                <w:tcPr>
                  <w:tcW w:w="500" w:type="pct"/>
                  <w:vAlign w:val="center"/>
                </w:tcPr>
                <w:p w14:paraId="4418613B">
                  <w:pPr>
                    <w:pStyle w:val="40"/>
                    <w:bidi w:val="0"/>
                    <w:rPr>
                      <w:color w:val="0000FF"/>
                    </w:rPr>
                  </w:pPr>
                  <w:r>
                    <w:rPr>
                      <w:rFonts w:hint="eastAsia"/>
                      <w:color w:val="0000FF"/>
                    </w:rPr>
                    <w:t>检出限</w:t>
                  </w:r>
                </w:p>
              </w:tc>
            </w:tr>
            <w:tr w14:paraId="5BF0C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03" w:type="pct"/>
                  <w:vMerge w:val="restart"/>
                  <w:vAlign w:val="center"/>
                </w:tcPr>
                <w:p w14:paraId="57A45797">
                  <w:pPr>
                    <w:pStyle w:val="40"/>
                    <w:bidi w:val="0"/>
                    <w:rPr>
                      <w:color w:val="0000FF"/>
                    </w:rPr>
                  </w:pPr>
                  <w:r>
                    <w:rPr>
                      <w:rFonts w:hint="eastAsia"/>
                      <w:color w:val="0000FF"/>
                    </w:rPr>
                    <w:t>土壤</w:t>
                  </w:r>
                </w:p>
              </w:tc>
              <w:tc>
                <w:tcPr>
                  <w:tcW w:w="620" w:type="pct"/>
                  <w:vAlign w:val="center"/>
                </w:tcPr>
                <w:p w14:paraId="48885DED">
                  <w:pPr>
                    <w:pStyle w:val="40"/>
                    <w:bidi w:val="0"/>
                    <w:rPr>
                      <w:color w:val="0000FF"/>
                    </w:rPr>
                  </w:pPr>
                  <w:r>
                    <w:rPr>
                      <w:rFonts w:hint="eastAsia"/>
                      <w:color w:val="0000FF"/>
                    </w:rPr>
                    <w:t>石油烃</w:t>
                  </w:r>
                </w:p>
                <w:p w14:paraId="27861D64">
                  <w:pPr>
                    <w:pStyle w:val="40"/>
                    <w:bidi w:val="0"/>
                    <w:rPr>
                      <w:color w:val="0000FF"/>
                    </w:rPr>
                  </w:pPr>
                  <w:r>
                    <w:rPr>
                      <w:rFonts w:hint="eastAsia"/>
                      <w:color w:val="0000FF"/>
                    </w:rPr>
                    <w:t>（C10-C40)</w:t>
                  </w:r>
                </w:p>
              </w:tc>
              <w:tc>
                <w:tcPr>
                  <w:tcW w:w="3375" w:type="pct"/>
                  <w:vAlign w:val="center"/>
                </w:tcPr>
                <w:p w14:paraId="11B9B636">
                  <w:pPr>
                    <w:pStyle w:val="40"/>
                    <w:bidi w:val="0"/>
                    <w:rPr>
                      <w:color w:val="0000FF"/>
                    </w:rPr>
                  </w:pPr>
                  <w:r>
                    <w:rPr>
                      <w:rFonts w:hint="eastAsia"/>
                      <w:color w:val="0000FF"/>
                    </w:rPr>
                    <w:t>《土壤和沉积物 石油烃（C10-C40)的测定气相色谱法》HJ 1021-2019</w:t>
                  </w:r>
                </w:p>
              </w:tc>
              <w:tc>
                <w:tcPr>
                  <w:tcW w:w="500" w:type="pct"/>
                  <w:vAlign w:val="center"/>
                </w:tcPr>
                <w:p w14:paraId="0B19614F">
                  <w:pPr>
                    <w:pStyle w:val="40"/>
                    <w:bidi w:val="0"/>
                    <w:rPr>
                      <w:color w:val="0000FF"/>
                    </w:rPr>
                  </w:pPr>
                  <w:r>
                    <w:rPr>
                      <w:rFonts w:hint="eastAsia"/>
                      <w:color w:val="0000FF"/>
                    </w:rPr>
                    <w:t>6</w:t>
                  </w:r>
                </w:p>
                <w:p w14:paraId="1E02D299">
                  <w:pPr>
                    <w:pStyle w:val="40"/>
                    <w:bidi w:val="0"/>
                    <w:rPr>
                      <w:color w:val="0000FF"/>
                    </w:rPr>
                  </w:pPr>
                  <w:r>
                    <w:rPr>
                      <w:color w:val="0000FF"/>
                    </w:rPr>
                    <w:t>(mg/kg)</w:t>
                  </w:r>
                </w:p>
              </w:tc>
            </w:tr>
            <w:tr w14:paraId="28A44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03" w:type="pct"/>
                  <w:vMerge w:val="continue"/>
                  <w:vAlign w:val="center"/>
                </w:tcPr>
                <w:p w14:paraId="1697E00E">
                  <w:pPr>
                    <w:pStyle w:val="40"/>
                    <w:bidi w:val="0"/>
                    <w:rPr>
                      <w:rFonts w:hint="eastAsia"/>
                      <w:color w:val="0000FF"/>
                    </w:rPr>
                  </w:pPr>
                </w:p>
              </w:tc>
              <w:tc>
                <w:tcPr>
                  <w:tcW w:w="620" w:type="pct"/>
                  <w:vAlign w:val="center"/>
                </w:tcPr>
                <w:p w14:paraId="0ED95443">
                  <w:pPr>
                    <w:pStyle w:val="40"/>
                    <w:bidi w:val="0"/>
                    <w:rPr>
                      <w:rFonts w:hint="eastAsia"/>
                      <w:color w:val="0000FF"/>
                    </w:rPr>
                  </w:pPr>
                  <w:r>
                    <w:rPr>
                      <w:rFonts w:hint="eastAsia"/>
                      <w:color w:val="0000FF"/>
                    </w:rPr>
                    <w:t>pH</w:t>
                  </w:r>
                </w:p>
              </w:tc>
              <w:tc>
                <w:tcPr>
                  <w:tcW w:w="3375" w:type="pct"/>
                  <w:vAlign w:val="center"/>
                </w:tcPr>
                <w:p w14:paraId="53CEC591">
                  <w:pPr>
                    <w:pStyle w:val="40"/>
                    <w:bidi w:val="0"/>
                    <w:rPr>
                      <w:rFonts w:hint="eastAsia"/>
                      <w:color w:val="0000FF"/>
                    </w:rPr>
                  </w:pPr>
                  <w:r>
                    <w:rPr>
                      <w:rFonts w:hint="eastAsia"/>
                      <w:color w:val="0000FF"/>
                    </w:rPr>
                    <w:t xml:space="preserve">《土壤 pH 值的测定电位法》HJ </w:t>
                  </w:r>
                  <w:r>
                    <w:rPr>
                      <w:color w:val="0000FF"/>
                    </w:rPr>
                    <w:t>962-2018</w:t>
                  </w:r>
                </w:p>
              </w:tc>
              <w:tc>
                <w:tcPr>
                  <w:tcW w:w="500" w:type="pct"/>
                  <w:vAlign w:val="center"/>
                </w:tcPr>
                <w:p w14:paraId="68D76638">
                  <w:pPr>
                    <w:pStyle w:val="40"/>
                    <w:bidi w:val="0"/>
                    <w:rPr>
                      <w:rFonts w:hint="eastAsia"/>
                      <w:color w:val="0000FF"/>
                    </w:rPr>
                  </w:pPr>
                  <w:r>
                    <w:rPr>
                      <w:rFonts w:hint="eastAsia"/>
                      <w:color w:val="0000FF"/>
                    </w:rPr>
                    <w:t>/</w:t>
                  </w:r>
                </w:p>
              </w:tc>
            </w:tr>
            <w:tr w14:paraId="2C55C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03" w:type="pct"/>
                  <w:vMerge w:val="continue"/>
                  <w:vAlign w:val="center"/>
                </w:tcPr>
                <w:p w14:paraId="62A8FB61">
                  <w:pPr>
                    <w:pStyle w:val="40"/>
                    <w:bidi w:val="0"/>
                    <w:rPr>
                      <w:rFonts w:hint="eastAsia"/>
                      <w:color w:val="0000FF"/>
                    </w:rPr>
                  </w:pPr>
                </w:p>
              </w:tc>
              <w:tc>
                <w:tcPr>
                  <w:tcW w:w="620" w:type="pct"/>
                  <w:vAlign w:val="center"/>
                </w:tcPr>
                <w:p w14:paraId="1CCFA0CC">
                  <w:pPr>
                    <w:pStyle w:val="40"/>
                    <w:bidi w:val="0"/>
                    <w:rPr>
                      <w:rFonts w:hint="eastAsia"/>
                      <w:color w:val="0000FF"/>
                    </w:rPr>
                  </w:pPr>
                  <w:r>
                    <w:rPr>
                      <w:rFonts w:hint="eastAsia"/>
                      <w:color w:val="0000FF"/>
                    </w:rPr>
                    <w:t>石油类</w:t>
                  </w:r>
                </w:p>
              </w:tc>
              <w:tc>
                <w:tcPr>
                  <w:tcW w:w="3375" w:type="pct"/>
                  <w:vAlign w:val="center"/>
                </w:tcPr>
                <w:p w14:paraId="76A7DCAE">
                  <w:pPr>
                    <w:pStyle w:val="40"/>
                    <w:bidi w:val="0"/>
                    <w:rPr>
                      <w:rFonts w:hint="eastAsia"/>
                      <w:color w:val="0000FF"/>
                    </w:rPr>
                  </w:pPr>
                  <w:r>
                    <w:rPr>
                      <w:rFonts w:hint="eastAsia"/>
                      <w:color w:val="0000FF"/>
                    </w:rPr>
                    <w:t>《土壤 石油类的测定 红外分光光度法》HJ 1051-2019</w:t>
                  </w:r>
                </w:p>
              </w:tc>
              <w:tc>
                <w:tcPr>
                  <w:tcW w:w="500" w:type="pct"/>
                  <w:vAlign w:val="center"/>
                </w:tcPr>
                <w:p w14:paraId="30CDB961">
                  <w:pPr>
                    <w:pStyle w:val="40"/>
                    <w:bidi w:val="0"/>
                    <w:rPr>
                      <w:color w:val="0000FF"/>
                    </w:rPr>
                  </w:pPr>
                  <w:r>
                    <w:rPr>
                      <w:rFonts w:hint="eastAsia"/>
                      <w:color w:val="0000FF"/>
                    </w:rPr>
                    <w:t>4</w:t>
                  </w:r>
                </w:p>
                <w:p w14:paraId="6C1C0DC4">
                  <w:pPr>
                    <w:pStyle w:val="40"/>
                    <w:bidi w:val="0"/>
                    <w:rPr>
                      <w:rFonts w:hint="eastAsia"/>
                      <w:color w:val="0000FF"/>
                    </w:rPr>
                  </w:pPr>
                  <w:r>
                    <w:rPr>
                      <w:color w:val="0000FF"/>
                    </w:rPr>
                    <w:t>(mg/kg)</w:t>
                  </w:r>
                </w:p>
              </w:tc>
            </w:tr>
            <w:tr w14:paraId="58819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03" w:type="pct"/>
                  <w:vMerge w:val="continue"/>
                  <w:vAlign w:val="center"/>
                </w:tcPr>
                <w:p w14:paraId="74991486">
                  <w:pPr>
                    <w:pStyle w:val="40"/>
                    <w:bidi w:val="0"/>
                    <w:rPr>
                      <w:rFonts w:hint="eastAsia"/>
                      <w:color w:val="0000FF"/>
                    </w:rPr>
                  </w:pPr>
                </w:p>
              </w:tc>
              <w:tc>
                <w:tcPr>
                  <w:tcW w:w="620" w:type="pct"/>
                  <w:vAlign w:val="center"/>
                </w:tcPr>
                <w:p w14:paraId="680A79B2">
                  <w:pPr>
                    <w:pStyle w:val="40"/>
                    <w:bidi w:val="0"/>
                    <w:rPr>
                      <w:rFonts w:hint="eastAsia"/>
                      <w:color w:val="0000FF"/>
                    </w:rPr>
                  </w:pPr>
                  <w:r>
                    <w:rPr>
                      <w:rFonts w:hint="eastAsia"/>
                      <w:color w:val="0000FF"/>
                    </w:rPr>
                    <w:t>汞</w:t>
                  </w:r>
                </w:p>
              </w:tc>
              <w:tc>
                <w:tcPr>
                  <w:tcW w:w="3375" w:type="pct"/>
                  <w:vAlign w:val="center"/>
                </w:tcPr>
                <w:p w14:paraId="726A4D8D">
                  <w:pPr>
                    <w:pStyle w:val="40"/>
                    <w:bidi w:val="0"/>
                    <w:rPr>
                      <w:rFonts w:hint="eastAsia"/>
                      <w:color w:val="0000FF"/>
                    </w:rPr>
                  </w:pPr>
                  <w:r>
                    <w:rPr>
                      <w:rFonts w:hint="eastAsia"/>
                      <w:color w:val="0000FF"/>
                    </w:rPr>
                    <w:t>《土壤和沉积物 汞、砷、硒、铋、锑的测定 微波消解/原子荧光法》HJ 680-2013</w:t>
                  </w:r>
                </w:p>
              </w:tc>
              <w:tc>
                <w:tcPr>
                  <w:tcW w:w="500" w:type="pct"/>
                  <w:vAlign w:val="center"/>
                </w:tcPr>
                <w:p w14:paraId="37E8B066">
                  <w:pPr>
                    <w:pStyle w:val="40"/>
                    <w:bidi w:val="0"/>
                    <w:rPr>
                      <w:color w:val="0000FF"/>
                    </w:rPr>
                  </w:pPr>
                  <w:r>
                    <w:rPr>
                      <w:rFonts w:hint="eastAsia"/>
                      <w:color w:val="0000FF"/>
                    </w:rPr>
                    <w:t>0.002</w:t>
                  </w:r>
                </w:p>
                <w:p w14:paraId="64E7712F">
                  <w:pPr>
                    <w:pStyle w:val="40"/>
                    <w:bidi w:val="0"/>
                    <w:rPr>
                      <w:rFonts w:hint="eastAsia"/>
                      <w:color w:val="0000FF"/>
                    </w:rPr>
                  </w:pPr>
                  <w:r>
                    <w:rPr>
                      <w:color w:val="0000FF"/>
                    </w:rPr>
                    <w:t>(mg/kg)</w:t>
                  </w:r>
                </w:p>
              </w:tc>
            </w:tr>
            <w:tr w14:paraId="09252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03" w:type="pct"/>
                  <w:vMerge w:val="continue"/>
                  <w:vAlign w:val="center"/>
                </w:tcPr>
                <w:p w14:paraId="1CE9C026">
                  <w:pPr>
                    <w:pStyle w:val="40"/>
                    <w:bidi w:val="0"/>
                    <w:rPr>
                      <w:rFonts w:hint="eastAsia"/>
                      <w:color w:val="0000FF"/>
                    </w:rPr>
                  </w:pPr>
                </w:p>
              </w:tc>
              <w:tc>
                <w:tcPr>
                  <w:tcW w:w="620" w:type="pct"/>
                  <w:vAlign w:val="center"/>
                </w:tcPr>
                <w:p w14:paraId="514666B1">
                  <w:pPr>
                    <w:pStyle w:val="40"/>
                    <w:bidi w:val="0"/>
                    <w:rPr>
                      <w:rFonts w:hint="eastAsia"/>
                      <w:color w:val="0000FF"/>
                    </w:rPr>
                  </w:pPr>
                  <w:r>
                    <w:rPr>
                      <w:rFonts w:hint="eastAsia"/>
                      <w:color w:val="0000FF"/>
                    </w:rPr>
                    <w:t>砷</w:t>
                  </w:r>
                </w:p>
              </w:tc>
              <w:tc>
                <w:tcPr>
                  <w:tcW w:w="3375" w:type="pct"/>
                  <w:vAlign w:val="center"/>
                </w:tcPr>
                <w:p w14:paraId="7213F2AB">
                  <w:pPr>
                    <w:pStyle w:val="40"/>
                    <w:bidi w:val="0"/>
                    <w:rPr>
                      <w:rFonts w:hint="eastAsia"/>
                      <w:color w:val="0000FF"/>
                    </w:rPr>
                  </w:pPr>
                  <w:r>
                    <w:rPr>
                      <w:rFonts w:hint="eastAsia"/>
                      <w:color w:val="0000FF"/>
                    </w:rPr>
                    <w:t>《土壤和沉积物 汞、砷、硒、铋、锑的测定 微波消解/原子荧光法》HJ 680-2013</w:t>
                  </w:r>
                </w:p>
              </w:tc>
              <w:tc>
                <w:tcPr>
                  <w:tcW w:w="500" w:type="pct"/>
                  <w:vAlign w:val="center"/>
                </w:tcPr>
                <w:p w14:paraId="4A8258FD">
                  <w:pPr>
                    <w:pStyle w:val="40"/>
                    <w:bidi w:val="0"/>
                    <w:rPr>
                      <w:rFonts w:hint="eastAsia"/>
                      <w:color w:val="0000FF"/>
                    </w:rPr>
                  </w:pPr>
                  <w:r>
                    <w:rPr>
                      <w:rFonts w:hint="eastAsia"/>
                      <w:color w:val="0000FF"/>
                    </w:rPr>
                    <w:t>0.01</w:t>
                  </w:r>
                </w:p>
                <w:p w14:paraId="1D123C6F">
                  <w:pPr>
                    <w:pStyle w:val="40"/>
                    <w:bidi w:val="0"/>
                    <w:rPr>
                      <w:rFonts w:hint="eastAsia"/>
                      <w:color w:val="0000FF"/>
                    </w:rPr>
                  </w:pPr>
                  <w:r>
                    <w:rPr>
                      <w:color w:val="0000FF"/>
                    </w:rPr>
                    <w:t>(mg/kg)</w:t>
                  </w:r>
                </w:p>
              </w:tc>
            </w:tr>
            <w:tr w14:paraId="4E597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503" w:type="pct"/>
                  <w:vMerge w:val="continue"/>
                  <w:vAlign w:val="center"/>
                </w:tcPr>
                <w:p w14:paraId="1850726C">
                  <w:pPr>
                    <w:pStyle w:val="40"/>
                    <w:bidi w:val="0"/>
                    <w:rPr>
                      <w:rFonts w:hint="eastAsia"/>
                      <w:color w:val="0000FF"/>
                    </w:rPr>
                  </w:pPr>
                </w:p>
              </w:tc>
              <w:tc>
                <w:tcPr>
                  <w:tcW w:w="620" w:type="pct"/>
                  <w:vAlign w:val="center"/>
                </w:tcPr>
                <w:p w14:paraId="2CD35BE4">
                  <w:pPr>
                    <w:pStyle w:val="40"/>
                    <w:bidi w:val="0"/>
                    <w:rPr>
                      <w:rFonts w:hint="eastAsia"/>
                      <w:color w:val="0000FF"/>
                    </w:rPr>
                  </w:pPr>
                  <w:r>
                    <w:rPr>
                      <w:rFonts w:hint="eastAsia"/>
                      <w:color w:val="0000FF"/>
                    </w:rPr>
                    <w:t>六价铬</w:t>
                  </w:r>
                </w:p>
              </w:tc>
              <w:tc>
                <w:tcPr>
                  <w:tcW w:w="3375" w:type="pct"/>
                  <w:vAlign w:val="center"/>
                </w:tcPr>
                <w:p w14:paraId="3A91ACC0">
                  <w:pPr>
                    <w:pStyle w:val="40"/>
                    <w:bidi w:val="0"/>
                    <w:rPr>
                      <w:rFonts w:hint="eastAsia"/>
                      <w:color w:val="0000FF"/>
                    </w:rPr>
                  </w:pPr>
                  <w:r>
                    <w:rPr>
                      <w:rFonts w:hint="eastAsia"/>
                      <w:color w:val="0000FF"/>
                    </w:rPr>
                    <w:t>《土壤和沉积物六价铬的测定碱溶液提取-火焰原子吸收分光光度法》 HJ 1082-2019</w:t>
                  </w:r>
                </w:p>
              </w:tc>
              <w:tc>
                <w:tcPr>
                  <w:tcW w:w="500" w:type="pct"/>
                  <w:vAlign w:val="center"/>
                </w:tcPr>
                <w:p w14:paraId="0AE24FD2">
                  <w:pPr>
                    <w:pStyle w:val="40"/>
                    <w:bidi w:val="0"/>
                    <w:rPr>
                      <w:color w:val="0000FF"/>
                    </w:rPr>
                  </w:pPr>
                  <w:r>
                    <w:rPr>
                      <w:rFonts w:hint="eastAsia"/>
                      <w:color w:val="0000FF"/>
                    </w:rPr>
                    <w:t>0.5</w:t>
                  </w:r>
                </w:p>
                <w:p w14:paraId="79C1A6D4">
                  <w:pPr>
                    <w:pStyle w:val="40"/>
                    <w:bidi w:val="0"/>
                    <w:rPr>
                      <w:rFonts w:hint="eastAsia"/>
                      <w:color w:val="0000FF"/>
                    </w:rPr>
                  </w:pPr>
                  <w:r>
                    <w:rPr>
                      <w:color w:val="0000FF"/>
                    </w:rPr>
                    <w:t>(mg/kg)</w:t>
                  </w:r>
                </w:p>
              </w:tc>
            </w:tr>
          </w:tbl>
          <w:p w14:paraId="1F9C17DD">
            <w:pPr>
              <w:keepNext w:val="0"/>
              <w:keepLines w:val="0"/>
              <w:pageBreakBefore w:val="0"/>
              <w:widowControl w:val="0"/>
              <w:kinsoku/>
              <w:wordWrap/>
              <w:overflowPunct/>
              <w:topLinePunct w:val="0"/>
              <w:autoSpaceDE/>
              <w:autoSpaceDN/>
              <w:bidi w:val="0"/>
              <w:adjustRightInd/>
              <w:snapToGrid/>
              <w:spacing w:before="313" w:beforeLines="100" w:line="360" w:lineRule="auto"/>
              <w:ind w:firstLine="480" w:firstLineChars="200"/>
              <w:jc w:val="left"/>
              <w:textAlignment w:val="auto"/>
              <w:rPr>
                <w:rFonts w:ascii="Times New Roman" w:hAnsi="Times New Roman" w:eastAsia="宋体" w:cs="Times New Roman"/>
                <w:color w:val="0000FF"/>
                <w:kern w:val="2"/>
                <w:sz w:val="24"/>
                <w:szCs w:val="24"/>
                <w:lang w:val="en-US" w:eastAsia="zh-CN" w:bidi="ar-SA"/>
              </w:rPr>
            </w:pPr>
            <w:r>
              <w:rPr>
                <w:rFonts w:ascii="Times New Roman" w:hAnsi="Times New Roman" w:eastAsia="宋体" w:cs="Times New Roman"/>
                <w:color w:val="0000FF"/>
                <w:kern w:val="2"/>
                <w:sz w:val="24"/>
                <w:szCs w:val="24"/>
                <w:lang w:val="en-US" w:eastAsia="zh-CN" w:bidi="ar-SA"/>
              </w:rPr>
              <w:t>（3）监测</w:t>
            </w:r>
            <w:r>
              <w:rPr>
                <w:rFonts w:hint="eastAsia" w:ascii="Times New Roman" w:hAnsi="Times New Roman" w:eastAsia="宋体" w:cs="Times New Roman"/>
                <w:color w:val="0000FF"/>
                <w:kern w:val="2"/>
                <w:sz w:val="24"/>
                <w:szCs w:val="24"/>
                <w:lang w:val="en-US" w:eastAsia="zh-CN" w:bidi="ar-SA"/>
              </w:rPr>
              <w:t>时间及</w:t>
            </w:r>
            <w:r>
              <w:rPr>
                <w:rFonts w:ascii="Times New Roman" w:hAnsi="Times New Roman" w:eastAsia="宋体" w:cs="Times New Roman"/>
                <w:color w:val="0000FF"/>
                <w:kern w:val="2"/>
                <w:sz w:val="24"/>
                <w:szCs w:val="24"/>
                <w:lang w:val="en-US" w:eastAsia="zh-CN" w:bidi="ar-SA"/>
              </w:rPr>
              <w:t>频次</w:t>
            </w:r>
          </w:p>
          <w:p w14:paraId="0823EB69">
            <w:pPr>
              <w:widowControl w:val="0"/>
              <w:spacing w:line="360" w:lineRule="auto"/>
              <w:ind w:firstLine="480" w:firstLineChars="200"/>
              <w:jc w:val="left"/>
              <w:rPr>
                <w:rFonts w:ascii="Times New Roman" w:hAnsi="Times New Roman" w:eastAsia="宋体" w:cs="Times New Roman"/>
                <w:color w:val="0000FF"/>
                <w:kern w:val="2"/>
                <w:sz w:val="24"/>
                <w:szCs w:val="24"/>
                <w:lang w:val="en-US" w:eastAsia="zh-CN" w:bidi="ar-SA"/>
              </w:rPr>
            </w:pPr>
            <w:r>
              <w:rPr>
                <w:rFonts w:hint="eastAsia" w:ascii="Times New Roman" w:hAnsi="Times New Roman" w:eastAsia="宋体" w:cs="Times New Roman"/>
                <w:color w:val="0000FF"/>
                <w:kern w:val="2"/>
                <w:sz w:val="24"/>
                <w:szCs w:val="24"/>
                <w:lang w:val="en-US" w:eastAsia="zh-CN" w:bidi="ar-SA"/>
              </w:rPr>
              <w:t>采样时间：2025年12月24日；</w:t>
            </w:r>
            <w:r>
              <w:rPr>
                <w:rFonts w:ascii="Times New Roman" w:hAnsi="Times New Roman" w:eastAsia="宋体" w:cs="Times New Roman"/>
                <w:color w:val="0000FF"/>
                <w:kern w:val="2"/>
                <w:sz w:val="24"/>
                <w:szCs w:val="24"/>
                <w:lang w:val="en-US" w:eastAsia="zh-CN" w:bidi="ar-SA"/>
              </w:rPr>
              <w:t>监测频次为1次</w:t>
            </w:r>
          </w:p>
          <w:p w14:paraId="51D04427">
            <w:pPr>
              <w:widowControl w:val="0"/>
              <w:spacing w:line="360" w:lineRule="auto"/>
              <w:ind w:firstLine="480" w:firstLineChars="200"/>
              <w:jc w:val="left"/>
              <w:rPr>
                <w:rFonts w:ascii="Times New Roman" w:hAnsi="Times New Roman" w:eastAsia="宋体" w:cs="Times New Roman"/>
                <w:color w:val="0000FF"/>
                <w:kern w:val="2"/>
                <w:sz w:val="24"/>
                <w:szCs w:val="24"/>
                <w:lang w:val="en-US" w:eastAsia="zh-CN" w:bidi="ar-SA"/>
              </w:rPr>
            </w:pPr>
            <w:r>
              <w:rPr>
                <w:rFonts w:ascii="Times New Roman" w:hAnsi="Times New Roman" w:eastAsia="宋体" w:cs="Times New Roman"/>
                <w:color w:val="0000FF"/>
                <w:kern w:val="2"/>
                <w:sz w:val="24"/>
                <w:szCs w:val="24"/>
                <w:lang w:val="en-US" w:eastAsia="zh-CN" w:bidi="ar-SA"/>
              </w:rPr>
              <w:t>（4）执行标准</w:t>
            </w:r>
          </w:p>
          <w:p w14:paraId="4C285769">
            <w:pPr>
              <w:widowControl w:val="0"/>
              <w:spacing w:line="360" w:lineRule="auto"/>
              <w:ind w:firstLine="480" w:firstLineChars="200"/>
              <w:jc w:val="left"/>
              <w:rPr>
                <w:rFonts w:ascii="Times New Roman" w:hAnsi="Times New Roman" w:eastAsia="宋体" w:cs="Times New Roman"/>
                <w:color w:val="0000FF"/>
                <w:kern w:val="2"/>
                <w:sz w:val="24"/>
                <w:szCs w:val="24"/>
                <w:lang w:val="en-US" w:eastAsia="zh-CN" w:bidi="ar-SA"/>
              </w:rPr>
            </w:pPr>
            <w:r>
              <w:rPr>
                <w:rFonts w:ascii="Times New Roman" w:hAnsi="Times New Roman" w:eastAsia="宋体" w:cs="Times New Roman"/>
                <w:color w:val="0000FF"/>
                <w:kern w:val="2"/>
                <w:sz w:val="24"/>
                <w:szCs w:val="24"/>
                <w:lang w:val="en-US" w:eastAsia="zh-CN" w:bidi="ar-SA"/>
              </w:rPr>
              <w:t>《土壤环境质量 建设用地土壤污染风险管控标准》（GB36600-2018）中土壤风险筛选值。</w:t>
            </w:r>
          </w:p>
          <w:p w14:paraId="138FBC55">
            <w:pPr>
              <w:widowControl w:val="0"/>
              <w:spacing w:line="360" w:lineRule="auto"/>
              <w:ind w:firstLine="480" w:firstLineChars="200"/>
              <w:jc w:val="left"/>
              <w:rPr>
                <w:rFonts w:ascii="Times New Roman" w:hAnsi="Times New Roman" w:eastAsia="宋体" w:cs="Times New Roman"/>
                <w:color w:val="0000FF"/>
                <w:kern w:val="2"/>
                <w:sz w:val="24"/>
                <w:szCs w:val="24"/>
                <w:lang w:val="en-US" w:eastAsia="zh-CN" w:bidi="ar-SA"/>
              </w:rPr>
            </w:pPr>
            <w:r>
              <w:rPr>
                <w:rFonts w:ascii="Times New Roman" w:hAnsi="Times New Roman" w:eastAsia="宋体" w:cs="Times New Roman"/>
                <w:color w:val="0000FF"/>
                <w:kern w:val="2"/>
                <w:sz w:val="24"/>
                <w:szCs w:val="24"/>
                <w:lang w:val="en-US" w:eastAsia="zh-CN" w:bidi="ar-SA"/>
              </w:rPr>
              <w:t>（5）监测结果</w:t>
            </w:r>
          </w:p>
          <w:p w14:paraId="28A3FE0B">
            <w:pPr>
              <w:spacing w:line="360" w:lineRule="auto"/>
              <w:jc w:val="center"/>
              <w:rPr>
                <w:rFonts w:ascii="Times New Roman" w:hAnsi="Times New Roman" w:eastAsia="宋体" w:cs="Times New Roman"/>
                <w:b/>
                <w:bCs/>
                <w:color w:val="0000FF"/>
                <w:sz w:val="24"/>
              </w:rPr>
            </w:pPr>
            <w:r>
              <w:rPr>
                <w:rFonts w:ascii="Times New Roman" w:hAnsi="Times New Roman" w:eastAsia="宋体" w:cs="Times New Roman"/>
                <w:b/>
                <w:bCs/>
                <w:color w:val="0000FF"/>
                <w:sz w:val="24"/>
              </w:rPr>
              <w:t>表3-7 土壤监测结果表</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9"/>
              <w:gridCol w:w="1245"/>
              <w:gridCol w:w="1345"/>
              <w:gridCol w:w="1460"/>
              <w:gridCol w:w="1458"/>
            </w:tblGrid>
            <w:tr w14:paraId="785C8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tblHeader/>
                <w:jc w:val="center"/>
              </w:trPr>
              <w:tc>
                <w:tcPr>
                  <w:tcW w:w="1543" w:type="pct"/>
                  <w:vAlign w:val="center"/>
                </w:tcPr>
                <w:p w14:paraId="5D6CCD49">
                  <w:pPr>
                    <w:tabs>
                      <w:tab w:val="left" w:pos="336"/>
                    </w:tabs>
                    <w:spacing w:line="260" w:lineRule="exact"/>
                    <w:jc w:val="center"/>
                    <w:rPr>
                      <w:rFonts w:ascii="Times New Roman" w:hAnsi="Times New Roman" w:eastAsia="宋体" w:cs="Times New Roman"/>
                      <w:b/>
                      <w:bCs/>
                      <w:color w:val="0000FF"/>
                      <w:kern w:val="0"/>
                      <w:szCs w:val="21"/>
                    </w:rPr>
                  </w:pPr>
                  <w:r>
                    <w:rPr>
                      <w:rFonts w:ascii="Times New Roman" w:hAnsi="Times New Roman" w:eastAsia="宋体" w:cs="Times New Roman"/>
                      <w:b/>
                      <w:bCs/>
                      <w:color w:val="0000FF"/>
                      <w:kern w:val="0"/>
                      <w:szCs w:val="21"/>
                    </w:rPr>
                    <w:t>检测项目</w:t>
                  </w:r>
                </w:p>
              </w:tc>
              <w:tc>
                <w:tcPr>
                  <w:tcW w:w="781" w:type="pct"/>
                  <w:vAlign w:val="center"/>
                </w:tcPr>
                <w:p w14:paraId="19753414">
                  <w:pPr>
                    <w:tabs>
                      <w:tab w:val="left" w:pos="336"/>
                    </w:tabs>
                    <w:spacing w:line="260" w:lineRule="exact"/>
                    <w:jc w:val="center"/>
                    <w:rPr>
                      <w:rFonts w:ascii="Times New Roman" w:hAnsi="Times New Roman" w:eastAsia="宋体" w:cs="Times New Roman"/>
                      <w:b/>
                      <w:bCs/>
                      <w:color w:val="0000FF"/>
                      <w:kern w:val="0"/>
                      <w:szCs w:val="21"/>
                    </w:rPr>
                  </w:pPr>
                  <w:r>
                    <w:rPr>
                      <w:rFonts w:ascii="Times New Roman" w:hAnsi="Times New Roman" w:eastAsia="宋体" w:cs="Times New Roman"/>
                      <w:b/>
                      <w:bCs/>
                      <w:color w:val="0000FF"/>
                      <w:kern w:val="0"/>
                      <w:szCs w:val="21"/>
                    </w:rPr>
                    <w:t>单位</w:t>
                  </w:r>
                </w:p>
              </w:tc>
              <w:tc>
                <w:tcPr>
                  <w:tcW w:w="844" w:type="pct"/>
                  <w:vAlign w:val="center"/>
                </w:tcPr>
                <w:p w14:paraId="7387C1C6">
                  <w:pPr>
                    <w:tabs>
                      <w:tab w:val="left" w:pos="336"/>
                    </w:tabs>
                    <w:spacing w:line="260" w:lineRule="exact"/>
                    <w:jc w:val="center"/>
                    <w:rPr>
                      <w:rFonts w:ascii="Times New Roman" w:hAnsi="Times New Roman" w:eastAsia="宋体" w:cs="Times New Roman"/>
                      <w:b/>
                      <w:bCs/>
                      <w:color w:val="0000FF"/>
                      <w:kern w:val="0"/>
                      <w:szCs w:val="21"/>
                    </w:rPr>
                  </w:pPr>
                  <w:r>
                    <w:rPr>
                      <w:rFonts w:ascii="Times New Roman" w:hAnsi="Times New Roman" w:eastAsia="宋体" w:cs="Times New Roman"/>
                      <w:b/>
                      <w:bCs/>
                      <w:color w:val="0000FF"/>
                      <w:kern w:val="0"/>
                      <w:szCs w:val="21"/>
                    </w:rPr>
                    <w:t>检测结果</w:t>
                  </w:r>
                </w:p>
              </w:tc>
              <w:tc>
                <w:tcPr>
                  <w:tcW w:w="916" w:type="pct"/>
                  <w:vAlign w:val="center"/>
                </w:tcPr>
                <w:p w14:paraId="240E5A52">
                  <w:pPr>
                    <w:tabs>
                      <w:tab w:val="left" w:pos="336"/>
                    </w:tabs>
                    <w:spacing w:line="260" w:lineRule="exact"/>
                    <w:jc w:val="center"/>
                    <w:rPr>
                      <w:rFonts w:ascii="Times New Roman" w:hAnsi="Times New Roman" w:eastAsia="宋体" w:cs="Times New Roman"/>
                      <w:b/>
                      <w:bCs/>
                      <w:color w:val="0000FF"/>
                      <w:kern w:val="0"/>
                      <w:szCs w:val="21"/>
                    </w:rPr>
                  </w:pPr>
                  <w:r>
                    <w:rPr>
                      <w:rFonts w:ascii="Times New Roman" w:hAnsi="Times New Roman" w:eastAsia="宋体" w:cs="Times New Roman"/>
                      <w:b/>
                      <w:bCs/>
                      <w:color w:val="0000FF"/>
                      <w:kern w:val="0"/>
                      <w:szCs w:val="21"/>
                    </w:rPr>
                    <w:t>标准限值</w:t>
                  </w:r>
                </w:p>
              </w:tc>
              <w:tc>
                <w:tcPr>
                  <w:tcW w:w="915" w:type="pct"/>
                  <w:vAlign w:val="center"/>
                </w:tcPr>
                <w:p w14:paraId="135B35F6">
                  <w:pPr>
                    <w:tabs>
                      <w:tab w:val="left" w:pos="336"/>
                    </w:tabs>
                    <w:spacing w:line="260" w:lineRule="exact"/>
                    <w:jc w:val="center"/>
                    <w:rPr>
                      <w:rFonts w:hint="default" w:ascii="Times New Roman" w:hAnsi="Times New Roman" w:eastAsia="宋体" w:cs="Times New Roman"/>
                      <w:b/>
                      <w:bCs/>
                      <w:color w:val="0000FF"/>
                      <w:kern w:val="0"/>
                      <w:szCs w:val="21"/>
                      <w:lang w:val="en-US" w:eastAsia="zh-CN"/>
                    </w:rPr>
                  </w:pPr>
                  <w:r>
                    <w:rPr>
                      <w:rFonts w:hint="eastAsia" w:ascii="Times New Roman" w:hAnsi="Times New Roman" w:eastAsia="宋体" w:cs="Times New Roman"/>
                      <w:b/>
                      <w:bCs/>
                      <w:color w:val="0000FF"/>
                      <w:kern w:val="0"/>
                      <w:szCs w:val="21"/>
                      <w:lang w:val="en-US" w:eastAsia="zh-CN"/>
                    </w:rPr>
                    <w:t>单因子指数</w:t>
                  </w:r>
                </w:p>
              </w:tc>
            </w:tr>
            <w:tr w14:paraId="1EEE8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543" w:type="pct"/>
                  <w:vAlign w:val="center"/>
                </w:tcPr>
                <w:p w14:paraId="0919A489">
                  <w:pPr>
                    <w:spacing w:line="260" w:lineRule="exact"/>
                    <w:jc w:val="center"/>
                    <w:rPr>
                      <w:rFonts w:ascii="Times New Roman" w:hAnsi="Times New Roman" w:eastAsia="宋体" w:cs="Times New Roman"/>
                      <w:color w:val="0000FF"/>
                      <w:szCs w:val="21"/>
                    </w:rPr>
                  </w:pPr>
                  <w:r>
                    <w:rPr>
                      <w:rFonts w:ascii="Times New Roman" w:hAnsi="Times New Roman" w:eastAsia="宋体" w:cs="Times New Roman"/>
                      <w:color w:val="0000FF"/>
                      <w:szCs w:val="21"/>
                    </w:rPr>
                    <w:t>pH值</w:t>
                  </w:r>
                </w:p>
              </w:tc>
              <w:tc>
                <w:tcPr>
                  <w:tcW w:w="781" w:type="pct"/>
                  <w:vAlign w:val="center"/>
                </w:tcPr>
                <w:p w14:paraId="47DEF694">
                  <w:pPr>
                    <w:tabs>
                      <w:tab w:val="left" w:pos="336"/>
                    </w:tabs>
                    <w:spacing w:line="260" w:lineRule="exact"/>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无量纲</w:t>
                  </w:r>
                </w:p>
              </w:tc>
              <w:tc>
                <w:tcPr>
                  <w:tcW w:w="844" w:type="pct"/>
                  <w:vAlign w:val="center"/>
                </w:tcPr>
                <w:p w14:paraId="5DC7E67B">
                  <w:pPr>
                    <w:tabs>
                      <w:tab w:val="left" w:pos="336"/>
                    </w:tabs>
                    <w:spacing w:line="260" w:lineRule="exact"/>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7.51</w:t>
                  </w:r>
                </w:p>
              </w:tc>
              <w:tc>
                <w:tcPr>
                  <w:tcW w:w="916" w:type="pct"/>
                  <w:vAlign w:val="center"/>
                </w:tcPr>
                <w:p w14:paraId="5B45E0BD">
                  <w:pPr>
                    <w:spacing w:line="260" w:lineRule="exact"/>
                    <w:jc w:val="center"/>
                    <w:rPr>
                      <w:rFonts w:ascii="Times New Roman" w:hAnsi="Times New Roman" w:eastAsia="宋体" w:cs="Times New Roman"/>
                      <w:b/>
                      <w:bCs/>
                      <w:color w:val="0000FF"/>
                      <w:kern w:val="0"/>
                      <w:szCs w:val="21"/>
                    </w:rPr>
                  </w:pPr>
                  <w:r>
                    <w:rPr>
                      <w:rFonts w:ascii="Times New Roman" w:hAnsi="Times New Roman" w:eastAsia="宋体" w:cs="Times New Roman"/>
                      <w:b/>
                      <w:bCs/>
                      <w:color w:val="0000FF"/>
                      <w:kern w:val="0"/>
                      <w:szCs w:val="21"/>
                    </w:rPr>
                    <w:t>—</w:t>
                  </w:r>
                </w:p>
              </w:tc>
              <w:tc>
                <w:tcPr>
                  <w:tcW w:w="1456" w:type="dxa"/>
                  <w:vAlign w:val="center"/>
                </w:tcPr>
                <w:p w14:paraId="5D9699AF">
                  <w:pPr>
                    <w:keepNext w:val="0"/>
                    <w:keepLines w:val="0"/>
                    <w:widowControl/>
                    <w:suppressLineNumbers w:val="0"/>
                    <w:jc w:val="center"/>
                    <w:textAlignment w:val="center"/>
                    <w:rPr>
                      <w:rFonts w:ascii="Times New Roman" w:hAnsi="Times New Roman" w:eastAsia="宋体" w:cs="Times New Roman"/>
                      <w:b/>
                      <w:bCs/>
                      <w:color w:val="0000FF"/>
                      <w:kern w:val="0"/>
                      <w:szCs w:val="21"/>
                    </w:rPr>
                  </w:pPr>
                  <w:r>
                    <w:rPr>
                      <w:rFonts w:hint="default" w:ascii="Times New Roman" w:hAnsi="Times New Roman" w:eastAsia="宋体" w:cs="Times New Roman"/>
                      <w:b/>
                      <w:bCs/>
                      <w:i w:val="0"/>
                      <w:iCs w:val="0"/>
                      <w:color w:val="0000FF"/>
                      <w:kern w:val="0"/>
                      <w:sz w:val="21"/>
                      <w:szCs w:val="21"/>
                      <w:u w:val="none"/>
                      <w:lang w:val="en-US" w:eastAsia="zh-CN" w:bidi="ar"/>
                    </w:rPr>
                    <w:t>—</w:t>
                  </w:r>
                </w:p>
              </w:tc>
            </w:tr>
            <w:tr w14:paraId="47D31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543" w:type="pct"/>
                  <w:vAlign w:val="center"/>
                </w:tcPr>
                <w:p w14:paraId="743E87F1">
                  <w:pPr>
                    <w:spacing w:line="220" w:lineRule="exact"/>
                    <w:jc w:val="center"/>
                    <w:rPr>
                      <w:rFonts w:ascii="Times New Roman" w:hAnsi="Times New Roman" w:eastAsia="宋体" w:cs="Times New Roman"/>
                      <w:color w:val="0000FF"/>
                      <w:kern w:val="0"/>
                      <w:szCs w:val="21"/>
                    </w:rPr>
                  </w:pPr>
                  <w:r>
                    <w:rPr>
                      <w:rFonts w:hint="eastAsia" w:ascii="Times New Roman" w:hAnsi="Times New Roman" w:cs="Times New Roman"/>
                      <w:color w:val="0000FF"/>
                      <w:sz w:val="21"/>
                      <w:szCs w:val="21"/>
                    </w:rPr>
                    <w:t>石油烃（C</w:t>
                  </w:r>
                  <w:r>
                    <w:rPr>
                      <w:rFonts w:hint="eastAsia" w:ascii="Times New Roman" w:hAnsi="Times New Roman" w:cs="Times New Roman"/>
                      <w:color w:val="0000FF"/>
                      <w:sz w:val="21"/>
                      <w:szCs w:val="21"/>
                      <w:vertAlign w:val="subscript"/>
                    </w:rPr>
                    <w:t>10</w:t>
                  </w:r>
                  <w:r>
                    <w:rPr>
                      <w:rFonts w:hint="eastAsia" w:ascii="Times New Roman" w:hAnsi="Times New Roman" w:cs="Times New Roman"/>
                      <w:color w:val="0000FF"/>
                      <w:sz w:val="21"/>
                      <w:szCs w:val="21"/>
                    </w:rPr>
                    <w:t>-C</w:t>
                  </w:r>
                  <w:r>
                    <w:rPr>
                      <w:rFonts w:hint="eastAsia" w:ascii="Times New Roman" w:hAnsi="Times New Roman" w:cs="Times New Roman"/>
                      <w:color w:val="0000FF"/>
                      <w:sz w:val="21"/>
                      <w:szCs w:val="21"/>
                      <w:vertAlign w:val="subscript"/>
                    </w:rPr>
                    <w:t>40</w:t>
                  </w:r>
                  <w:r>
                    <w:rPr>
                      <w:rFonts w:hint="eastAsia" w:ascii="Times New Roman" w:hAnsi="Times New Roman" w:cs="Times New Roman"/>
                      <w:color w:val="0000FF"/>
                      <w:sz w:val="21"/>
                      <w:szCs w:val="21"/>
                    </w:rPr>
                    <w:t>）</w:t>
                  </w:r>
                </w:p>
              </w:tc>
              <w:tc>
                <w:tcPr>
                  <w:tcW w:w="781" w:type="pct"/>
                  <w:vAlign w:val="center"/>
                </w:tcPr>
                <w:p w14:paraId="520F808C">
                  <w:pPr>
                    <w:spacing w:line="260" w:lineRule="exact"/>
                    <w:jc w:val="center"/>
                    <w:rPr>
                      <w:rFonts w:ascii="Times New Roman" w:hAnsi="Times New Roman" w:eastAsia="宋体" w:cs="Times New Roman"/>
                      <w:color w:val="0000FF"/>
                      <w:kern w:val="0"/>
                      <w:szCs w:val="21"/>
                    </w:rPr>
                  </w:pPr>
                  <w:r>
                    <w:rPr>
                      <w:rFonts w:ascii="Times New Roman" w:hAnsi="Times New Roman" w:eastAsia="宋体" w:cs="Times New Roman"/>
                      <w:color w:val="0000FF"/>
                      <w:szCs w:val="21"/>
                    </w:rPr>
                    <w:t>mg/kg</w:t>
                  </w:r>
                </w:p>
              </w:tc>
              <w:tc>
                <w:tcPr>
                  <w:tcW w:w="844" w:type="pct"/>
                  <w:vAlign w:val="center"/>
                </w:tcPr>
                <w:p w14:paraId="1AB0F499">
                  <w:pPr>
                    <w:tabs>
                      <w:tab w:val="left" w:pos="336"/>
                    </w:tabs>
                    <w:spacing w:line="260" w:lineRule="exact"/>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10</w:t>
                  </w:r>
                </w:p>
              </w:tc>
              <w:tc>
                <w:tcPr>
                  <w:tcW w:w="916" w:type="pct"/>
                  <w:vAlign w:val="center"/>
                </w:tcPr>
                <w:p w14:paraId="6A8B1BAE">
                  <w:pPr>
                    <w:spacing w:line="260" w:lineRule="exact"/>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4500</w:t>
                  </w:r>
                </w:p>
              </w:tc>
              <w:tc>
                <w:tcPr>
                  <w:tcW w:w="1456" w:type="dxa"/>
                  <w:vAlign w:val="center"/>
                </w:tcPr>
                <w:p w14:paraId="2E034EA2">
                  <w:pPr>
                    <w:keepNext w:val="0"/>
                    <w:keepLines w:val="0"/>
                    <w:widowControl/>
                    <w:suppressLineNumbers w:val="0"/>
                    <w:jc w:val="center"/>
                    <w:textAlignment w:val="center"/>
                    <w:rPr>
                      <w:rFonts w:ascii="Times New Roman" w:hAnsi="Times New Roman" w:eastAsia="宋体" w:cs="Times New Roman"/>
                      <w:color w:val="0000FF"/>
                      <w:kern w:val="0"/>
                      <w:szCs w:val="21"/>
                    </w:rPr>
                  </w:pPr>
                  <w:r>
                    <w:rPr>
                      <w:rFonts w:hint="default" w:ascii="Times New Roman" w:hAnsi="Times New Roman" w:eastAsia="宋体" w:cs="Times New Roman"/>
                      <w:i w:val="0"/>
                      <w:iCs w:val="0"/>
                      <w:color w:val="0000FF"/>
                      <w:kern w:val="0"/>
                      <w:sz w:val="21"/>
                      <w:szCs w:val="21"/>
                      <w:u w:val="none"/>
                      <w:lang w:val="en-US" w:eastAsia="zh-CN" w:bidi="ar"/>
                    </w:rPr>
                    <w:t xml:space="preserve">0.002 </w:t>
                  </w:r>
                </w:p>
              </w:tc>
            </w:tr>
            <w:tr w14:paraId="41921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543" w:type="pct"/>
                  <w:vAlign w:val="center"/>
                </w:tcPr>
                <w:p w14:paraId="468188D1">
                  <w:pPr>
                    <w:spacing w:line="220" w:lineRule="exact"/>
                    <w:jc w:val="center"/>
                    <w:rPr>
                      <w:rFonts w:hint="eastAsia" w:ascii="Times New Roman" w:hAnsi="Times New Roman" w:eastAsia="宋体" w:cs="Times New Roman"/>
                      <w:color w:val="0000FF"/>
                      <w:kern w:val="0"/>
                      <w:szCs w:val="21"/>
                      <w:lang w:eastAsia="zh-CN"/>
                    </w:rPr>
                  </w:pPr>
                  <w:r>
                    <w:rPr>
                      <w:rFonts w:hint="eastAsia" w:ascii="Times New Roman" w:hAnsi="Times New Roman" w:eastAsia="宋体" w:cs="Times New Roman"/>
                      <w:color w:val="0000FF"/>
                      <w:sz w:val="21"/>
                      <w:szCs w:val="21"/>
                      <w:lang w:val="en-US" w:eastAsia="zh-CN"/>
                    </w:rPr>
                    <w:t>石油类</w:t>
                  </w:r>
                </w:p>
              </w:tc>
              <w:tc>
                <w:tcPr>
                  <w:tcW w:w="781" w:type="pct"/>
                  <w:vAlign w:val="center"/>
                </w:tcPr>
                <w:p w14:paraId="28B31876">
                  <w:pPr>
                    <w:spacing w:line="260" w:lineRule="exact"/>
                    <w:jc w:val="center"/>
                    <w:rPr>
                      <w:rFonts w:ascii="Times New Roman" w:hAnsi="Times New Roman" w:eastAsia="宋体" w:cs="Times New Roman"/>
                      <w:color w:val="0000FF"/>
                      <w:kern w:val="0"/>
                      <w:szCs w:val="21"/>
                    </w:rPr>
                  </w:pPr>
                  <w:r>
                    <w:rPr>
                      <w:rFonts w:ascii="Times New Roman" w:hAnsi="Times New Roman" w:eastAsia="宋体" w:cs="Times New Roman"/>
                      <w:color w:val="0000FF"/>
                      <w:szCs w:val="21"/>
                    </w:rPr>
                    <w:t>mg/kg</w:t>
                  </w:r>
                </w:p>
              </w:tc>
              <w:tc>
                <w:tcPr>
                  <w:tcW w:w="844" w:type="pct"/>
                  <w:vAlign w:val="center"/>
                </w:tcPr>
                <w:p w14:paraId="307B0434">
                  <w:pPr>
                    <w:tabs>
                      <w:tab w:val="left" w:pos="336"/>
                    </w:tabs>
                    <w:spacing w:line="260" w:lineRule="exact"/>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32</w:t>
                  </w:r>
                </w:p>
              </w:tc>
              <w:tc>
                <w:tcPr>
                  <w:tcW w:w="916" w:type="pct"/>
                  <w:vAlign w:val="center"/>
                </w:tcPr>
                <w:p w14:paraId="5BAFAEA7">
                  <w:pPr>
                    <w:spacing w:line="260" w:lineRule="exact"/>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4500</w:t>
                  </w:r>
                </w:p>
              </w:tc>
              <w:tc>
                <w:tcPr>
                  <w:tcW w:w="1456" w:type="dxa"/>
                  <w:vAlign w:val="center"/>
                </w:tcPr>
                <w:p w14:paraId="24C53741">
                  <w:pPr>
                    <w:keepNext w:val="0"/>
                    <w:keepLines w:val="0"/>
                    <w:widowControl/>
                    <w:suppressLineNumbers w:val="0"/>
                    <w:jc w:val="center"/>
                    <w:textAlignment w:val="center"/>
                    <w:rPr>
                      <w:rFonts w:ascii="Times New Roman" w:hAnsi="Times New Roman" w:eastAsia="宋体" w:cs="Times New Roman"/>
                      <w:color w:val="0000FF"/>
                      <w:kern w:val="0"/>
                      <w:szCs w:val="21"/>
                    </w:rPr>
                  </w:pPr>
                  <w:r>
                    <w:rPr>
                      <w:rFonts w:hint="default" w:ascii="Times New Roman" w:hAnsi="Times New Roman" w:eastAsia="宋体" w:cs="Times New Roman"/>
                      <w:i w:val="0"/>
                      <w:iCs w:val="0"/>
                      <w:color w:val="0000FF"/>
                      <w:kern w:val="0"/>
                      <w:sz w:val="21"/>
                      <w:szCs w:val="21"/>
                      <w:u w:val="none"/>
                      <w:lang w:val="en-US" w:eastAsia="zh-CN" w:bidi="ar"/>
                    </w:rPr>
                    <w:t xml:space="preserve">0.007 </w:t>
                  </w:r>
                </w:p>
              </w:tc>
            </w:tr>
            <w:tr w14:paraId="679F2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543" w:type="pct"/>
                  <w:vAlign w:val="center"/>
                </w:tcPr>
                <w:p w14:paraId="1A2F4AF6">
                  <w:pPr>
                    <w:spacing w:line="220" w:lineRule="exact"/>
                    <w:jc w:val="center"/>
                    <w:rPr>
                      <w:rFonts w:hint="eastAsia" w:ascii="Times New Roman" w:hAnsi="Times New Roman" w:cs="Times New Roman"/>
                      <w:color w:val="0000FF"/>
                      <w:sz w:val="18"/>
                      <w:szCs w:val="18"/>
                    </w:rPr>
                  </w:pPr>
                  <w:r>
                    <w:rPr>
                      <w:rFonts w:ascii="Times New Roman" w:hAnsi="Times New Roman" w:eastAsia="宋体" w:cs="Times New Roman"/>
                      <w:color w:val="0000FF"/>
                      <w:kern w:val="0"/>
                      <w:szCs w:val="21"/>
                    </w:rPr>
                    <w:t>汞</w:t>
                  </w:r>
                </w:p>
              </w:tc>
              <w:tc>
                <w:tcPr>
                  <w:tcW w:w="781" w:type="pct"/>
                  <w:vAlign w:val="center"/>
                </w:tcPr>
                <w:p w14:paraId="02E4804B">
                  <w:pPr>
                    <w:spacing w:line="260" w:lineRule="exact"/>
                    <w:jc w:val="center"/>
                    <w:rPr>
                      <w:rFonts w:ascii="Times New Roman" w:hAnsi="Times New Roman" w:eastAsia="宋体" w:cs="Times New Roman"/>
                      <w:color w:val="0000FF"/>
                      <w:szCs w:val="21"/>
                    </w:rPr>
                  </w:pPr>
                  <w:r>
                    <w:rPr>
                      <w:rFonts w:ascii="Times New Roman" w:hAnsi="Times New Roman" w:eastAsia="宋体" w:cs="Times New Roman"/>
                      <w:color w:val="0000FF"/>
                      <w:szCs w:val="21"/>
                    </w:rPr>
                    <w:t>mg/kg</w:t>
                  </w:r>
                </w:p>
              </w:tc>
              <w:tc>
                <w:tcPr>
                  <w:tcW w:w="844" w:type="pct"/>
                  <w:vAlign w:val="center"/>
                </w:tcPr>
                <w:p w14:paraId="281E9CD9">
                  <w:pPr>
                    <w:tabs>
                      <w:tab w:val="left" w:pos="336"/>
                    </w:tabs>
                    <w:spacing w:line="260" w:lineRule="exact"/>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0.087</w:t>
                  </w:r>
                </w:p>
              </w:tc>
              <w:tc>
                <w:tcPr>
                  <w:tcW w:w="916" w:type="pct"/>
                  <w:vAlign w:val="center"/>
                </w:tcPr>
                <w:p w14:paraId="64B65FCE">
                  <w:pPr>
                    <w:spacing w:line="260" w:lineRule="exact"/>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38</w:t>
                  </w:r>
                </w:p>
              </w:tc>
              <w:tc>
                <w:tcPr>
                  <w:tcW w:w="1456" w:type="dxa"/>
                  <w:vAlign w:val="center"/>
                </w:tcPr>
                <w:p w14:paraId="1ED6099B">
                  <w:pPr>
                    <w:keepNext w:val="0"/>
                    <w:keepLines w:val="0"/>
                    <w:widowControl/>
                    <w:suppressLineNumbers w:val="0"/>
                    <w:jc w:val="center"/>
                    <w:textAlignment w:val="center"/>
                    <w:rPr>
                      <w:rFonts w:hint="eastAsia" w:ascii="Times New Roman" w:hAnsi="Times New Roman" w:eastAsia="宋体" w:cs="Times New Roman"/>
                      <w:color w:val="0000FF"/>
                      <w:kern w:val="0"/>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0.002 </w:t>
                  </w:r>
                </w:p>
              </w:tc>
            </w:tr>
            <w:tr w14:paraId="13674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543" w:type="pct"/>
                  <w:vAlign w:val="center"/>
                </w:tcPr>
                <w:p w14:paraId="45D12001">
                  <w:pPr>
                    <w:spacing w:line="220" w:lineRule="exact"/>
                    <w:jc w:val="center"/>
                    <w:rPr>
                      <w:rFonts w:hint="eastAsia" w:ascii="Times New Roman" w:hAnsi="Times New Roman" w:eastAsia="宋体" w:cs="Times New Roman"/>
                      <w:color w:val="0000FF"/>
                      <w:kern w:val="0"/>
                      <w:szCs w:val="21"/>
                      <w:lang w:val="en-US" w:eastAsia="zh-CN"/>
                    </w:rPr>
                  </w:pPr>
                  <w:r>
                    <w:rPr>
                      <w:rFonts w:hint="eastAsia" w:ascii="Times New Roman" w:hAnsi="Times New Roman" w:cs="Times New Roman"/>
                      <w:color w:val="0000FF"/>
                      <w:kern w:val="0"/>
                      <w:szCs w:val="21"/>
                      <w:lang w:val="en-US" w:eastAsia="zh-CN"/>
                    </w:rPr>
                    <w:t>砷</w:t>
                  </w:r>
                </w:p>
              </w:tc>
              <w:tc>
                <w:tcPr>
                  <w:tcW w:w="781" w:type="pct"/>
                  <w:vAlign w:val="center"/>
                </w:tcPr>
                <w:p w14:paraId="3D7D7957">
                  <w:pPr>
                    <w:spacing w:line="260" w:lineRule="exact"/>
                    <w:jc w:val="center"/>
                    <w:rPr>
                      <w:rFonts w:ascii="Times New Roman" w:hAnsi="Times New Roman" w:eastAsia="宋体" w:cs="Times New Roman"/>
                      <w:color w:val="0000FF"/>
                      <w:szCs w:val="21"/>
                    </w:rPr>
                  </w:pPr>
                  <w:r>
                    <w:rPr>
                      <w:rFonts w:ascii="Times New Roman" w:hAnsi="Times New Roman" w:eastAsia="宋体" w:cs="Times New Roman"/>
                      <w:color w:val="0000FF"/>
                      <w:szCs w:val="21"/>
                    </w:rPr>
                    <w:t>mg/kg</w:t>
                  </w:r>
                </w:p>
              </w:tc>
              <w:tc>
                <w:tcPr>
                  <w:tcW w:w="844" w:type="pct"/>
                  <w:vAlign w:val="center"/>
                </w:tcPr>
                <w:p w14:paraId="44038F93">
                  <w:pPr>
                    <w:tabs>
                      <w:tab w:val="left" w:pos="336"/>
                    </w:tabs>
                    <w:spacing w:line="260" w:lineRule="exact"/>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2.44</w:t>
                  </w:r>
                </w:p>
              </w:tc>
              <w:tc>
                <w:tcPr>
                  <w:tcW w:w="916" w:type="pct"/>
                  <w:vAlign w:val="center"/>
                </w:tcPr>
                <w:p w14:paraId="421ECD19">
                  <w:pPr>
                    <w:spacing w:line="260" w:lineRule="exact"/>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60</w:t>
                  </w:r>
                </w:p>
              </w:tc>
              <w:tc>
                <w:tcPr>
                  <w:tcW w:w="1456" w:type="dxa"/>
                  <w:vAlign w:val="center"/>
                </w:tcPr>
                <w:p w14:paraId="35582AC7">
                  <w:pPr>
                    <w:keepNext w:val="0"/>
                    <w:keepLines w:val="0"/>
                    <w:widowControl/>
                    <w:suppressLineNumbers w:val="0"/>
                    <w:jc w:val="center"/>
                    <w:textAlignment w:val="center"/>
                    <w:rPr>
                      <w:rFonts w:hint="eastAsia" w:ascii="Times New Roman" w:hAnsi="Times New Roman" w:eastAsia="宋体" w:cs="Times New Roman"/>
                      <w:color w:val="0000FF"/>
                      <w:kern w:val="0"/>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0.041 </w:t>
                  </w:r>
                </w:p>
              </w:tc>
            </w:tr>
            <w:tr w14:paraId="11B444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543" w:type="pct"/>
                  <w:vAlign w:val="center"/>
                </w:tcPr>
                <w:p w14:paraId="3865D6C6">
                  <w:pPr>
                    <w:spacing w:line="260" w:lineRule="exact"/>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六价铬</w:t>
                  </w:r>
                </w:p>
              </w:tc>
              <w:tc>
                <w:tcPr>
                  <w:tcW w:w="781" w:type="pct"/>
                  <w:vAlign w:val="center"/>
                </w:tcPr>
                <w:p w14:paraId="0A4BF3FB">
                  <w:pPr>
                    <w:spacing w:line="260" w:lineRule="exact"/>
                    <w:jc w:val="center"/>
                    <w:rPr>
                      <w:rFonts w:ascii="Times New Roman" w:hAnsi="Times New Roman" w:eastAsia="宋体" w:cs="Times New Roman"/>
                      <w:color w:val="0000FF"/>
                      <w:kern w:val="0"/>
                      <w:szCs w:val="21"/>
                    </w:rPr>
                  </w:pPr>
                  <w:r>
                    <w:rPr>
                      <w:rFonts w:ascii="Times New Roman" w:hAnsi="Times New Roman" w:eastAsia="宋体" w:cs="Times New Roman"/>
                      <w:color w:val="0000FF"/>
                      <w:szCs w:val="21"/>
                    </w:rPr>
                    <w:t>mg/kg</w:t>
                  </w:r>
                </w:p>
              </w:tc>
              <w:tc>
                <w:tcPr>
                  <w:tcW w:w="844" w:type="pct"/>
                  <w:vAlign w:val="center"/>
                </w:tcPr>
                <w:p w14:paraId="35080428">
                  <w:pPr>
                    <w:tabs>
                      <w:tab w:val="left" w:pos="336"/>
                    </w:tabs>
                    <w:spacing w:line="260" w:lineRule="exact"/>
                    <w:jc w:val="center"/>
                    <w:rPr>
                      <w:rFonts w:hint="eastAsia" w:ascii="Times New Roman" w:hAnsi="Times New Roman" w:eastAsia="宋体" w:cs="Times New Roman"/>
                      <w:color w:val="0000FF"/>
                      <w:kern w:val="0"/>
                      <w:szCs w:val="21"/>
                      <w:lang w:eastAsia="zh-CN"/>
                    </w:rPr>
                  </w:pPr>
                  <w:r>
                    <w:rPr>
                      <w:rFonts w:hint="eastAsia" w:ascii="Times New Roman" w:hAnsi="Times New Roman" w:eastAsia="宋体" w:cs="Times New Roman"/>
                      <w:color w:val="0000FF"/>
                      <w:kern w:val="0"/>
                      <w:szCs w:val="21"/>
                      <w:lang w:val="en-US" w:eastAsia="zh-CN"/>
                    </w:rPr>
                    <w:t>未检出</w:t>
                  </w:r>
                </w:p>
              </w:tc>
              <w:tc>
                <w:tcPr>
                  <w:tcW w:w="916" w:type="pct"/>
                  <w:vAlign w:val="center"/>
                </w:tcPr>
                <w:p w14:paraId="4062E582">
                  <w:pPr>
                    <w:spacing w:line="260" w:lineRule="exact"/>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5.7</w:t>
                  </w:r>
                </w:p>
              </w:tc>
              <w:tc>
                <w:tcPr>
                  <w:tcW w:w="1456" w:type="dxa"/>
                  <w:vAlign w:val="center"/>
                </w:tcPr>
                <w:p w14:paraId="3A30A4FD">
                  <w:pPr>
                    <w:keepNext w:val="0"/>
                    <w:keepLines w:val="0"/>
                    <w:widowControl/>
                    <w:suppressLineNumbers w:val="0"/>
                    <w:jc w:val="center"/>
                    <w:textAlignment w:val="center"/>
                    <w:rPr>
                      <w:rFonts w:ascii="Times New Roman" w:hAnsi="Times New Roman" w:eastAsia="宋体" w:cs="Times New Roman"/>
                      <w:color w:val="0000FF"/>
                      <w:kern w:val="0"/>
                      <w:szCs w:val="21"/>
                    </w:rPr>
                  </w:pPr>
                  <w:r>
                    <w:rPr>
                      <w:rFonts w:hint="default" w:ascii="Times New Roman" w:hAnsi="Times New Roman" w:eastAsia="宋体" w:cs="Times New Roman"/>
                      <w:b/>
                      <w:bCs/>
                      <w:i w:val="0"/>
                      <w:iCs w:val="0"/>
                      <w:color w:val="0000FF"/>
                      <w:kern w:val="0"/>
                      <w:sz w:val="21"/>
                      <w:szCs w:val="21"/>
                      <w:u w:val="none"/>
                      <w:lang w:val="en-US" w:eastAsia="zh-CN" w:bidi="ar"/>
                    </w:rPr>
                    <w:t>—</w:t>
                  </w:r>
                </w:p>
              </w:tc>
            </w:tr>
          </w:tbl>
          <w:p w14:paraId="574B2696">
            <w:pPr>
              <w:widowControl w:val="0"/>
              <w:spacing w:line="360" w:lineRule="auto"/>
              <w:ind w:firstLine="480" w:firstLineChars="200"/>
              <w:jc w:val="left"/>
              <w:rPr>
                <w:rFonts w:hint="eastAsia" w:ascii="Times New Roman" w:hAnsi="Times New Roman" w:eastAsia="宋体" w:cs="Times New Roman"/>
                <w:kern w:val="2"/>
                <w:sz w:val="24"/>
                <w:szCs w:val="24"/>
                <w:lang w:val="en-US" w:eastAsia="zh-CN" w:bidi="ar-SA"/>
              </w:rPr>
            </w:pPr>
            <w:r>
              <w:rPr>
                <w:rFonts w:ascii="Times New Roman" w:hAnsi="Times New Roman" w:eastAsia="宋体" w:cs="Times New Roman"/>
                <w:color w:val="0000FF"/>
                <w:kern w:val="2"/>
                <w:sz w:val="24"/>
                <w:szCs w:val="24"/>
                <w:lang w:val="en-US" w:eastAsia="zh-CN" w:bidi="ar-SA"/>
              </w:rPr>
              <w:t>从土壤监测结果表中可以得出，符合《土壤环境质量建设用地 土壤污染风险管控标准》（GB36600-2018）中第二类用地的筛选值标准要求，说明评价区内土壤环境质量现状良好。</w:t>
            </w:r>
          </w:p>
        </w:tc>
      </w:tr>
      <w:tr w14:paraId="5B4285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0" w:hRule="atLeast"/>
          <w:jc w:val="center"/>
        </w:trPr>
        <w:tc>
          <w:tcPr>
            <w:tcW w:w="800" w:type="dxa"/>
            <w:noWrap w:val="0"/>
            <w:vAlign w:val="center"/>
          </w:tcPr>
          <w:p w14:paraId="62A7E524">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环境</w:t>
            </w:r>
          </w:p>
          <w:p w14:paraId="2BFB9F2B">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保护</w:t>
            </w:r>
          </w:p>
          <w:p w14:paraId="08C68160">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szCs w:val="24"/>
              </w:rPr>
              <w:t>目标</w:t>
            </w:r>
          </w:p>
        </w:tc>
        <w:tc>
          <w:tcPr>
            <w:tcW w:w="8148" w:type="dxa"/>
            <w:noWrap w:val="0"/>
            <w:vAlign w:val="center"/>
          </w:tcPr>
          <w:p w14:paraId="65AF7298">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本项目位于</w:t>
            </w:r>
            <w:r>
              <w:rPr>
                <w:rFonts w:hint="eastAsia" w:cs="Times New Roman"/>
                <w:color w:val="0000FF"/>
                <w:sz w:val="24"/>
                <w:szCs w:val="24"/>
                <w:highlight w:val="none"/>
                <w:lang w:val="en-US" w:eastAsia="zh-CN"/>
              </w:rPr>
              <w:t>内蒙古包头</w:t>
            </w:r>
            <w:r>
              <w:rPr>
                <w:rFonts w:hint="default" w:ascii="Times New Roman" w:hAnsi="Times New Roman" w:cs="Times New Roman"/>
                <w:color w:val="0000FF"/>
                <w:sz w:val="24"/>
                <w:szCs w:val="24"/>
                <w:highlight w:val="none"/>
                <w:lang w:val="en-US" w:eastAsia="zh-CN"/>
              </w:rPr>
              <w:t>九原工业园区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cs="Times New Roman"/>
                <w:color w:val="auto"/>
                <w:sz w:val="24"/>
                <w:szCs w:val="24"/>
                <w:highlight w:val="none"/>
                <w:lang w:val="en-US" w:eastAsia="zh-CN"/>
              </w:rPr>
              <w:t>内，</w:t>
            </w:r>
            <w:r>
              <w:rPr>
                <w:rFonts w:hint="default" w:ascii="Times New Roman" w:hAnsi="Times New Roman" w:cs="Times New Roman"/>
                <w:sz w:val="24"/>
              </w:rPr>
              <w:t>项目东侧为正望新材料（包头）有限公司，北侧为</w:t>
            </w:r>
            <w:r>
              <w:rPr>
                <w:rFonts w:hint="default" w:ascii="Times New Roman" w:hAnsi="Times New Roman" w:cs="Times New Roman"/>
                <w:sz w:val="24"/>
                <w:lang w:val="en-US" w:eastAsia="zh-CN"/>
              </w:rPr>
              <w:t>园区空地</w:t>
            </w:r>
            <w:r>
              <w:rPr>
                <w:rFonts w:hint="default" w:ascii="Times New Roman" w:hAnsi="Times New Roman" w:cs="Times New Roman"/>
                <w:sz w:val="24"/>
              </w:rPr>
              <w:t>，西侧</w:t>
            </w:r>
            <w:r>
              <w:rPr>
                <w:rFonts w:hint="default" w:ascii="Times New Roman" w:hAnsi="Times New Roman" w:cs="Times New Roman"/>
                <w:sz w:val="24"/>
                <w:lang w:val="en-US" w:eastAsia="zh-CN"/>
              </w:rPr>
              <w:t>紧邻园区道路（九昌路），路西为园区空地，</w:t>
            </w:r>
            <w:r>
              <w:rPr>
                <w:rFonts w:hint="default" w:ascii="Times New Roman" w:hAnsi="Times New Roman" w:cs="Times New Roman"/>
                <w:sz w:val="24"/>
              </w:rPr>
              <w:t>南侧大连大特气体(包头)有限公司。</w:t>
            </w:r>
            <w:r>
              <w:rPr>
                <w:rFonts w:hint="default" w:ascii="Times New Roman" w:hAnsi="Times New Roman" w:cs="Times New Roman"/>
                <w:color w:val="auto"/>
                <w:sz w:val="24"/>
                <w:szCs w:val="24"/>
                <w:highlight w:val="none"/>
                <w:lang w:val="en-US" w:eastAsia="zh-CN"/>
              </w:rPr>
              <w:t>项目地理位置图见附图3，外环境关系见附图4，本项目各要素环保保护目标如下：</w:t>
            </w:r>
          </w:p>
          <w:p w14:paraId="5FA06E64">
            <w:pPr>
              <w:pStyle w:val="9"/>
              <w:keepNext w:val="0"/>
              <w:keepLines w:val="0"/>
              <w:pageBreakBefore w:val="0"/>
              <w:widowControl w:val="0"/>
              <w:numPr>
                <w:ilvl w:val="0"/>
                <w:numId w:val="8"/>
              </w:numPr>
              <w:kinsoku/>
              <w:wordWrap/>
              <w:overflowPunct/>
              <w:topLinePunct w:val="0"/>
              <w:autoSpaceDE/>
              <w:autoSpaceDN/>
              <w:bidi w:val="0"/>
              <w:adjustRightInd/>
              <w:snapToGrid/>
              <w:spacing w:line="360" w:lineRule="auto"/>
              <w:ind w:left="150" w:leftChars="0" w:firstLine="480" w:firstLineChars="0"/>
              <w:textAlignment w:val="auto"/>
              <w:rPr>
                <w:rFonts w:hint="default" w:ascii="Times New Roman" w:hAnsi="Times New Roman" w:cs="Times New Roman"/>
                <w:color w:val="0000FF"/>
                <w:sz w:val="24"/>
                <w:szCs w:val="24"/>
                <w:highlight w:val="none"/>
                <w:lang w:val="en-US" w:eastAsia="zh-CN"/>
              </w:rPr>
            </w:pPr>
            <w:r>
              <w:rPr>
                <w:rFonts w:hint="default" w:ascii="Times New Roman" w:hAnsi="Times New Roman" w:cs="Times New Roman"/>
                <w:color w:val="0000FF"/>
                <w:sz w:val="24"/>
                <w:szCs w:val="24"/>
                <w:highlight w:val="none"/>
                <w:lang w:val="en-US" w:eastAsia="zh-CN"/>
              </w:rPr>
              <w:t>大气保护目标：根据调查，本项目厂界外500m范围内无自然保护区、风景名胜区、居住区、文化区和农村地区中人群较集中的区域，不存在大气环境保护目标；</w:t>
            </w:r>
          </w:p>
          <w:p w14:paraId="5A1DB85D">
            <w:pPr>
              <w:pStyle w:val="9"/>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82" w:firstLineChars="0"/>
              <w:textAlignment w:val="auto"/>
              <w:rPr>
                <w:rFonts w:hint="default" w:ascii="Times New Roman" w:hAnsi="Times New Roman" w:cs="Times New Roman"/>
                <w:color w:val="0000FF"/>
                <w:sz w:val="24"/>
                <w:szCs w:val="24"/>
                <w:highlight w:val="none"/>
                <w:lang w:val="en-US" w:eastAsia="zh-CN"/>
              </w:rPr>
            </w:pPr>
            <w:r>
              <w:rPr>
                <w:rFonts w:hint="default" w:ascii="Times New Roman" w:hAnsi="Times New Roman" w:eastAsia="宋体" w:cs="Times New Roman"/>
                <w:color w:val="0000FF"/>
                <w:sz w:val="24"/>
                <w:szCs w:val="24"/>
                <w:highlight w:val="none"/>
                <w:lang w:val="en-US" w:eastAsia="zh-CN"/>
              </w:rPr>
              <w:t>声环境保护目标：本项目</w:t>
            </w:r>
            <w:r>
              <w:rPr>
                <w:rFonts w:hint="default" w:ascii="Times New Roman" w:hAnsi="Times New Roman" w:eastAsia="宋体" w:cs="Times New Roman"/>
                <w:color w:val="0000FF"/>
                <w:sz w:val="24"/>
                <w:szCs w:val="24"/>
                <w:highlight w:val="none"/>
              </w:rPr>
              <w:t>厂界外50米范围内</w:t>
            </w:r>
            <w:r>
              <w:rPr>
                <w:rFonts w:hint="default" w:ascii="Times New Roman" w:hAnsi="Times New Roman" w:eastAsia="宋体" w:cs="Times New Roman"/>
                <w:color w:val="0000FF"/>
                <w:sz w:val="24"/>
                <w:szCs w:val="24"/>
                <w:highlight w:val="none"/>
                <w:lang w:val="en-US" w:eastAsia="zh-CN"/>
              </w:rPr>
              <w:t>无</w:t>
            </w:r>
            <w:r>
              <w:rPr>
                <w:rFonts w:hint="default" w:ascii="Times New Roman" w:hAnsi="Times New Roman" w:eastAsia="宋体" w:cs="Times New Roman"/>
                <w:color w:val="0000FF"/>
                <w:sz w:val="24"/>
                <w:szCs w:val="24"/>
                <w:highlight w:val="none"/>
              </w:rPr>
              <w:t>声环境保护目标。</w:t>
            </w:r>
          </w:p>
          <w:p w14:paraId="1441D8EA">
            <w:pPr>
              <w:pStyle w:val="9"/>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82" w:firstLineChars="0"/>
              <w:textAlignment w:val="auto"/>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sz w:val="24"/>
                <w:szCs w:val="24"/>
                <w:highlight w:val="none"/>
                <w:lang w:val="en-US" w:eastAsia="zh-CN"/>
              </w:rPr>
              <w:t>地下水保护目标：本项目</w:t>
            </w:r>
            <w:r>
              <w:rPr>
                <w:rFonts w:hint="default" w:ascii="Times New Roman" w:hAnsi="Times New Roman" w:eastAsia="宋体" w:cs="Times New Roman"/>
                <w:color w:val="0000FF"/>
                <w:sz w:val="24"/>
                <w:szCs w:val="24"/>
                <w:highlight w:val="none"/>
              </w:rPr>
              <w:t>厂界外500米范围内</w:t>
            </w:r>
            <w:r>
              <w:rPr>
                <w:rFonts w:hint="default" w:ascii="Times New Roman" w:hAnsi="Times New Roman" w:eastAsia="宋体" w:cs="Times New Roman"/>
                <w:color w:val="0000FF"/>
                <w:sz w:val="24"/>
                <w:szCs w:val="24"/>
                <w:highlight w:val="none"/>
                <w:lang w:val="en-US" w:eastAsia="zh-CN"/>
              </w:rPr>
              <w:t>无</w:t>
            </w:r>
            <w:r>
              <w:rPr>
                <w:rFonts w:hint="default" w:ascii="Times New Roman" w:hAnsi="Times New Roman" w:eastAsia="宋体" w:cs="Times New Roman"/>
                <w:color w:val="0000FF"/>
                <w:sz w:val="24"/>
                <w:szCs w:val="24"/>
                <w:highlight w:val="none"/>
              </w:rPr>
              <w:t>地下水集中式饮用水水源和热水、矿泉水、温泉等特殊地下水资源。</w:t>
            </w:r>
          </w:p>
          <w:p w14:paraId="78D781BD">
            <w:pPr>
              <w:pStyle w:val="9"/>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82" w:firstLineChars="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eastAsia="宋体" w:cs="Times New Roman"/>
                <w:color w:val="0000FF"/>
                <w:sz w:val="24"/>
                <w:szCs w:val="24"/>
                <w:highlight w:val="none"/>
                <w:lang w:val="en-US" w:eastAsia="zh-CN"/>
              </w:rPr>
              <w:t>生态：位于</w:t>
            </w:r>
            <w:r>
              <w:rPr>
                <w:rFonts w:hint="eastAsia" w:cs="Times New Roman"/>
                <w:color w:val="0000FF"/>
                <w:sz w:val="24"/>
                <w:szCs w:val="24"/>
                <w:highlight w:val="none"/>
                <w:lang w:val="en-US" w:eastAsia="zh-CN"/>
              </w:rPr>
              <w:t>内蒙古包头</w:t>
            </w:r>
            <w:r>
              <w:rPr>
                <w:rFonts w:hint="default" w:ascii="Times New Roman" w:hAnsi="Times New Roman" w:cs="Times New Roman"/>
                <w:color w:val="0000FF"/>
                <w:sz w:val="24"/>
                <w:szCs w:val="24"/>
                <w:highlight w:val="none"/>
                <w:lang w:val="en-US" w:eastAsia="zh-CN"/>
              </w:rPr>
              <w:t>九原工业园区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eastAsia="宋体" w:cs="Times New Roman"/>
                <w:color w:val="0000FF"/>
                <w:sz w:val="24"/>
                <w:szCs w:val="24"/>
                <w:highlight w:val="none"/>
                <w:lang w:val="en-US" w:eastAsia="zh-CN"/>
              </w:rPr>
              <w:t>内，用地性质为工业用地</w:t>
            </w:r>
            <w:r>
              <w:rPr>
                <w:rFonts w:hint="default" w:ascii="Times New Roman" w:hAnsi="Times New Roman" w:eastAsia="宋体" w:cs="Times New Roman"/>
                <w:color w:val="0000FF"/>
                <w:sz w:val="24"/>
                <w:szCs w:val="24"/>
                <w:highlight w:val="none"/>
                <w:vertAlign w:val="baseline"/>
                <w:lang w:val="en-US" w:eastAsia="zh-CN"/>
              </w:rPr>
              <w:t>，无受影响的重要物种、生态敏感区以及其他需要保护的物种、种群、生物群落及生态空间等生态保护目标</w:t>
            </w:r>
            <w:r>
              <w:rPr>
                <w:rFonts w:hint="eastAsia" w:cs="Times New Roman"/>
                <w:color w:val="0000FF"/>
                <w:sz w:val="24"/>
                <w:szCs w:val="24"/>
                <w:highlight w:val="none"/>
                <w:vertAlign w:val="baseline"/>
                <w:lang w:val="en-US" w:eastAsia="zh-CN"/>
              </w:rPr>
              <w:t>；</w:t>
            </w:r>
          </w:p>
          <w:p w14:paraId="02C5FC7E">
            <w:pPr>
              <w:pStyle w:val="9"/>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482" w:firstLineChars="0"/>
              <w:textAlignment w:val="auto"/>
              <w:rPr>
                <w:rFonts w:hint="default" w:ascii="Times New Roman" w:hAnsi="Times New Roman" w:cs="Times New Roman"/>
                <w:color w:val="0000FF"/>
                <w:kern w:val="0"/>
                <w:sz w:val="24"/>
                <w:szCs w:val="24"/>
                <w:lang w:val="en-US" w:eastAsia="zh-CN"/>
              </w:rPr>
            </w:pPr>
            <w:r>
              <w:rPr>
                <w:rFonts w:hint="eastAsia" w:cs="Times New Roman"/>
                <w:color w:val="0000FF"/>
                <w:sz w:val="24"/>
                <w:szCs w:val="24"/>
                <w:highlight w:val="none"/>
                <w:vertAlign w:val="baseline"/>
                <w:lang w:val="en-US" w:eastAsia="zh-CN"/>
              </w:rPr>
              <w:t>环境风险：见风险专项评价。</w:t>
            </w:r>
          </w:p>
          <w:p w14:paraId="0493E081">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left="482" w:leftChars="0"/>
              <w:textAlignment w:val="auto"/>
              <w:rPr>
                <w:rFonts w:hint="default" w:ascii="Times New Roman" w:hAnsi="Times New Roman" w:cs="Times New Roman"/>
                <w:color w:val="auto"/>
                <w:kern w:val="0"/>
                <w:sz w:val="24"/>
                <w:szCs w:val="24"/>
                <w:lang w:val="en-US" w:eastAsia="zh-CN"/>
              </w:rPr>
            </w:pPr>
            <w:r>
              <w:rPr>
                <w:rFonts w:hint="default" w:ascii="Times New Roman" w:hAnsi="Times New Roman" w:eastAsia="宋体" w:cs="Times New Roman"/>
                <w:color w:val="auto"/>
                <w:sz w:val="24"/>
                <w:szCs w:val="24"/>
                <w:highlight w:val="none"/>
                <w:vertAlign w:val="baseline"/>
                <w:lang w:val="en-US" w:eastAsia="zh-CN"/>
              </w:rPr>
              <w:t>本项目保护目标</w:t>
            </w:r>
            <w:r>
              <w:rPr>
                <w:rFonts w:hint="default" w:ascii="Times New Roman" w:hAnsi="Times New Roman" w:cs="Times New Roman"/>
                <w:color w:val="auto"/>
                <w:sz w:val="24"/>
                <w:szCs w:val="24"/>
                <w:highlight w:val="none"/>
                <w:vertAlign w:val="baseline"/>
                <w:lang w:val="en-US" w:eastAsia="zh-CN"/>
              </w:rPr>
              <w:t>调查范围</w:t>
            </w:r>
            <w:r>
              <w:rPr>
                <w:rFonts w:hint="default" w:ascii="Times New Roman" w:hAnsi="Times New Roman" w:eastAsia="宋体" w:cs="Times New Roman"/>
                <w:color w:val="auto"/>
                <w:sz w:val="24"/>
                <w:szCs w:val="24"/>
                <w:highlight w:val="none"/>
                <w:vertAlign w:val="baseline"/>
                <w:lang w:val="en-US" w:eastAsia="zh-CN"/>
              </w:rPr>
              <w:t>图见</w:t>
            </w:r>
            <w:r>
              <w:rPr>
                <w:rFonts w:hint="default" w:ascii="Times New Roman" w:hAnsi="Times New Roman" w:cs="Times New Roman"/>
                <w:color w:val="auto"/>
                <w:sz w:val="24"/>
                <w:szCs w:val="24"/>
                <w:highlight w:val="none"/>
                <w:vertAlign w:val="baseline"/>
                <w:lang w:val="en-US" w:eastAsia="zh-CN"/>
              </w:rPr>
              <w:t>附</w:t>
            </w:r>
            <w:r>
              <w:rPr>
                <w:rFonts w:hint="default" w:ascii="Times New Roman" w:hAnsi="Times New Roman" w:eastAsia="宋体" w:cs="Times New Roman"/>
                <w:color w:val="auto"/>
                <w:sz w:val="24"/>
                <w:szCs w:val="24"/>
                <w:highlight w:val="none"/>
                <w:vertAlign w:val="baseline"/>
                <w:lang w:val="en-US" w:eastAsia="zh-CN"/>
              </w:rPr>
              <w:t>图</w:t>
            </w:r>
            <w:r>
              <w:rPr>
                <w:rFonts w:hint="default" w:ascii="Times New Roman" w:hAnsi="Times New Roman" w:cs="Times New Roman"/>
                <w:color w:val="auto"/>
                <w:sz w:val="24"/>
                <w:szCs w:val="24"/>
                <w:highlight w:val="none"/>
                <w:vertAlign w:val="baseline"/>
                <w:lang w:val="en-US" w:eastAsia="zh-CN"/>
              </w:rPr>
              <w:t>7</w:t>
            </w:r>
            <w:r>
              <w:rPr>
                <w:rFonts w:hint="default" w:ascii="Times New Roman" w:hAnsi="Times New Roman" w:eastAsia="宋体" w:cs="Times New Roman"/>
                <w:color w:val="auto"/>
                <w:sz w:val="24"/>
                <w:szCs w:val="24"/>
                <w:highlight w:val="none"/>
                <w:vertAlign w:val="baseline"/>
                <w:lang w:val="en-US" w:eastAsia="zh-CN"/>
              </w:rPr>
              <w:t>。</w:t>
            </w:r>
          </w:p>
        </w:tc>
      </w:tr>
      <w:tr w14:paraId="12519B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0" w:hRule="atLeast"/>
          <w:jc w:val="center"/>
        </w:trPr>
        <w:tc>
          <w:tcPr>
            <w:tcW w:w="800" w:type="dxa"/>
            <w:shd w:val="clear" w:color="auto" w:fill="auto"/>
            <w:noWrap w:val="0"/>
            <w:vAlign w:val="center"/>
          </w:tcPr>
          <w:p w14:paraId="6F7BA787">
            <w:pPr>
              <w:adjustRightInd w:val="0"/>
              <w:snapToGrid w:val="0"/>
              <w:jc w:val="center"/>
              <w:rPr>
                <w:rFonts w:hint="default" w:ascii="Times New Roman" w:hAnsi="Times New Roman" w:cs="Times New Roman"/>
                <w:b w:val="0"/>
                <w:bCs w:val="0"/>
                <w:color w:val="auto"/>
                <w:kern w:val="0"/>
                <w:sz w:val="24"/>
                <w:szCs w:val="24"/>
              </w:rPr>
            </w:pPr>
            <w:r>
              <w:rPr>
                <w:rFonts w:hint="default" w:ascii="Times New Roman" w:hAnsi="Times New Roman" w:cs="Times New Roman"/>
                <w:b w:val="0"/>
                <w:bCs w:val="0"/>
                <w:color w:val="auto"/>
                <w:kern w:val="0"/>
                <w:sz w:val="24"/>
                <w:szCs w:val="24"/>
              </w:rPr>
              <w:t>污染</w:t>
            </w:r>
          </w:p>
          <w:p w14:paraId="5608DB5B">
            <w:pPr>
              <w:adjustRightInd w:val="0"/>
              <w:snapToGrid w:val="0"/>
              <w:jc w:val="center"/>
              <w:rPr>
                <w:rFonts w:hint="default" w:ascii="Times New Roman" w:hAnsi="Times New Roman" w:cs="Times New Roman"/>
                <w:b w:val="0"/>
                <w:bCs w:val="0"/>
                <w:color w:val="auto"/>
                <w:kern w:val="0"/>
                <w:sz w:val="24"/>
                <w:szCs w:val="24"/>
              </w:rPr>
            </w:pPr>
            <w:r>
              <w:rPr>
                <w:rFonts w:hint="default" w:ascii="Times New Roman" w:hAnsi="Times New Roman" w:cs="Times New Roman"/>
                <w:b w:val="0"/>
                <w:bCs w:val="0"/>
                <w:color w:val="auto"/>
                <w:kern w:val="0"/>
                <w:sz w:val="24"/>
                <w:szCs w:val="24"/>
              </w:rPr>
              <w:t>物排</w:t>
            </w:r>
          </w:p>
          <w:p w14:paraId="5337BE07">
            <w:pPr>
              <w:adjustRightInd w:val="0"/>
              <w:snapToGrid w:val="0"/>
              <w:jc w:val="center"/>
              <w:rPr>
                <w:rFonts w:hint="default" w:ascii="Times New Roman" w:hAnsi="Times New Roman" w:cs="Times New Roman"/>
                <w:b w:val="0"/>
                <w:bCs w:val="0"/>
                <w:color w:val="auto"/>
                <w:kern w:val="0"/>
                <w:sz w:val="24"/>
                <w:szCs w:val="24"/>
              </w:rPr>
            </w:pPr>
            <w:r>
              <w:rPr>
                <w:rFonts w:hint="default" w:ascii="Times New Roman" w:hAnsi="Times New Roman" w:cs="Times New Roman"/>
                <w:b w:val="0"/>
                <w:bCs w:val="0"/>
                <w:color w:val="auto"/>
                <w:kern w:val="0"/>
                <w:sz w:val="24"/>
                <w:szCs w:val="24"/>
              </w:rPr>
              <w:t>放控</w:t>
            </w:r>
          </w:p>
          <w:p w14:paraId="0787CB5B">
            <w:pPr>
              <w:adjustRightInd w:val="0"/>
              <w:snapToGrid w:val="0"/>
              <w:jc w:val="center"/>
              <w:rPr>
                <w:rFonts w:hint="default" w:ascii="Times New Roman" w:hAnsi="Times New Roman" w:cs="Times New Roman"/>
                <w:b w:val="0"/>
                <w:bCs w:val="0"/>
                <w:color w:val="auto"/>
                <w:kern w:val="0"/>
                <w:sz w:val="24"/>
                <w:szCs w:val="24"/>
              </w:rPr>
            </w:pPr>
            <w:r>
              <w:rPr>
                <w:rFonts w:hint="default" w:ascii="Times New Roman" w:hAnsi="Times New Roman" w:cs="Times New Roman"/>
                <w:b w:val="0"/>
                <w:bCs w:val="0"/>
                <w:color w:val="auto"/>
                <w:kern w:val="0"/>
                <w:sz w:val="24"/>
                <w:szCs w:val="24"/>
              </w:rPr>
              <w:t>制标</w:t>
            </w:r>
          </w:p>
          <w:p w14:paraId="28A52F99">
            <w:pPr>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b w:val="0"/>
                <w:bCs w:val="0"/>
                <w:color w:val="auto"/>
                <w:kern w:val="0"/>
                <w:sz w:val="24"/>
                <w:szCs w:val="24"/>
              </w:rPr>
              <w:t>准</w:t>
            </w:r>
          </w:p>
        </w:tc>
        <w:tc>
          <w:tcPr>
            <w:tcW w:w="8148" w:type="dxa"/>
            <w:shd w:val="clear" w:color="auto" w:fill="auto"/>
            <w:noWrap w:val="0"/>
            <w:vAlign w:val="center"/>
          </w:tcPr>
          <w:p w14:paraId="4A487C7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en-US" w:eastAsia="zh-CN"/>
              </w:rPr>
              <w:t>5</w:t>
            </w:r>
            <w:r>
              <w:rPr>
                <w:rFonts w:hint="default" w:ascii="Times New Roman" w:hAnsi="Times New Roman" w:cs="Times New Roman"/>
                <w:b/>
                <w:bCs/>
                <w:color w:val="auto"/>
                <w:sz w:val="24"/>
                <w:szCs w:val="24"/>
              </w:rPr>
              <w:t>、废气</w:t>
            </w:r>
          </w:p>
          <w:p w14:paraId="501DB514">
            <w:pPr>
              <w:pStyle w:val="77"/>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ascii="Times New Roman" w:hAnsi="Times New Roman" w:cs="Times New Roman"/>
                <w:b/>
                <w:bCs/>
                <w:color w:val="auto"/>
                <w:kern w:val="0"/>
                <w:sz w:val="24"/>
                <w:szCs w:val="24"/>
                <w:lang w:val="en-US" w:eastAsia="zh-CN"/>
              </w:rPr>
            </w:pPr>
            <w:r>
              <w:rPr>
                <w:rFonts w:hint="default" w:ascii="Times New Roman" w:hAnsi="Times New Roman" w:cs="Times New Roman"/>
                <w:b/>
                <w:bCs/>
                <w:color w:val="auto"/>
                <w:kern w:val="0"/>
                <w:sz w:val="24"/>
                <w:szCs w:val="24"/>
                <w:lang w:val="en-US" w:eastAsia="zh-CN"/>
              </w:rPr>
              <w:t>5.1施工期</w:t>
            </w:r>
          </w:p>
          <w:p w14:paraId="35EFBAC1">
            <w:pPr>
              <w:pStyle w:val="77"/>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施工期废气</w:t>
            </w:r>
            <w:r>
              <w:rPr>
                <w:rFonts w:hint="default" w:ascii="Times New Roman" w:hAnsi="Times New Roman" w:eastAsia="宋体" w:cs="Times New Roman"/>
                <w:color w:val="auto"/>
                <w:sz w:val="24"/>
                <w:lang w:eastAsia="zh-CN"/>
              </w:rPr>
              <w:t>执行《大气污染物综合排放标准》(GB16297-1996)</w:t>
            </w:r>
            <w:r>
              <w:rPr>
                <w:rFonts w:hint="default" w:ascii="Times New Roman" w:hAnsi="Times New Roman" w:cs="Times New Roman"/>
                <w:color w:val="auto"/>
                <w:sz w:val="24"/>
                <w:lang w:val="en-US" w:eastAsia="zh-CN"/>
              </w:rPr>
              <w:t>表2新污染源大气污染物排放限值。</w:t>
            </w:r>
          </w:p>
          <w:p w14:paraId="458E1400">
            <w:pPr>
              <w:pStyle w:val="77"/>
              <w:keepNext w:val="0"/>
              <w:keepLines w:val="0"/>
              <w:pageBreakBefore w:val="0"/>
              <w:widowControl w:val="0"/>
              <w:kinsoku/>
              <w:wordWrap/>
              <w:overflowPunct/>
              <w:topLinePunct w:val="0"/>
              <w:autoSpaceDE w:val="0"/>
              <w:autoSpaceDN w:val="0"/>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val="en-US" w:eastAsia="zh-CN"/>
              </w:rPr>
              <w:t xml:space="preserve">表3.5-1     </w:t>
            </w:r>
            <w:r>
              <w:rPr>
                <w:rFonts w:hint="default" w:ascii="Times New Roman" w:hAnsi="Times New Roman" w:eastAsia="宋体" w:cs="Times New Roman"/>
                <w:b/>
                <w:bCs/>
                <w:color w:val="auto"/>
                <w:sz w:val="21"/>
                <w:szCs w:val="21"/>
                <w:lang w:eastAsia="zh-CN"/>
              </w:rPr>
              <w:t>《大气污染物综合排放标准》(GB16297-1996)</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6"/>
              <w:gridCol w:w="2657"/>
              <w:gridCol w:w="2654"/>
            </w:tblGrid>
            <w:tr w14:paraId="748BF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Merge w:val="restart"/>
                  <w:vAlign w:val="center"/>
                </w:tcPr>
                <w:p w14:paraId="6B79C6E8">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污染物</w:t>
                  </w:r>
                </w:p>
              </w:tc>
              <w:tc>
                <w:tcPr>
                  <w:tcW w:w="3332" w:type="pct"/>
                  <w:gridSpan w:val="2"/>
                  <w:vAlign w:val="center"/>
                </w:tcPr>
                <w:p w14:paraId="73324E29">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无组织排放浓度限值</w:t>
                  </w:r>
                </w:p>
              </w:tc>
            </w:tr>
            <w:tr w14:paraId="0FACDC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Merge w:val="continue"/>
                  <w:vAlign w:val="center"/>
                </w:tcPr>
                <w:p w14:paraId="41279B01">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667" w:type="pct"/>
                  <w:vAlign w:val="center"/>
                </w:tcPr>
                <w:p w14:paraId="42AFAE4E">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监控点</w:t>
                  </w:r>
                </w:p>
              </w:tc>
              <w:tc>
                <w:tcPr>
                  <w:tcW w:w="1665" w:type="pct"/>
                  <w:vAlign w:val="center"/>
                </w:tcPr>
                <w:p w14:paraId="209E4C75">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浓度（</w:t>
                  </w:r>
                  <w:r>
                    <w:rPr>
                      <w:rFonts w:hint="default" w:ascii="Times New Roman" w:hAnsi="Times New Roman" w:cs="Times New Roman"/>
                      <w:color w:val="auto"/>
                      <w:sz w:val="21"/>
                      <w:szCs w:val="21"/>
                      <w:lang w:val="en-US" w:eastAsia="zh-CN"/>
                    </w:rPr>
                    <w:t>mg/m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vertAlign w:val="baseline"/>
                      <w:lang w:val="en-US" w:eastAsia="zh-CN"/>
                    </w:rPr>
                    <w:t>）</w:t>
                  </w:r>
                </w:p>
              </w:tc>
            </w:tr>
            <w:tr w14:paraId="6EA0E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7" w:type="pct"/>
                  <w:vAlign w:val="center"/>
                </w:tcPr>
                <w:p w14:paraId="351D22C6">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颗粒物（其他）</w:t>
                  </w:r>
                </w:p>
              </w:tc>
              <w:tc>
                <w:tcPr>
                  <w:tcW w:w="1667" w:type="pct"/>
                  <w:vAlign w:val="center"/>
                </w:tcPr>
                <w:p w14:paraId="23D20EE2">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周界外浓度最高点</w:t>
                  </w:r>
                </w:p>
              </w:tc>
              <w:tc>
                <w:tcPr>
                  <w:tcW w:w="1665" w:type="pct"/>
                  <w:vAlign w:val="center"/>
                </w:tcPr>
                <w:p w14:paraId="56FECF26">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w:t>
                  </w:r>
                </w:p>
              </w:tc>
            </w:tr>
          </w:tbl>
          <w:p w14:paraId="0AAE6C8F">
            <w:pPr>
              <w:pStyle w:val="77"/>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ascii="Times New Roman" w:hAnsi="Times New Roman" w:eastAsia="宋体" w:cs="Times New Roman"/>
                <w:b/>
                <w:bCs/>
                <w:color w:val="auto"/>
                <w:kern w:val="0"/>
                <w:sz w:val="24"/>
                <w:szCs w:val="24"/>
                <w:lang w:val="en-US" w:eastAsia="zh-CN"/>
              </w:rPr>
            </w:pPr>
            <w:r>
              <w:rPr>
                <w:rFonts w:hint="default" w:ascii="Times New Roman" w:hAnsi="Times New Roman" w:eastAsia="宋体" w:cs="Times New Roman"/>
                <w:b/>
                <w:bCs/>
                <w:color w:val="auto"/>
                <w:kern w:val="0"/>
                <w:sz w:val="24"/>
                <w:szCs w:val="24"/>
                <w:lang w:val="en-US" w:eastAsia="zh-CN"/>
              </w:rPr>
              <w:t>1.2</w:t>
            </w:r>
            <w:r>
              <w:rPr>
                <w:rFonts w:hint="default" w:ascii="Times New Roman" w:hAnsi="Times New Roman" w:cs="Times New Roman"/>
                <w:b/>
                <w:bCs/>
                <w:color w:val="auto"/>
                <w:kern w:val="0"/>
                <w:sz w:val="24"/>
                <w:szCs w:val="24"/>
                <w:lang w:val="en-US" w:eastAsia="zh-CN"/>
              </w:rPr>
              <w:t xml:space="preserve"> </w:t>
            </w:r>
            <w:r>
              <w:rPr>
                <w:rFonts w:hint="default" w:ascii="Times New Roman" w:hAnsi="Times New Roman" w:eastAsia="宋体" w:cs="Times New Roman"/>
                <w:b/>
                <w:bCs/>
                <w:color w:val="auto"/>
                <w:kern w:val="0"/>
                <w:sz w:val="24"/>
                <w:szCs w:val="24"/>
                <w:lang w:val="en-US" w:eastAsia="zh-CN"/>
              </w:rPr>
              <w:t>营运期</w:t>
            </w:r>
          </w:p>
          <w:p w14:paraId="20CFBF65">
            <w:pPr>
              <w:pStyle w:val="77"/>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项目运营期排放的废气污染物主要为颗粒物、SO</w:t>
            </w:r>
            <w:r>
              <w:rPr>
                <w:rFonts w:hint="default" w:ascii="Times New Roman" w:hAnsi="Times New Roman" w:cs="Times New Roman"/>
                <w:color w:val="auto"/>
                <w:kern w:val="0"/>
                <w:sz w:val="24"/>
                <w:szCs w:val="24"/>
                <w:vertAlign w:val="subscript"/>
                <w:lang w:val="en-US" w:eastAsia="zh-CN"/>
              </w:rPr>
              <w:t>2</w:t>
            </w:r>
            <w:r>
              <w:rPr>
                <w:rFonts w:hint="default" w:ascii="Times New Roman" w:hAnsi="Times New Roman" w:cs="Times New Roman"/>
                <w:color w:val="auto"/>
                <w:kern w:val="0"/>
                <w:sz w:val="24"/>
                <w:szCs w:val="24"/>
                <w:lang w:val="en-US" w:eastAsia="zh-CN"/>
              </w:rPr>
              <w:t>、NOx、非甲烷总烃。</w:t>
            </w:r>
          </w:p>
          <w:p w14:paraId="44D22F09">
            <w:pPr>
              <w:pStyle w:val="77"/>
              <w:keepNext w:val="0"/>
              <w:keepLines w:val="0"/>
              <w:pageBreakBefore w:val="0"/>
              <w:widowControl w:val="0"/>
              <w:numPr>
                <w:ilvl w:val="0"/>
                <w:numId w:val="9"/>
              </w:numPr>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cs="Times New Roman"/>
                <w:color w:val="auto"/>
                <w:kern w:val="0"/>
                <w:sz w:val="24"/>
                <w:szCs w:val="24"/>
                <w:lang w:val="en-US" w:eastAsia="zh-CN"/>
              </w:rPr>
            </w:pPr>
            <w:r>
              <w:rPr>
                <w:rFonts w:hint="eastAsia" w:cs="Times New Roman"/>
                <w:color w:val="0000FF"/>
                <w:kern w:val="0"/>
                <w:sz w:val="24"/>
                <w:szCs w:val="24"/>
                <w:lang w:val="en-US" w:eastAsia="zh-CN"/>
              </w:rPr>
              <w:t>有组织废气排放标准：</w:t>
            </w:r>
          </w:p>
          <w:p w14:paraId="45022F27">
            <w:pPr>
              <w:pStyle w:val="77"/>
              <w:keepNext w:val="0"/>
              <w:keepLines w:val="0"/>
              <w:pageBreakBefore w:val="0"/>
              <w:widowControl w:val="0"/>
              <w:kinsoku/>
              <w:wordWrap/>
              <w:overflowPunct/>
              <w:topLinePunct w:val="0"/>
              <w:autoSpaceDE w:val="0"/>
              <w:autoSpaceDN w:val="0"/>
              <w:bidi w:val="0"/>
              <w:adjustRightInd/>
              <w:snapToGrid/>
              <w:spacing w:line="360" w:lineRule="auto"/>
              <w:ind w:left="0" w:leftChars="0" w:firstLine="480" w:firstLineChars="200"/>
              <w:textAlignment w:val="auto"/>
              <w:rPr>
                <w:rFonts w:hint="default"/>
                <w:lang w:val="en-US" w:eastAsia="zh-CN"/>
              </w:rPr>
            </w:pPr>
            <w:r>
              <w:rPr>
                <w:rFonts w:hint="default" w:ascii="Times New Roman" w:hAnsi="Times New Roman" w:cs="Times New Roman"/>
                <w:color w:val="0000FF"/>
                <w:kern w:val="0"/>
                <w:sz w:val="24"/>
                <w:szCs w:val="24"/>
                <w:lang w:val="en-US" w:eastAsia="zh-CN"/>
              </w:rPr>
              <w:t>对照《内蒙古自治区工业炉窑大气污染综合治理实施方案》附表4《现有涉工业炉窑大气污染物排放标准》，本项目对应行业为-其他。</w:t>
            </w:r>
          </w:p>
          <w:p w14:paraId="519D10F1">
            <w:pPr>
              <w:pStyle w:val="77"/>
              <w:keepNext w:val="0"/>
              <w:keepLines w:val="0"/>
              <w:pageBreakBefore w:val="0"/>
              <w:widowControl w:val="0"/>
              <w:numPr>
                <w:ilvl w:val="0"/>
                <w:numId w:val="10"/>
              </w:numPr>
              <w:kinsoku/>
              <w:wordWrap/>
              <w:overflowPunct/>
              <w:topLinePunct w:val="0"/>
              <w:autoSpaceDE w:val="0"/>
              <w:autoSpaceDN w:val="0"/>
              <w:bidi w:val="0"/>
              <w:adjustRightInd/>
              <w:snapToGrid/>
              <w:spacing w:line="360" w:lineRule="auto"/>
              <w:ind w:leftChars="0" w:firstLine="480" w:firstLineChars="200"/>
              <w:textAlignment w:val="auto"/>
              <w:rPr>
                <w:rFonts w:hint="eastAsia"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气瓶检验站焚烧有组织废气颗粒物执行《工业炉窑大气污染物排放标准》（GB9078-1996）表2-其他炉窑二级标准排放浓度，二氧化硫</w:t>
            </w:r>
            <w:r>
              <w:rPr>
                <w:rFonts w:hint="eastAsia" w:cs="Times New Roman"/>
                <w:color w:val="0000FF"/>
                <w:kern w:val="0"/>
                <w:sz w:val="24"/>
                <w:szCs w:val="24"/>
                <w:lang w:val="en-US" w:eastAsia="zh-CN"/>
              </w:rPr>
              <w:t>、氮氧化物</w:t>
            </w:r>
            <w:r>
              <w:rPr>
                <w:rFonts w:hint="default" w:ascii="Times New Roman" w:hAnsi="Times New Roman" w:cs="Times New Roman"/>
                <w:color w:val="0000FF"/>
                <w:kern w:val="0"/>
                <w:sz w:val="24"/>
                <w:szCs w:val="24"/>
                <w:lang w:val="en-US" w:eastAsia="zh-CN"/>
              </w:rPr>
              <w:t>执行《大气污染物综合排放标准》（GB16297-1996）表2二级排放标准</w:t>
            </w:r>
            <w:r>
              <w:rPr>
                <w:rFonts w:hint="eastAsia" w:cs="Times New Roman"/>
                <w:color w:val="0000FF"/>
                <w:kern w:val="0"/>
                <w:sz w:val="24"/>
                <w:szCs w:val="24"/>
                <w:lang w:val="en-US" w:eastAsia="zh-CN"/>
              </w:rPr>
              <w:t>；</w:t>
            </w:r>
          </w:p>
          <w:p w14:paraId="206D54D3">
            <w:pPr>
              <w:pStyle w:val="77"/>
              <w:keepNext w:val="0"/>
              <w:keepLines w:val="0"/>
              <w:pageBreakBefore w:val="0"/>
              <w:widowControl w:val="0"/>
              <w:numPr>
                <w:ilvl w:val="0"/>
                <w:numId w:val="10"/>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气瓶检验站抛丸废气颗粒物执行《大气污染物综合排放标准》（GB16297-1996）表2二级排放标准（其他）；</w:t>
            </w:r>
          </w:p>
          <w:p w14:paraId="30915953">
            <w:pPr>
              <w:pStyle w:val="77"/>
              <w:keepNext w:val="0"/>
              <w:keepLines w:val="0"/>
              <w:pageBreakBefore w:val="0"/>
              <w:widowControl w:val="0"/>
              <w:numPr>
                <w:ilvl w:val="0"/>
                <w:numId w:val="10"/>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气瓶检验站喷塑废气颗粒物执行《大气污染物综合排放标准》（GB16297-1996）表2二级排放标准（染料尘）；</w:t>
            </w:r>
          </w:p>
          <w:p w14:paraId="3632E41C">
            <w:pPr>
              <w:pStyle w:val="77"/>
              <w:keepNext w:val="0"/>
              <w:keepLines w:val="0"/>
              <w:pageBreakBefore w:val="0"/>
              <w:widowControl w:val="0"/>
              <w:numPr>
                <w:ilvl w:val="0"/>
                <w:numId w:val="10"/>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气瓶检验站固化、丝印废气执行《印刷工业大气污染物排放标准》（GB41616-2022）表1限值要求；</w:t>
            </w:r>
          </w:p>
          <w:p w14:paraId="5C2DDDCB">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eastAsia" w:cs="Times New Roman"/>
                <w:color w:val="0000FF"/>
                <w:kern w:val="0"/>
                <w:sz w:val="24"/>
                <w:szCs w:val="24"/>
                <w:lang w:val="en-US" w:eastAsia="zh-CN"/>
              </w:rPr>
              <w:t>由于本项目气瓶检验站所有生产废气共用1根排气筒（DA001）合并排放，因此DA001排放各污染物执行标准如下：颗粒物统一从严执行</w:t>
            </w:r>
            <w:r>
              <w:rPr>
                <w:rFonts w:hint="default" w:ascii="Times New Roman" w:hAnsi="Times New Roman" w:cs="Times New Roman"/>
                <w:color w:val="0000FF"/>
                <w:kern w:val="0"/>
                <w:sz w:val="24"/>
                <w:szCs w:val="24"/>
                <w:lang w:val="en-US" w:eastAsia="zh-CN"/>
              </w:rPr>
              <w:t>《大气污染物综合排放标准》（GB16297-1996）表2二级排放标准（染料尘）</w:t>
            </w:r>
            <w:r>
              <w:rPr>
                <w:rFonts w:hint="eastAsia" w:ascii="Times New Roman" w:hAnsi="Times New Roman" w:cs="Times New Roman"/>
                <w:color w:val="0000FF"/>
                <w:kern w:val="0"/>
                <w:sz w:val="24"/>
                <w:szCs w:val="24"/>
                <w:lang w:val="en-US" w:eastAsia="zh-CN"/>
              </w:rPr>
              <w:t>；二氧化硫、氮氧化物执行</w:t>
            </w:r>
            <w:r>
              <w:rPr>
                <w:rFonts w:hint="default" w:ascii="Times New Roman" w:hAnsi="Times New Roman" w:cs="Times New Roman"/>
                <w:color w:val="0000FF"/>
                <w:kern w:val="0"/>
                <w:sz w:val="24"/>
                <w:szCs w:val="24"/>
                <w:lang w:val="en-US" w:eastAsia="zh-CN"/>
              </w:rPr>
              <w:t>《大气污染物综合排放标准》（GB16297-1996）表2二级排放标准</w:t>
            </w:r>
            <w:r>
              <w:rPr>
                <w:rFonts w:hint="eastAsia" w:cs="Times New Roman"/>
                <w:color w:val="0000FF"/>
                <w:kern w:val="0"/>
                <w:sz w:val="24"/>
                <w:szCs w:val="24"/>
                <w:lang w:val="en-US" w:eastAsia="zh-CN"/>
              </w:rPr>
              <w:t>；</w:t>
            </w:r>
            <w:r>
              <w:rPr>
                <w:rFonts w:hint="default" w:ascii="Times New Roman" w:hAnsi="Times New Roman" w:cs="Times New Roman"/>
                <w:color w:val="0000FF"/>
                <w:kern w:val="0"/>
                <w:sz w:val="24"/>
                <w:szCs w:val="24"/>
                <w:lang w:val="en-US" w:eastAsia="zh-CN"/>
              </w:rPr>
              <w:t>固化、丝印废气执行《印刷工业大气污染物排放标准》（GB41616-2022）表1限值要求；</w:t>
            </w:r>
          </w:p>
          <w:p w14:paraId="06BD719C">
            <w:pPr>
              <w:pStyle w:val="77"/>
              <w:keepNext w:val="0"/>
              <w:keepLines w:val="0"/>
              <w:pageBreakBefore w:val="0"/>
              <w:widowControl w:val="0"/>
              <w:numPr>
                <w:ilvl w:val="0"/>
                <w:numId w:val="9"/>
              </w:numPr>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厂界无组织</w:t>
            </w:r>
            <w:r>
              <w:rPr>
                <w:rFonts w:hint="eastAsia" w:cs="Times New Roman"/>
                <w:color w:val="0000FF"/>
                <w:kern w:val="0"/>
                <w:sz w:val="24"/>
                <w:szCs w:val="24"/>
                <w:lang w:val="en-US" w:eastAsia="zh-CN"/>
              </w:rPr>
              <w:t>排放标准</w:t>
            </w:r>
            <w:r>
              <w:rPr>
                <w:rFonts w:hint="default" w:ascii="Times New Roman" w:hAnsi="Times New Roman" w:cs="Times New Roman"/>
                <w:color w:val="0000FF"/>
                <w:kern w:val="0"/>
                <w:sz w:val="24"/>
                <w:szCs w:val="24"/>
                <w:lang w:val="en-US" w:eastAsia="zh-CN"/>
              </w:rPr>
              <w:t>：</w:t>
            </w:r>
          </w:p>
          <w:p w14:paraId="1D588E49">
            <w:pPr>
              <w:pStyle w:val="77"/>
              <w:keepNext w:val="0"/>
              <w:keepLines w:val="0"/>
              <w:pageBreakBefore w:val="0"/>
              <w:widowControl w:val="0"/>
              <w:numPr>
                <w:ilvl w:val="0"/>
                <w:numId w:val="11"/>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丙烷、LPG灌（充）装无组织废气执行《大气污染物综合排放标准》（GB 16297-1996）中表2无组织排放浓度限值；</w:t>
            </w:r>
          </w:p>
          <w:p w14:paraId="5A308B10">
            <w:pPr>
              <w:pStyle w:val="77"/>
              <w:keepNext w:val="0"/>
              <w:keepLines w:val="0"/>
              <w:pageBreakBefore w:val="0"/>
              <w:widowControl w:val="0"/>
              <w:numPr>
                <w:ilvl w:val="0"/>
                <w:numId w:val="11"/>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气瓶检验站固化废气和丝印无组织废气执行《大气污染物综合排放标准》（GB 16297-1996）中表2无组织排放浓度限值；</w:t>
            </w:r>
          </w:p>
          <w:p w14:paraId="51C3F932">
            <w:pPr>
              <w:pStyle w:val="77"/>
              <w:keepNext w:val="0"/>
              <w:keepLines w:val="0"/>
              <w:pageBreakBefore w:val="0"/>
              <w:widowControl w:val="0"/>
              <w:numPr>
                <w:ilvl w:val="0"/>
                <w:numId w:val="11"/>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臭气浓度无组织排放执行《恶臭污染物排放标准》(GB14554-93)恶臭污染物表1中的恶臭污染物厂界标准；</w:t>
            </w:r>
          </w:p>
          <w:p w14:paraId="01853435">
            <w:pPr>
              <w:pStyle w:val="77"/>
              <w:keepNext w:val="0"/>
              <w:keepLines w:val="0"/>
              <w:pageBreakBefore w:val="0"/>
              <w:widowControl w:val="0"/>
              <w:numPr>
                <w:ilvl w:val="0"/>
                <w:numId w:val="9"/>
              </w:numPr>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厂区内无组织：</w:t>
            </w:r>
          </w:p>
          <w:p w14:paraId="3A5EDA37">
            <w:pPr>
              <w:pStyle w:val="77"/>
              <w:keepNext w:val="0"/>
              <w:keepLines w:val="0"/>
              <w:pageBreakBefore w:val="0"/>
              <w:widowControl w:val="0"/>
              <w:numPr>
                <w:ilvl w:val="0"/>
                <w:numId w:val="12"/>
              </w:numPr>
              <w:kinsoku/>
              <w:wordWrap/>
              <w:overflowPunct/>
              <w:topLinePunct w:val="0"/>
              <w:autoSpaceDE w:val="0"/>
              <w:autoSpaceDN w:val="0"/>
              <w:bidi w:val="0"/>
              <w:adjustRightInd/>
              <w:snapToGrid/>
              <w:spacing w:line="360" w:lineRule="auto"/>
              <w:ind w:leftChars="0" w:firstLine="480" w:firstLineChars="200"/>
              <w:textAlignment w:val="auto"/>
              <w:rPr>
                <w:rFonts w:hint="eastAsia" w:ascii="Times New Roman" w:hAnsi="Times New Roman" w:cs="Times New Roman"/>
                <w:color w:val="0000FF"/>
                <w:kern w:val="0"/>
                <w:sz w:val="24"/>
                <w:szCs w:val="24"/>
                <w:lang w:val="en-US" w:eastAsia="zh-CN"/>
              </w:rPr>
            </w:pPr>
            <w:r>
              <w:rPr>
                <w:rFonts w:hint="eastAsia" w:cs="Times New Roman"/>
                <w:color w:val="0000FF"/>
                <w:kern w:val="0"/>
                <w:sz w:val="24"/>
                <w:szCs w:val="24"/>
                <w:lang w:val="en-US" w:eastAsia="zh-CN"/>
              </w:rPr>
              <w:t>气瓶检验站生产厂房无组织烟粉尘（颗粒物）执行</w:t>
            </w:r>
            <w:r>
              <w:rPr>
                <w:rFonts w:hint="default" w:ascii="Times New Roman" w:hAnsi="Times New Roman" w:cs="Times New Roman"/>
                <w:color w:val="0000FF"/>
                <w:kern w:val="0"/>
                <w:sz w:val="24"/>
                <w:szCs w:val="24"/>
                <w:lang w:val="en-US" w:eastAsia="zh-CN"/>
              </w:rPr>
              <w:t>《工业炉窑大气污染物排放标准》（GB9078-1996）表</w:t>
            </w:r>
            <w:r>
              <w:rPr>
                <w:rFonts w:hint="eastAsia" w:ascii="Times New Roman" w:hAnsi="Times New Roman" w:cs="Times New Roman"/>
                <w:color w:val="0000FF"/>
                <w:kern w:val="0"/>
                <w:sz w:val="24"/>
                <w:szCs w:val="24"/>
                <w:lang w:val="en-US" w:eastAsia="zh-CN"/>
              </w:rPr>
              <w:t>3</w:t>
            </w:r>
            <w:r>
              <w:rPr>
                <w:rFonts w:hint="default" w:ascii="Times New Roman" w:hAnsi="Times New Roman" w:cs="Times New Roman"/>
                <w:color w:val="0000FF"/>
                <w:kern w:val="0"/>
                <w:sz w:val="24"/>
                <w:szCs w:val="24"/>
                <w:lang w:val="en-US" w:eastAsia="zh-CN"/>
              </w:rPr>
              <w:t>-其他炉窑</w:t>
            </w:r>
            <w:r>
              <w:rPr>
                <w:rFonts w:hint="eastAsia" w:ascii="Times New Roman" w:hAnsi="Times New Roman" w:cs="Times New Roman"/>
                <w:color w:val="0000FF"/>
                <w:kern w:val="0"/>
                <w:sz w:val="24"/>
                <w:szCs w:val="24"/>
                <w:lang w:val="en-US" w:eastAsia="zh-CN"/>
              </w:rPr>
              <w:t>（有车间厂房）无组织排放烟（粉）尘最高允许浓度；</w:t>
            </w:r>
          </w:p>
          <w:p w14:paraId="75CECE20">
            <w:pPr>
              <w:pStyle w:val="77"/>
              <w:keepNext w:val="0"/>
              <w:keepLines w:val="0"/>
              <w:pageBreakBefore w:val="0"/>
              <w:widowControl w:val="0"/>
              <w:numPr>
                <w:ilvl w:val="0"/>
                <w:numId w:val="12"/>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气瓶检验站固化废气厂区内无组织排放的非甲烷总烃执行《挥发性有机物无组织排放控制标准》（GB 37822-2019）》附录A表A.1中特别排放限值要求；</w:t>
            </w:r>
          </w:p>
          <w:p w14:paraId="2B3D6EDF">
            <w:pPr>
              <w:pStyle w:val="77"/>
              <w:keepNext w:val="0"/>
              <w:keepLines w:val="0"/>
              <w:pageBreakBefore w:val="0"/>
              <w:widowControl w:val="0"/>
              <w:numPr>
                <w:ilvl w:val="0"/>
                <w:numId w:val="12"/>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气瓶检验站丝印</w:t>
            </w:r>
            <w:r>
              <w:rPr>
                <w:rFonts w:hint="eastAsia" w:cs="Times New Roman"/>
                <w:color w:val="0000FF"/>
                <w:kern w:val="0"/>
                <w:sz w:val="24"/>
                <w:szCs w:val="24"/>
                <w:lang w:val="en-US" w:eastAsia="zh-CN"/>
              </w:rPr>
              <w:t>废气</w:t>
            </w:r>
            <w:r>
              <w:rPr>
                <w:rFonts w:hint="default" w:ascii="Times New Roman" w:hAnsi="Times New Roman" w:cs="Times New Roman"/>
                <w:color w:val="0000FF"/>
                <w:kern w:val="0"/>
                <w:sz w:val="24"/>
                <w:szCs w:val="24"/>
                <w:lang w:val="en-US" w:eastAsia="zh-CN"/>
              </w:rPr>
              <w:t>厂区内无组织排放的非甲烷总烃执行《印刷工业大气污染物排放标准》（GB41616-2022）表A.1 厂区内VOCs无组织排放限值；</w:t>
            </w:r>
          </w:p>
          <w:p w14:paraId="1390EC4E">
            <w:pPr>
              <w:pStyle w:val="77"/>
              <w:keepNext w:val="0"/>
              <w:keepLines w:val="0"/>
              <w:pageBreakBefore w:val="0"/>
              <w:widowControl w:val="0"/>
              <w:numPr>
                <w:ilvl w:val="0"/>
                <w:numId w:val="12"/>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灌装站无组织执行《挥发性有机物无组织排放控制标准》（GB 37822-2019）》附录A表A.1中特别排放限值要求。</w:t>
            </w:r>
          </w:p>
          <w:p w14:paraId="07DC139E">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leftChars="0" w:firstLine="480" w:firstLineChars="200"/>
              <w:textAlignment w:val="auto"/>
              <w:rPr>
                <w:rFonts w:hint="default" w:ascii="Times New Roman" w:hAnsi="Times New Roman" w:cs="Times New Roman"/>
                <w:color w:val="0000FF"/>
                <w:kern w:val="0"/>
                <w:sz w:val="24"/>
                <w:szCs w:val="24"/>
                <w:lang w:val="en-US" w:eastAsia="zh-CN"/>
              </w:rPr>
            </w:pPr>
            <w:r>
              <w:rPr>
                <w:rFonts w:hint="default" w:ascii="Times New Roman" w:hAnsi="Times New Roman" w:cs="Times New Roman"/>
                <w:color w:val="0000FF"/>
                <w:kern w:val="0"/>
                <w:sz w:val="24"/>
                <w:szCs w:val="24"/>
                <w:lang w:val="en-US" w:eastAsia="zh-CN"/>
              </w:rPr>
              <w:t>由于《挥发性有机物无组织排放控制标准》（GB 37822-2019）》附录A表A.1中特别排放限值要求严于《印刷工业大气污染物排放标准》（GB41616-2022）表A.1 厂区内VOCs无组织排放限值，因此本项目厂区内挥发性有机物无组织排放从严执行《挥发性有机物无组织排放控制标准》（GB 37822-2019）》附录A表A.1中特别排放限值要求。</w:t>
            </w:r>
          </w:p>
          <w:p w14:paraId="0756C8D0">
            <w:pPr>
              <w:pStyle w:val="77"/>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b/>
                <w:bCs/>
                <w:color w:val="0000FF"/>
                <w:kern w:val="0"/>
                <w:sz w:val="24"/>
                <w:szCs w:val="24"/>
                <w:lang w:val="en-US" w:eastAsia="zh-CN"/>
              </w:rPr>
            </w:pPr>
            <w:r>
              <w:rPr>
                <w:rFonts w:hint="default" w:ascii="Times New Roman" w:hAnsi="Times New Roman" w:cs="Times New Roman"/>
                <w:b/>
                <w:bCs/>
                <w:color w:val="0000FF"/>
                <w:kern w:val="0"/>
                <w:sz w:val="21"/>
                <w:szCs w:val="21"/>
                <w:lang w:val="en-US" w:eastAsia="zh-CN"/>
              </w:rPr>
              <w:t xml:space="preserve">表3.5-2   </w:t>
            </w:r>
            <w:r>
              <w:rPr>
                <w:rFonts w:hint="eastAsia" w:ascii="Times New Roman" w:hAnsi="Times New Roman" w:cs="Times New Roman"/>
                <w:b/>
                <w:bCs/>
                <w:color w:val="0000FF"/>
                <w:kern w:val="0"/>
                <w:sz w:val="21"/>
                <w:szCs w:val="21"/>
                <w:lang w:val="en-US" w:eastAsia="zh-CN"/>
              </w:rPr>
              <w:t>有组织废气排放标准</w:t>
            </w:r>
            <w:r>
              <w:rPr>
                <w:rFonts w:hint="default" w:ascii="Times New Roman" w:hAnsi="Times New Roman" w:cs="Times New Roman"/>
                <w:b/>
                <w:bCs/>
                <w:color w:val="0000FF"/>
                <w:kern w:val="0"/>
                <w:sz w:val="21"/>
                <w:szCs w:val="21"/>
                <w:lang w:val="en-US" w:eastAsia="zh-CN"/>
              </w:rPr>
              <w:t>（摘录）</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5"/>
              <w:gridCol w:w="872"/>
              <w:gridCol w:w="2696"/>
              <w:gridCol w:w="1372"/>
              <w:gridCol w:w="1187"/>
              <w:gridCol w:w="948"/>
            </w:tblGrid>
            <w:tr w14:paraId="076D5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14:paraId="17A71BC0">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排气筒编号</w:t>
                  </w:r>
                </w:p>
              </w:tc>
              <w:tc>
                <w:tcPr>
                  <w:tcW w:w="0" w:type="auto"/>
                  <w:vAlign w:val="center"/>
                </w:tcPr>
                <w:p w14:paraId="5E6FC0B8">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污染物</w:t>
                  </w:r>
                </w:p>
              </w:tc>
              <w:tc>
                <w:tcPr>
                  <w:tcW w:w="0" w:type="auto"/>
                  <w:vAlign w:val="center"/>
                </w:tcPr>
                <w:p w14:paraId="0A185412">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执行标准</w:t>
                  </w:r>
                </w:p>
              </w:tc>
              <w:tc>
                <w:tcPr>
                  <w:tcW w:w="0" w:type="auto"/>
                  <w:vAlign w:val="center"/>
                </w:tcPr>
                <w:p w14:paraId="3D9AA4AF">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排放浓度限值</w:t>
                  </w:r>
                  <w:r>
                    <w:rPr>
                      <w:rFonts w:hint="default" w:ascii="Times New Roman" w:hAnsi="Times New Roman" w:cs="Times New Roman"/>
                      <w:color w:val="0000FF"/>
                      <w:sz w:val="21"/>
                      <w:szCs w:val="21"/>
                      <w:vertAlign w:val="baseline"/>
                      <w:lang w:val="en-US" w:eastAsia="zh-CN"/>
                    </w:rPr>
                    <w:t>（</w:t>
                  </w:r>
                  <w:r>
                    <w:rPr>
                      <w:rFonts w:hint="default" w:ascii="Times New Roman" w:hAnsi="Times New Roman" w:cs="Times New Roman"/>
                      <w:color w:val="0000FF"/>
                      <w:sz w:val="21"/>
                      <w:szCs w:val="21"/>
                      <w:lang w:val="en-US" w:eastAsia="zh-CN"/>
                    </w:rPr>
                    <w:t>mg/m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vertAlign w:val="baseline"/>
                      <w:lang w:val="en-US" w:eastAsia="zh-CN"/>
                    </w:rPr>
                    <w:t>）</w:t>
                  </w:r>
                </w:p>
              </w:tc>
              <w:tc>
                <w:tcPr>
                  <w:tcW w:w="0" w:type="auto"/>
                  <w:vAlign w:val="center"/>
                </w:tcPr>
                <w:p w14:paraId="6E5A070F">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排放速率限值</w:t>
                  </w:r>
                  <w:r>
                    <w:rPr>
                      <w:rFonts w:hint="default" w:ascii="Times New Roman" w:hAnsi="Times New Roman" w:cs="Times New Roman"/>
                      <w:color w:val="0000FF"/>
                      <w:sz w:val="21"/>
                      <w:szCs w:val="21"/>
                      <w:vertAlign w:val="baseline"/>
                      <w:lang w:val="en-US" w:eastAsia="zh-CN"/>
                    </w:rPr>
                    <w:t>（kg/h）</w:t>
                  </w:r>
                </w:p>
              </w:tc>
              <w:tc>
                <w:tcPr>
                  <w:tcW w:w="0" w:type="auto"/>
                  <w:vAlign w:val="center"/>
                </w:tcPr>
                <w:p w14:paraId="6919DB1C">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排气筒高度（m）</w:t>
                  </w:r>
                </w:p>
              </w:tc>
            </w:tr>
            <w:tr w14:paraId="0948F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restart"/>
                  <w:vAlign w:val="center"/>
                </w:tcPr>
                <w:p w14:paraId="5C80F7F2">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DA001</w:t>
                  </w:r>
                </w:p>
              </w:tc>
              <w:tc>
                <w:tcPr>
                  <w:tcW w:w="0" w:type="auto"/>
                  <w:vAlign w:val="center"/>
                </w:tcPr>
                <w:p w14:paraId="48DCA0FE">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颗粒物</w:t>
                  </w:r>
                </w:p>
              </w:tc>
              <w:tc>
                <w:tcPr>
                  <w:tcW w:w="0" w:type="auto"/>
                  <w:vAlign w:val="center"/>
                </w:tcPr>
                <w:p w14:paraId="7432607C">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kern w:val="0"/>
                      <w:sz w:val="21"/>
                      <w:szCs w:val="21"/>
                      <w:vertAlign w:val="baseline"/>
                      <w:lang w:val="en-US" w:eastAsia="zh-CN"/>
                    </w:rPr>
                    <w:t>《大气污染物综合排放标准》（GB16297-1996）表2二级排放标准（染料尘）</w:t>
                  </w:r>
                </w:p>
              </w:tc>
              <w:tc>
                <w:tcPr>
                  <w:tcW w:w="0" w:type="auto"/>
                  <w:vAlign w:val="center"/>
                </w:tcPr>
                <w:p w14:paraId="46572518">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18</w:t>
                  </w:r>
                </w:p>
              </w:tc>
              <w:tc>
                <w:tcPr>
                  <w:tcW w:w="0" w:type="auto"/>
                  <w:vAlign w:val="center"/>
                </w:tcPr>
                <w:p w14:paraId="60944D7B">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0.51</w:t>
                  </w:r>
                </w:p>
              </w:tc>
              <w:tc>
                <w:tcPr>
                  <w:tcW w:w="0" w:type="auto"/>
                  <w:vAlign w:val="center"/>
                </w:tcPr>
                <w:p w14:paraId="1204A834">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15</w:t>
                  </w:r>
                </w:p>
              </w:tc>
            </w:tr>
            <w:tr w14:paraId="01639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49ABF6D8">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p>
              </w:tc>
              <w:tc>
                <w:tcPr>
                  <w:tcW w:w="0" w:type="auto"/>
                  <w:vAlign w:val="center"/>
                </w:tcPr>
                <w:p w14:paraId="1C2F6F1A">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二氧化硫</w:t>
                  </w:r>
                </w:p>
              </w:tc>
              <w:tc>
                <w:tcPr>
                  <w:tcW w:w="0" w:type="auto"/>
                  <w:vMerge w:val="restart"/>
                  <w:vAlign w:val="center"/>
                </w:tcPr>
                <w:p w14:paraId="03DBA5BF">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kern w:val="0"/>
                      <w:sz w:val="21"/>
                      <w:szCs w:val="21"/>
                      <w:vertAlign w:val="baseline"/>
                      <w:lang w:val="en-US" w:eastAsia="zh-CN"/>
                    </w:rPr>
                    <w:t>大气污染物综合排放标准》（GB16297-1996）表2二级排放标准</w:t>
                  </w:r>
                </w:p>
              </w:tc>
              <w:tc>
                <w:tcPr>
                  <w:tcW w:w="0" w:type="auto"/>
                  <w:vAlign w:val="center"/>
                </w:tcPr>
                <w:p w14:paraId="67CE4009">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550</w:t>
                  </w:r>
                </w:p>
              </w:tc>
              <w:tc>
                <w:tcPr>
                  <w:tcW w:w="0" w:type="auto"/>
                  <w:vAlign w:val="center"/>
                </w:tcPr>
                <w:p w14:paraId="0CE1BD7A">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2.6</w:t>
                  </w:r>
                </w:p>
              </w:tc>
              <w:tc>
                <w:tcPr>
                  <w:tcW w:w="0" w:type="auto"/>
                  <w:vAlign w:val="center"/>
                </w:tcPr>
                <w:p w14:paraId="58EB20B2">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15</w:t>
                  </w:r>
                </w:p>
              </w:tc>
            </w:tr>
            <w:tr w14:paraId="700F7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6F0213F2">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p>
              </w:tc>
              <w:tc>
                <w:tcPr>
                  <w:tcW w:w="0" w:type="auto"/>
                  <w:vAlign w:val="center"/>
                </w:tcPr>
                <w:p w14:paraId="1F72900F">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氮氧化物</w:t>
                  </w:r>
                </w:p>
              </w:tc>
              <w:tc>
                <w:tcPr>
                  <w:tcW w:w="0" w:type="auto"/>
                  <w:vMerge w:val="continue"/>
                  <w:vAlign w:val="center"/>
                </w:tcPr>
                <w:p w14:paraId="4536F484">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p>
              </w:tc>
              <w:tc>
                <w:tcPr>
                  <w:tcW w:w="0" w:type="auto"/>
                  <w:vAlign w:val="center"/>
                </w:tcPr>
                <w:p w14:paraId="0A631944">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240</w:t>
                  </w:r>
                </w:p>
              </w:tc>
              <w:tc>
                <w:tcPr>
                  <w:tcW w:w="0" w:type="auto"/>
                  <w:vAlign w:val="center"/>
                </w:tcPr>
                <w:p w14:paraId="7D1466E0">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0.77</w:t>
                  </w:r>
                </w:p>
              </w:tc>
              <w:tc>
                <w:tcPr>
                  <w:tcW w:w="0" w:type="auto"/>
                  <w:vAlign w:val="center"/>
                </w:tcPr>
                <w:p w14:paraId="0E7EAB31">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15</w:t>
                  </w:r>
                </w:p>
              </w:tc>
            </w:tr>
            <w:tr w14:paraId="6E4EE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55C30370">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p>
              </w:tc>
              <w:tc>
                <w:tcPr>
                  <w:tcW w:w="0" w:type="auto"/>
                  <w:vAlign w:val="center"/>
                </w:tcPr>
                <w:p w14:paraId="00FFA37F">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eastAsia" w:cs="Times New Roman"/>
                      <w:color w:val="0000FF"/>
                      <w:kern w:val="0"/>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烟气黑度（林格曼级）</w:t>
                  </w:r>
                </w:p>
              </w:tc>
              <w:tc>
                <w:tcPr>
                  <w:tcW w:w="0" w:type="auto"/>
                  <w:vAlign w:val="center"/>
                </w:tcPr>
                <w:p w14:paraId="4829B5DE">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kern w:val="0"/>
                      <w:sz w:val="21"/>
                      <w:szCs w:val="21"/>
                      <w:vertAlign w:val="baseline"/>
                      <w:lang w:val="en-US" w:eastAsia="zh-CN"/>
                    </w:rPr>
                    <w:t>《工业炉窑大气污染物排放标准》（GB9078-1996）</w:t>
                  </w:r>
                  <w:r>
                    <w:rPr>
                      <w:rFonts w:hint="eastAsia" w:cs="Times New Roman"/>
                      <w:color w:val="0000FF"/>
                      <w:kern w:val="0"/>
                      <w:sz w:val="21"/>
                      <w:szCs w:val="21"/>
                      <w:vertAlign w:val="baseline"/>
                      <w:lang w:val="en-US" w:eastAsia="zh-CN"/>
                    </w:rPr>
                    <w:t>（其他炉窑）</w:t>
                  </w:r>
                </w:p>
              </w:tc>
              <w:tc>
                <w:tcPr>
                  <w:tcW w:w="0" w:type="auto"/>
                  <w:vAlign w:val="center"/>
                </w:tcPr>
                <w:p w14:paraId="6ACEF74F">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eastAsia" w:cs="Times New Roman"/>
                      <w:color w:val="0000FF"/>
                      <w:kern w:val="0"/>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1（无量纲）</w:t>
                  </w:r>
                </w:p>
              </w:tc>
              <w:tc>
                <w:tcPr>
                  <w:tcW w:w="0" w:type="auto"/>
                  <w:vAlign w:val="center"/>
                </w:tcPr>
                <w:p w14:paraId="68A02B9B">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w:t>
                  </w:r>
                </w:p>
              </w:tc>
              <w:tc>
                <w:tcPr>
                  <w:tcW w:w="0" w:type="auto"/>
                  <w:vAlign w:val="center"/>
                </w:tcPr>
                <w:p w14:paraId="05F64023">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15</w:t>
                  </w:r>
                </w:p>
              </w:tc>
            </w:tr>
            <w:tr w14:paraId="2B046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Merge w:val="continue"/>
                  <w:vAlign w:val="center"/>
                </w:tcPr>
                <w:p w14:paraId="5074FC0E">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p>
              </w:tc>
              <w:tc>
                <w:tcPr>
                  <w:tcW w:w="0" w:type="auto"/>
                  <w:vAlign w:val="center"/>
                </w:tcPr>
                <w:p w14:paraId="41144A15">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非甲烷总烃</w:t>
                  </w:r>
                </w:p>
              </w:tc>
              <w:tc>
                <w:tcPr>
                  <w:tcW w:w="0" w:type="auto"/>
                  <w:vAlign w:val="center"/>
                </w:tcPr>
                <w:p w14:paraId="4FEF28FE">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kern w:val="0"/>
                      <w:sz w:val="21"/>
                      <w:szCs w:val="21"/>
                      <w:vertAlign w:val="baseline"/>
                      <w:lang w:val="en-US" w:eastAsia="zh-CN"/>
                    </w:rPr>
                    <w:t>《印刷工业大气污染物排放标准》（GB41616-2022）表1</w:t>
                  </w:r>
                  <w:r>
                    <w:rPr>
                      <w:rFonts w:hint="eastAsia" w:cs="Times New Roman"/>
                      <w:color w:val="0000FF"/>
                      <w:kern w:val="0"/>
                      <w:sz w:val="21"/>
                      <w:szCs w:val="21"/>
                      <w:vertAlign w:val="baseline"/>
                      <w:lang w:val="en-US" w:eastAsia="zh-CN"/>
                    </w:rPr>
                    <w:t>排放限值</w:t>
                  </w:r>
                </w:p>
              </w:tc>
              <w:tc>
                <w:tcPr>
                  <w:tcW w:w="0" w:type="auto"/>
                  <w:vAlign w:val="center"/>
                </w:tcPr>
                <w:p w14:paraId="2D11DF1E">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70</w:t>
                  </w:r>
                </w:p>
              </w:tc>
              <w:tc>
                <w:tcPr>
                  <w:tcW w:w="0" w:type="auto"/>
                  <w:vAlign w:val="center"/>
                </w:tcPr>
                <w:p w14:paraId="729EEC84">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w:t>
                  </w:r>
                </w:p>
              </w:tc>
              <w:tc>
                <w:tcPr>
                  <w:tcW w:w="0" w:type="auto"/>
                  <w:vAlign w:val="center"/>
                </w:tcPr>
                <w:p w14:paraId="25F845CA">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cs="Times New Roman"/>
                      <w:color w:val="0000FF"/>
                      <w:kern w:val="0"/>
                      <w:sz w:val="21"/>
                      <w:szCs w:val="21"/>
                      <w:vertAlign w:val="baseline"/>
                      <w:lang w:val="en-US" w:eastAsia="zh-CN"/>
                    </w:rPr>
                  </w:pPr>
                  <w:r>
                    <w:rPr>
                      <w:rFonts w:hint="eastAsia" w:cs="Times New Roman"/>
                      <w:color w:val="0000FF"/>
                      <w:kern w:val="0"/>
                      <w:sz w:val="21"/>
                      <w:szCs w:val="21"/>
                      <w:vertAlign w:val="baseline"/>
                      <w:lang w:val="en-US" w:eastAsia="zh-CN"/>
                    </w:rPr>
                    <w:t>15</w:t>
                  </w:r>
                </w:p>
              </w:tc>
            </w:tr>
          </w:tbl>
          <w:p w14:paraId="185E7F67">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0000FF"/>
                <w:kern w:val="0"/>
                <w:sz w:val="24"/>
                <w:szCs w:val="24"/>
                <w:lang w:val="en-US" w:eastAsia="zh-CN"/>
              </w:rPr>
            </w:pPr>
          </w:p>
          <w:p w14:paraId="74A15923">
            <w:pPr>
              <w:pStyle w:val="77"/>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b/>
                <w:bCs/>
                <w:color w:val="0000FF"/>
                <w:kern w:val="0"/>
                <w:sz w:val="21"/>
                <w:szCs w:val="21"/>
                <w:lang w:val="en-US" w:eastAsia="zh-CN"/>
              </w:rPr>
            </w:pPr>
            <w:r>
              <w:rPr>
                <w:rFonts w:hint="default" w:ascii="Times New Roman" w:hAnsi="Times New Roman" w:cs="Times New Roman"/>
                <w:b/>
                <w:bCs/>
                <w:color w:val="0000FF"/>
                <w:kern w:val="0"/>
                <w:sz w:val="21"/>
                <w:szCs w:val="21"/>
                <w:lang w:val="en-US" w:eastAsia="zh-CN"/>
              </w:rPr>
              <w:t xml:space="preserve">表3.5-3   </w:t>
            </w:r>
            <w:r>
              <w:rPr>
                <w:rFonts w:hint="eastAsia" w:cs="Times New Roman"/>
                <w:b/>
                <w:bCs/>
                <w:color w:val="0000FF"/>
                <w:kern w:val="0"/>
                <w:sz w:val="21"/>
                <w:szCs w:val="21"/>
                <w:lang w:val="en-US" w:eastAsia="zh-CN"/>
              </w:rPr>
              <w:t>厂界无组织废气排放标准</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5"/>
              <w:gridCol w:w="2482"/>
              <w:gridCol w:w="2267"/>
              <w:gridCol w:w="1843"/>
            </w:tblGrid>
            <w:tr w14:paraId="2205E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63" w:type="pct"/>
                  <w:vAlign w:val="center"/>
                </w:tcPr>
                <w:p w14:paraId="6D36D799">
                  <w:pPr>
                    <w:pStyle w:val="40"/>
                    <w:bidi w:val="0"/>
                    <w:jc w:val="center"/>
                    <w:rPr>
                      <w:rFonts w:hint="default"/>
                      <w:color w:val="0000FF"/>
                      <w:lang w:val="en-US" w:eastAsia="zh-CN"/>
                    </w:rPr>
                  </w:pPr>
                  <w:r>
                    <w:rPr>
                      <w:rFonts w:hint="eastAsia"/>
                      <w:color w:val="0000FF"/>
                      <w:lang w:val="en-US" w:eastAsia="zh-CN"/>
                    </w:rPr>
                    <w:t>污染物</w:t>
                  </w:r>
                </w:p>
              </w:tc>
              <w:tc>
                <w:tcPr>
                  <w:tcW w:w="1557" w:type="pct"/>
                  <w:vAlign w:val="center"/>
                </w:tcPr>
                <w:p w14:paraId="149B11B5">
                  <w:pPr>
                    <w:pStyle w:val="40"/>
                    <w:bidi w:val="0"/>
                    <w:jc w:val="center"/>
                    <w:rPr>
                      <w:rFonts w:hint="default"/>
                      <w:color w:val="0000FF"/>
                      <w:lang w:val="en-US" w:eastAsia="zh-CN"/>
                    </w:rPr>
                  </w:pPr>
                  <w:r>
                    <w:rPr>
                      <w:rFonts w:hint="eastAsia"/>
                      <w:color w:val="0000FF"/>
                      <w:lang w:val="en-US" w:eastAsia="zh-CN"/>
                    </w:rPr>
                    <w:t>执行标准</w:t>
                  </w:r>
                </w:p>
              </w:tc>
              <w:tc>
                <w:tcPr>
                  <w:tcW w:w="1422" w:type="pct"/>
                  <w:vAlign w:val="center"/>
                </w:tcPr>
                <w:p w14:paraId="5EA8812C">
                  <w:pPr>
                    <w:pStyle w:val="40"/>
                    <w:bidi w:val="0"/>
                    <w:jc w:val="center"/>
                    <w:rPr>
                      <w:rFonts w:hint="default"/>
                      <w:color w:val="0000FF"/>
                      <w:lang w:val="en-US" w:eastAsia="zh-CN"/>
                    </w:rPr>
                  </w:pPr>
                  <w:r>
                    <w:rPr>
                      <w:rFonts w:hint="eastAsia"/>
                      <w:color w:val="0000FF"/>
                      <w:lang w:val="en-US" w:eastAsia="zh-CN"/>
                    </w:rPr>
                    <w:t>排放限值</w:t>
                  </w:r>
                  <w:r>
                    <w:rPr>
                      <w:rFonts w:hint="default" w:ascii="Times New Roman" w:hAnsi="Times New Roman" w:cs="Times New Roman"/>
                      <w:color w:val="0000FF"/>
                      <w:sz w:val="21"/>
                      <w:szCs w:val="21"/>
                      <w:vertAlign w:val="baseline"/>
                      <w:lang w:val="en-US" w:eastAsia="zh-CN"/>
                    </w:rPr>
                    <w:t>（</w:t>
                  </w:r>
                  <w:r>
                    <w:rPr>
                      <w:rFonts w:hint="default" w:ascii="Times New Roman" w:hAnsi="Times New Roman" w:cs="Times New Roman"/>
                      <w:color w:val="0000FF"/>
                      <w:sz w:val="21"/>
                      <w:szCs w:val="21"/>
                      <w:lang w:val="en-US" w:eastAsia="zh-CN"/>
                    </w:rPr>
                    <w:t>mg/m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vertAlign w:val="baseline"/>
                      <w:lang w:val="en-US" w:eastAsia="zh-CN"/>
                    </w:rPr>
                    <w:t>）</w:t>
                  </w:r>
                </w:p>
              </w:tc>
              <w:tc>
                <w:tcPr>
                  <w:tcW w:w="1156" w:type="pct"/>
                  <w:vAlign w:val="center"/>
                </w:tcPr>
                <w:p w14:paraId="73709CF7">
                  <w:pPr>
                    <w:pStyle w:val="40"/>
                    <w:bidi w:val="0"/>
                    <w:jc w:val="center"/>
                    <w:rPr>
                      <w:rFonts w:hint="default"/>
                      <w:color w:val="0000FF"/>
                      <w:lang w:val="en-US" w:eastAsia="zh-CN"/>
                    </w:rPr>
                  </w:pPr>
                  <w:r>
                    <w:rPr>
                      <w:rFonts w:hint="eastAsia"/>
                      <w:color w:val="0000FF"/>
                      <w:lang w:val="en-US" w:eastAsia="zh-CN"/>
                    </w:rPr>
                    <w:t>监控点位置</w:t>
                  </w:r>
                </w:p>
              </w:tc>
            </w:tr>
            <w:tr w14:paraId="5735E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pct"/>
                  <w:vAlign w:val="center"/>
                </w:tcPr>
                <w:p w14:paraId="7DABCCE4">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ascii="Times New Roman" w:hAnsi="Times New Roman" w:cs="Times New Roman"/>
                      <w:color w:val="0000FF"/>
                      <w:kern w:val="0"/>
                      <w:sz w:val="21"/>
                      <w:szCs w:val="21"/>
                      <w:vertAlign w:val="baseline"/>
                      <w:lang w:val="en-US" w:eastAsia="zh-CN"/>
                    </w:rPr>
                    <w:t>非甲烷总烃</w:t>
                  </w:r>
                </w:p>
              </w:tc>
              <w:tc>
                <w:tcPr>
                  <w:tcW w:w="1557" w:type="pct"/>
                  <w:vAlign w:val="center"/>
                </w:tcPr>
                <w:p w14:paraId="32E3AFF0">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kern w:val="0"/>
                      <w:sz w:val="21"/>
                      <w:szCs w:val="21"/>
                      <w:vertAlign w:val="baseline"/>
                      <w:lang w:val="en-US" w:eastAsia="zh-CN"/>
                    </w:rPr>
                    <w:t>大气污染物综合排放标准》（GB 16297-1996）中表2无组织排放浓度限值</w:t>
                  </w:r>
                </w:p>
              </w:tc>
              <w:tc>
                <w:tcPr>
                  <w:tcW w:w="1422" w:type="pct"/>
                  <w:vAlign w:val="center"/>
                </w:tcPr>
                <w:p w14:paraId="2DE192FE">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ascii="Times New Roman" w:hAnsi="Times New Roman" w:cs="Times New Roman"/>
                      <w:color w:val="0000FF"/>
                      <w:kern w:val="0"/>
                      <w:sz w:val="21"/>
                      <w:szCs w:val="21"/>
                      <w:vertAlign w:val="baseline"/>
                      <w:lang w:val="en-US" w:eastAsia="zh-CN"/>
                    </w:rPr>
                    <w:t>4.0</w:t>
                  </w:r>
                </w:p>
              </w:tc>
              <w:tc>
                <w:tcPr>
                  <w:tcW w:w="1156" w:type="pct"/>
                  <w:vAlign w:val="center"/>
                </w:tcPr>
                <w:p w14:paraId="16647ABD">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sz w:val="21"/>
                      <w:szCs w:val="21"/>
                      <w:vertAlign w:val="baseline"/>
                      <w:lang w:val="en-US" w:eastAsia="zh-CN"/>
                    </w:rPr>
                    <w:t>周界外浓度最高点</w:t>
                  </w:r>
                </w:p>
              </w:tc>
            </w:tr>
            <w:tr w14:paraId="5A8CC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863" w:type="pct"/>
                  <w:vMerge w:val="restart"/>
                  <w:vAlign w:val="center"/>
                </w:tcPr>
                <w:p w14:paraId="1C60CB00">
                  <w:pPr>
                    <w:pStyle w:val="40"/>
                    <w:bidi w:val="0"/>
                    <w:jc w:val="center"/>
                    <w:rPr>
                      <w:rFonts w:hint="default"/>
                      <w:color w:val="0000FF"/>
                      <w:lang w:val="en-US" w:eastAsia="zh-CN"/>
                    </w:rPr>
                  </w:pPr>
                  <w:r>
                    <w:rPr>
                      <w:rFonts w:hint="eastAsia"/>
                      <w:color w:val="0000FF"/>
                      <w:lang w:val="en-US" w:eastAsia="zh-CN"/>
                    </w:rPr>
                    <w:t>颗粒物</w:t>
                  </w:r>
                </w:p>
              </w:tc>
              <w:tc>
                <w:tcPr>
                  <w:tcW w:w="1557" w:type="pct"/>
                  <w:vMerge w:val="restart"/>
                  <w:vAlign w:val="center"/>
                </w:tcPr>
                <w:p w14:paraId="7259217C">
                  <w:pPr>
                    <w:pStyle w:val="40"/>
                    <w:bidi w:val="0"/>
                    <w:jc w:val="center"/>
                    <w:rPr>
                      <w:rFonts w:hint="default"/>
                      <w:color w:val="0000FF"/>
                      <w:lang w:val="en-US" w:eastAsia="zh-CN"/>
                    </w:rPr>
                  </w:pPr>
                  <w:r>
                    <w:rPr>
                      <w:rFonts w:hint="default"/>
                      <w:color w:val="0000FF"/>
                      <w:lang w:val="en-US" w:eastAsia="zh-CN"/>
                    </w:rPr>
                    <w:t>《大气污染物综合排放标准》（GB 16297-1996）中表2无组织排放浓度限值</w:t>
                  </w:r>
                </w:p>
              </w:tc>
              <w:tc>
                <w:tcPr>
                  <w:tcW w:w="1422" w:type="pct"/>
                  <w:vAlign w:val="center"/>
                </w:tcPr>
                <w:p w14:paraId="475EFFA4">
                  <w:pPr>
                    <w:pStyle w:val="40"/>
                    <w:bidi w:val="0"/>
                    <w:jc w:val="center"/>
                    <w:rPr>
                      <w:rFonts w:hint="default"/>
                      <w:color w:val="0000FF"/>
                      <w:lang w:val="en-US" w:eastAsia="zh-CN"/>
                    </w:rPr>
                  </w:pPr>
                  <w:r>
                    <w:rPr>
                      <w:rFonts w:hint="eastAsia"/>
                      <w:color w:val="0000FF"/>
                      <w:lang w:val="en-US" w:eastAsia="zh-CN"/>
                    </w:rPr>
                    <w:t>肉眼不可见（染料尘）</w:t>
                  </w:r>
                </w:p>
              </w:tc>
              <w:tc>
                <w:tcPr>
                  <w:tcW w:w="1156" w:type="pct"/>
                  <w:vMerge w:val="restart"/>
                  <w:vAlign w:val="center"/>
                </w:tcPr>
                <w:p w14:paraId="342B9898">
                  <w:pPr>
                    <w:pStyle w:val="40"/>
                    <w:bidi w:val="0"/>
                    <w:jc w:val="center"/>
                    <w:rPr>
                      <w:rFonts w:hint="default"/>
                      <w:color w:val="0000FF"/>
                      <w:lang w:val="en-US" w:eastAsia="zh-CN"/>
                    </w:rPr>
                  </w:pPr>
                  <w:r>
                    <w:rPr>
                      <w:rFonts w:hint="default" w:ascii="Times New Roman" w:hAnsi="Times New Roman" w:cs="Times New Roman"/>
                      <w:color w:val="0000FF"/>
                      <w:sz w:val="21"/>
                      <w:szCs w:val="21"/>
                      <w:vertAlign w:val="baseline"/>
                      <w:lang w:val="en-US" w:eastAsia="zh-CN"/>
                    </w:rPr>
                    <w:t>周界外浓度最高点</w:t>
                  </w:r>
                </w:p>
              </w:tc>
            </w:tr>
            <w:tr w14:paraId="11411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863" w:type="pct"/>
                  <w:vMerge w:val="continue"/>
                  <w:vAlign w:val="center"/>
                </w:tcPr>
                <w:p w14:paraId="00472A6F">
                  <w:pPr>
                    <w:pStyle w:val="40"/>
                    <w:bidi w:val="0"/>
                    <w:jc w:val="center"/>
                    <w:rPr>
                      <w:color w:val="0000FF"/>
                    </w:rPr>
                  </w:pPr>
                </w:p>
              </w:tc>
              <w:tc>
                <w:tcPr>
                  <w:tcW w:w="1557" w:type="pct"/>
                  <w:vMerge w:val="continue"/>
                  <w:vAlign w:val="center"/>
                </w:tcPr>
                <w:p w14:paraId="4208FEDC">
                  <w:pPr>
                    <w:pStyle w:val="40"/>
                    <w:bidi w:val="0"/>
                    <w:jc w:val="center"/>
                    <w:rPr>
                      <w:color w:val="0000FF"/>
                    </w:rPr>
                  </w:pPr>
                </w:p>
              </w:tc>
              <w:tc>
                <w:tcPr>
                  <w:tcW w:w="1422" w:type="pct"/>
                  <w:vAlign w:val="center"/>
                </w:tcPr>
                <w:p w14:paraId="3E3E0E1E">
                  <w:pPr>
                    <w:pStyle w:val="40"/>
                    <w:bidi w:val="0"/>
                    <w:jc w:val="center"/>
                    <w:rPr>
                      <w:rFonts w:hint="default"/>
                      <w:color w:val="0000FF"/>
                      <w:lang w:val="en-US" w:eastAsia="zh-CN"/>
                    </w:rPr>
                  </w:pPr>
                  <w:r>
                    <w:rPr>
                      <w:rFonts w:hint="eastAsia"/>
                      <w:color w:val="0000FF"/>
                      <w:lang w:val="en-US" w:eastAsia="zh-CN"/>
                    </w:rPr>
                    <w:t>1.0（其他）</w:t>
                  </w:r>
                </w:p>
              </w:tc>
              <w:tc>
                <w:tcPr>
                  <w:tcW w:w="1156" w:type="pct"/>
                  <w:vMerge w:val="continue"/>
                  <w:vAlign w:val="center"/>
                </w:tcPr>
                <w:p w14:paraId="7BE11A28">
                  <w:pPr>
                    <w:pStyle w:val="40"/>
                    <w:bidi w:val="0"/>
                    <w:jc w:val="center"/>
                    <w:rPr>
                      <w:rFonts w:hint="eastAsia"/>
                      <w:color w:val="0000FF"/>
                      <w:lang w:val="en-US" w:eastAsia="zh-CN"/>
                    </w:rPr>
                  </w:pPr>
                </w:p>
              </w:tc>
            </w:tr>
            <w:tr w14:paraId="65468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pct"/>
                  <w:vAlign w:val="center"/>
                </w:tcPr>
                <w:p w14:paraId="56213E63">
                  <w:pPr>
                    <w:pStyle w:val="40"/>
                    <w:bidi w:val="0"/>
                    <w:jc w:val="center"/>
                    <w:rPr>
                      <w:rFonts w:hint="default"/>
                      <w:color w:val="0000FF"/>
                      <w:lang w:val="en-US" w:eastAsia="zh-CN"/>
                    </w:rPr>
                  </w:pPr>
                  <w:r>
                    <w:rPr>
                      <w:rFonts w:hint="eastAsia"/>
                      <w:color w:val="0000FF"/>
                      <w:lang w:val="en-US" w:eastAsia="zh-CN"/>
                    </w:rPr>
                    <w:t>臭气浓度</w:t>
                  </w:r>
                </w:p>
              </w:tc>
              <w:tc>
                <w:tcPr>
                  <w:tcW w:w="1557" w:type="pct"/>
                  <w:vAlign w:val="center"/>
                </w:tcPr>
                <w:p w14:paraId="06681EFF">
                  <w:pPr>
                    <w:pStyle w:val="40"/>
                    <w:bidi w:val="0"/>
                    <w:jc w:val="center"/>
                    <w:rPr>
                      <w:rFonts w:hint="default"/>
                      <w:color w:val="0000FF"/>
                      <w:lang w:val="en-US" w:eastAsia="zh-CN"/>
                    </w:rPr>
                  </w:pPr>
                  <w:r>
                    <w:rPr>
                      <w:rFonts w:hint="default"/>
                      <w:color w:val="0000FF"/>
                      <w:lang w:val="en-US" w:eastAsia="zh-CN"/>
                    </w:rPr>
                    <w:t>《恶臭污染物排放标准》(GB14554-93)恶臭污染物表1中的恶臭污染物厂界标准</w:t>
                  </w:r>
                </w:p>
              </w:tc>
              <w:tc>
                <w:tcPr>
                  <w:tcW w:w="1422" w:type="pct"/>
                  <w:vAlign w:val="center"/>
                </w:tcPr>
                <w:p w14:paraId="6B5AC695">
                  <w:pPr>
                    <w:pStyle w:val="40"/>
                    <w:bidi w:val="0"/>
                    <w:jc w:val="center"/>
                    <w:rPr>
                      <w:rFonts w:hint="default"/>
                      <w:color w:val="0000FF"/>
                      <w:lang w:val="en-US" w:eastAsia="zh-CN"/>
                    </w:rPr>
                  </w:pPr>
                  <w:r>
                    <w:rPr>
                      <w:rFonts w:hint="eastAsia"/>
                      <w:color w:val="0000FF"/>
                      <w:lang w:val="en-US" w:eastAsia="zh-CN"/>
                    </w:rPr>
                    <w:t>20（无量纲）</w:t>
                  </w:r>
                </w:p>
              </w:tc>
              <w:tc>
                <w:tcPr>
                  <w:tcW w:w="1156" w:type="pct"/>
                  <w:vAlign w:val="center"/>
                </w:tcPr>
                <w:p w14:paraId="2EB3D640">
                  <w:pPr>
                    <w:pStyle w:val="40"/>
                    <w:bidi w:val="0"/>
                    <w:jc w:val="center"/>
                    <w:rPr>
                      <w:rFonts w:hint="default"/>
                      <w:color w:val="0000FF"/>
                      <w:lang w:val="en-US" w:eastAsia="zh-CN"/>
                    </w:rPr>
                  </w:pPr>
                  <w:r>
                    <w:rPr>
                      <w:rFonts w:hint="eastAsia"/>
                      <w:color w:val="0000FF"/>
                      <w:lang w:val="en-US" w:eastAsia="zh-CN"/>
                    </w:rPr>
                    <w:t>厂界下风向侧或有臭气方位的边界线</w:t>
                  </w:r>
                </w:p>
              </w:tc>
            </w:tr>
          </w:tbl>
          <w:p w14:paraId="28326144">
            <w:pPr>
              <w:pStyle w:val="77"/>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b/>
                <w:bCs/>
                <w:color w:val="0000FF"/>
                <w:kern w:val="0"/>
                <w:sz w:val="21"/>
                <w:szCs w:val="21"/>
                <w:lang w:val="en-US" w:eastAsia="zh-CN"/>
              </w:rPr>
            </w:pPr>
            <w:r>
              <w:rPr>
                <w:rFonts w:hint="default" w:ascii="Times New Roman" w:hAnsi="Times New Roman" w:cs="Times New Roman"/>
                <w:b/>
                <w:bCs/>
                <w:color w:val="0000FF"/>
                <w:kern w:val="0"/>
                <w:sz w:val="21"/>
                <w:szCs w:val="21"/>
                <w:lang w:val="en-US" w:eastAsia="zh-CN"/>
              </w:rPr>
              <w:t>表3.5-</w:t>
            </w:r>
            <w:r>
              <w:rPr>
                <w:rFonts w:hint="eastAsia" w:ascii="Times New Roman" w:hAnsi="Times New Roman" w:cs="Times New Roman"/>
                <w:b/>
                <w:bCs/>
                <w:color w:val="0000FF"/>
                <w:kern w:val="0"/>
                <w:sz w:val="21"/>
                <w:szCs w:val="21"/>
                <w:lang w:val="en-US" w:eastAsia="zh-CN"/>
              </w:rPr>
              <w:t>4</w:t>
            </w:r>
            <w:r>
              <w:rPr>
                <w:rFonts w:hint="default" w:ascii="Times New Roman" w:hAnsi="Times New Roman" w:cs="Times New Roman"/>
                <w:b/>
                <w:bCs/>
                <w:color w:val="0000FF"/>
                <w:kern w:val="0"/>
                <w:sz w:val="21"/>
                <w:szCs w:val="21"/>
                <w:lang w:val="en-US" w:eastAsia="zh-CN"/>
              </w:rPr>
              <w:t xml:space="preserve">   </w:t>
            </w:r>
            <w:r>
              <w:rPr>
                <w:rFonts w:hint="eastAsia" w:ascii="Times New Roman" w:hAnsi="Times New Roman" w:cs="Times New Roman"/>
                <w:b/>
                <w:bCs/>
                <w:color w:val="0000FF"/>
                <w:kern w:val="0"/>
                <w:sz w:val="21"/>
                <w:szCs w:val="21"/>
                <w:lang w:val="en-US" w:eastAsia="zh-CN"/>
              </w:rPr>
              <w:t>厂区内</w:t>
            </w:r>
            <w:r>
              <w:rPr>
                <w:rFonts w:hint="eastAsia" w:cs="Times New Roman"/>
                <w:b/>
                <w:bCs/>
                <w:color w:val="0000FF"/>
                <w:kern w:val="0"/>
                <w:sz w:val="21"/>
                <w:szCs w:val="21"/>
                <w:lang w:val="en-US" w:eastAsia="zh-CN"/>
              </w:rPr>
              <w:t>无组织废气排放标准</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6"/>
              <w:gridCol w:w="2482"/>
              <w:gridCol w:w="776"/>
              <w:gridCol w:w="1490"/>
              <w:gridCol w:w="1843"/>
            </w:tblGrid>
            <w:tr w14:paraId="751F8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3" w:type="pct"/>
                  <w:vAlign w:val="center"/>
                </w:tcPr>
                <w:p w14:paraId="2A708168">
                  <w:pPr>
                    <w:pStyle w:val="40"/>
                    <w:bidi w:val="0"/>
                    <w:jc w:val="center"/>
                    <w:rPr>
                      <w:rFonts w:hint="default"/>
                      <w:color w:val="0000FF"/>
                      <w:lang w:val="en-US" w:eastAsia="zh-CN"/>
                    </w:rPr>
                  </w:pPr>
                  <w:r>
                    <w:rPr>
                      <w:rFonts w:hint="eastAsia"/>
                      <w:color w:val="0000FF"/>
                      <w:lang w:val="en-US" w:eastAsia="zh-CN"/>
                    </w:rPr>
                    <w:t>污染物</w:t>
                  </w:r>
                </w:p>
              </w:tc>
              <w:tc>
                <w:tcPr>
                  <w:tcW w:w="1557" w:type="pct"/>
                  <w:vAlign w:val="center"/>
                </w:tcPr>
                <w:p w14:paraId="7B48B6E0">
                  <w:pPr>
                    <w:pStyle w:val="40"/>
                    <w:bidi w:val="0"/>
                    <w:jc w:val="center"/>
                    <w:rPr>
                      <w:rFonts w:hint="default"/>
                      <w:color w:val="0000FF"/>
                      <w:lang w:val="en-US" w:eastAsia="zh-CN"/>
                    </w:rPr>
                  </w:pPr>
                  <w:r>
                    <w:rPr>
                      <w:rFonts w:hint="eastAsia"/>
                      <w:color w:val="0000FF"/>
                      <w:lang w:val="en-US" w:eastAsia="zh-CN"/>
                    </w:rPr>
                    <w:t>执行标准</w:t>
                  </w:r>
                </w:p>
              </w:tc>
              <w:tc>
                <w:tcPr>
                  <w:tcW w:w="1422" w:type="pct"/>
                  <w:gridSpan w:val="2"/>
                  <w:vAlign w:val="center"/>
                </w:tcPr>
                <w:p w14:paraId="7479930D">
                  <w:pPr>
                    <w:pStyle w:val="40"/>
                    <w:bidi w:val="0"/>
                    <w:jc w:val="center"/>
                    <w:rPr>
                      <w:rFonts w:hint="default"/>
                      <w:color w:val="0000FF"/>
                      <w:lang w:val="en-US" w:eastAsia="zh-CN"/>
                    </w:rPr>
                  </w:pPr>
                  <w:r>
                    <w:rPr>
                      <w:rFonts w:hint="eastAsia"/>
                      <w:color w:val="0000FF"/>
                      <w:lang w:val="en-US" w:eastAsia="zh-CN"/>
                    </w:rPr>
                    <w:t>排放限值</w:t>
                  </w:r>
                  <w:r>
                    <w:rPr>
                      <w:rFonts w:hint="default" w:ascii="Times New Roman" w:hAnsi="Times New Roman" w:cs="Times New Roman"/>
                      <w:color w:val="0000FF"/>
                      <w:sz w:val="21"/>
                      <w:szCs w:val="21"/>
                      <w:vertAlign w:val="baseline"/>
                      <w:lang w:val="en-US" w:eastAsia="zh-CN"/>
                    </w:rPr>
                    <w:t>（</w:t>
                  </w:r>
                  <w:r>
                    <w:rPr>
                      <w:rFonts w:hint="default" w:ascii="Times New Roman" w:hAnsi="Times New Roman" w:cs="Times New Roman"/>
                      <w:color w:val="0000FF"/>
                      <w:sz w:val="21"/>
                      <w:szCs w:val="21"/>
                      <w:lang w:val="en-US" w:eastAsia="zh-CN"/>
                    </w:rPr>
                    <w:t>mg/m</w:t>
                  </w:r>
                  <w:r>
                    <w:rPr>
                      <w:rFonts w:hint="default" w:ascii="Times New Roman" w:hAnsi="Times New Roman" w:cs="Times New Roman"/>
                      <w:color w:val="0000FF"/>
                      <w:sz w:val="21"/>
                      <w:szCs w:val="21"/>
                      <w:vertAlign w:val="superscript"/>
                      <w:lang w:val="en-US" w:eastAsia="zh-CN"/>
                    </w:rPr>
                    <w:t>3</w:t>
                  </w:r>
                  <w:r>
                    <w:rPr>
                      <w:rFonts w:hint="default" w:ascii="Times New Roman" w:hAnsi="Times New Roman" w:cs="Times New Roman"/>
                      <w:color w:val="0000FF"/>
                      <w:sz w:val="21"/>
                      <w:szCs w:val="21"/>
                      <w:vertAlign w:val="baseline"/>
                      <w:lang w:val="en-US" w:eastAsia="zh-CN"/>
                    </w:rPr>
                    <w:t>）</w:t>
                  </w:r>
                </w:p>
              </w:tc>
              <w:tc>
                <w:tcPr>
                  <w:tcW w:w="1156" w:type="pct"/>
                  <w:vAlign w:val="center"/>
                </w:tcPr>
                <w:p w14:paraId="3B188FE8">
                  <w:pPr>
                    <w:pStyle w:val="40"/>
                    <w:bidi w:val="0"/>
                    <w:jc w:val="center"/>
                    <w:rPr>
                      <w:rFonts w:hint="default"/>
                      <w:color w:val="0000FF"/>
                      <w:lang w:val="en-US" w:eastAsia="zh-CN"/>
                    </w:rPr>
                  </w:pPr>
                  <w:r>
                    <w:rPr>
                      <w:rFonts w:hint="eastAsia"/>
                      <w:color w:val="0000FF"/>
                      <w:lang w:val="en-US" w:eastAsia="zh-CN"/>
                    </w:rPr>
                    <w:t>监控点位置</w:t>
                  </w:r>
                </w:p>
              </w:tc>
            </w:tr>
            <w:tr w14:paraId="1386E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863" w:type="pct"/>
                  <w:vMerge w:val="restart"/>
                  <w:vAlign w:val="center"/>
                </w:tcPr>
                <w:p w14:paraId="7A52531B">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eastAsia" w:ascii="Times New Roman" w:hAnsi="Times New Roman" w:cs="Times New Roman"/>
                      <w:color w:val="0000FF"/>
                      <w:kern w:val="0"/>
                      <w:sz w:val="21"/>
                      <w:szCs w:val="21"/>
                      <w:vertAlign w:val="baseline"/>
                      <w:lang w:val="en-US" w:eastAsia="zh-CN"/>
                    </w:rPr>
                    <w:t>非甲烷总烃</w:t>
                  </w:r>
                </w:p>
              </w:tc>
              <w:tc>
                <w:tcPr>
                  <w:tcW w:w="1557" w:type="pct"/>
                  <w:vMerge w:val="restart"/>
                  <w:vAlign w:val="center"/>
                </w:tcPr>
                <w:p w14:paraId="34B7500C">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kern w:val="0"/>
                      <w:sz w:val="21"/>
                      <w:szCs w:val="21"/>
                      <w:vertAlign w:val="baseline"/>
                      <w:lang w:val="en-US" w:eastAsia="zh-CN"/>
                    </w:rPr>
                    <w:t>《挥发性有机物无组织排放控制标准》（GB 37822-2019）》附录A表A.1中特别排放限值要求</w:t>
                  </w:r>
                </w:p>
              </w:tc>
              <w:tc>
                <w:tcPr>
                  <w:tcW w:w="487" w:type="pct"/>
                  <w:vAlign w:val="center"/>
                </w:tcPr>
                <w:p w14:paraId="7C20324F">
                  <w:pPr>
                    <w:pStyle w:val="40"/>
                    <w:bidi w:val="0"/>
                    <w:ind w:firstLine="0" w:firstLineChars="0"/>
                    <w:jc w:val="center"/>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lang w:val="en-US" w:eastAsia="zh-CN"/>
                    </w:rPr>
                    <w:t>6</w:t>
                  </w:r>
                </w:p>
              </w:tc>
              <w:tc>
                <w:tcPr>
                  <w:tcW w:w="934" w:type="pct"/>
                  <w:vAlign w:val="center"/>
                </w:tcPr>
                <w:p w14:paraId="33EA3242">
                  <w:pPr>
                    <w:pStyle w:val="40"/>
                    <w:bidi w:val="0"/>
                    <w:ind w:firstLine="0" w:firstLineChars="0"/>
                    <w:jc w:val="center"/>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lang w:val="en-US" w:eastAsia="zh-CN"/>
                    </w:rPr>
                    <w:t>监测点处1h平均浓度值</w:t>
                  </w:r>
                </w:p>
              </w:tc>
              <w:tc>
                <w:tcPr>
                  <w:tcW w:w="1156" w:type="pct"/>
                  <w:vMerge w:val="restart"/>
                  <w:vAlign w:val="center"/>
                </w:tcPr>
                <w:p w14:paraId="3A9B8ADF">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0000FF"/>
                      <w:kern w:val="0"/>
                      <w:sz w:val="21"/>
                      <w:szCs w:val="21"/>
                      <w:vertAlign w:val="baseline"/>
                      <w:lang w:val="en-US" w:eastAsia="zh-CN"/>
                    </w:rPr>
                  </w:pPr>
                  <w:r>
                    <w:rPr>
                      <w:rFonts w:hint="default" w:ascii="Times New Roman" w:hAnsi="Times New Roman" w:cs="Times New Roman"/>
                      <w:color w:val="0000FF"/>
                      <w:kern w:val="0"/>
                      <w:sz w:val="21"/>
                      <w:szCs w:val="21"/>
                      <w:vertAlign w:val="baseline"/>
                      <w:lang w:val="en-US" w:eastAsia="zh-CN"/>
                    </w:rPr>
                    <w:t>在厂房外设置监控点</w:t>
                  </w:r>
                </w:p>
              </w:tc>
            </w:tr>
            <w:tr w14:paraId="7B770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863" w:type="pct"/>
                  <w:vMerge w:val="continue"/>
                  <w:vAlign w:val="center"/>
                </w:tcPr>
                <w:p w14:paraId="7061ADCA">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color w:val="0000FF"/>
                    </w:rPr>
                  </w:pPr>
                </w:p>
              </w:tc>
              <w:tc>
                <w:tcPr>
                  <w:tcW w:w="1557" w:type="pct"/>
                  <w:vMerge w:val="continue"/>
                  <w:vAlign w:val="center"/>
                </w:tcPr>
                <w:p w14:paraId="074E65DF">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color w:val="0000FF"/>
                    </w:rPr>
                  </w:pPr>
                </w:p>
              </w:tc>
              <w:tc>
                <w:tcPr>
                  <w:tcW w:w="487" w:type="pct"/>
                  <w:vAlign w:val="center"/>
                </w:tcPr>
                <w:p w14:paraId="066B7740">
                  <w:pPr>
                    <w:pStyle w:val="40"/>
                    <w:bidi w:val="0"/>
                    <w:ind w:firstLine="0" w:firstLineChars="0"/>
                    <w:jc w:val="center"/>
                    <w:rPr>
                      <w:color w:val="0000FF"/>
                    </w:rPr>
                  </w:pPr>
                  <w:r>
                    <w:rPr>
                      <w:rFonts w:hint="default" w:ascii="Times New Roman" w:hAnsi="Times New Roman" w:cs="Times New Roman"/>
                      <w:color w:val="0000FF"/>
                      <w:lang w:val="en-US" w:eastAsia="zh-CN"/>
                    </w:rPr>
                    <w:t>20</w:t>
                  </w:r>
                </w:p>
              </w:tc>
              <w:tc>
                <w:tcPr>
                  <w:tcW w:w="934" w:type="pct"/>
                  <w:vAlign w:val="center"/>
                </w:tcPr>
                <w:p w14:paraId="1E88D94B">
                  <w:pPr>
                    <w:pStyle w:val="40"/>
                    <w:bidi w:val="0"/>
                    <w:ind w:firstLine="0" w:firstLineChars="0"/>
                    <w:jc w:val="center"/>
                    <w:rPr>
                      <w:color w:val="0000FF"/>
                    </w:rPr>
                  </w:pPr>
                  <w:r>
                    <w:rPr>
                      <w:rFonts w:hint="default" w:ascii="Times New Roman" w:hAnsi="Times New Roman" w:cs="Times New Roman"/>
                      <w:color w:val="0000FF"/>
                      <w:lang w:val="en-US" w:eastAsia="zh-CN"/>
                    </w:rPr>
                    <w:t>监测点处任意一次浓度值</w:t>
                  </w:r>
                </w:p>
              </w:tc>
              <w:tc>
                <w:tcPr>
                  <w:tcW w:w="1156" w:type="pct"/>
                  <w:vMerge w:val="continue"/>
                  <w:vAlign w:val="center"/>
                </w:tcPr>
                <w:p w14:paraId="2A1F06FB">
                  <w:pPr>
                    <w:pStyle w:val="77"/>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color w:val="0000FF"/>
                    </w:rPr>
                  </w:pPr>
                </w:p>
              </w:tc>
            </w:tr>
            <w:tr w14:paraId="0AA87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8" w:hRule="atLeast"/>
              </w:trPr>
              <w:tc>
                <w:tcPr>
                  <w:tcW w:w="863" w:type="pct"/>
                  <w:vAlign w:val="center"/>
                </w:tcPr>
                <w:p w14:paraId="48EB6F0D">
                  <w:pPr>
                    <w:pStyle w:val="40"/>
                    <w:bidi w:val="0"/>
                    <w:jc w:val="center"/>
                    <w:rPr>
                      <w:rFonts w:hint="default"/>
                      <w:color w:val="0000FF"/>
                      <w:lang w:val="en-US" w:eastAsia="zh-CN"/>
                    </w:rPr>
                  </w:pPr>
                  <w:r>
                    <w:rPr>
                      <w:rFonts w:hint="eastAsia"/>
                      <w:color w:val="0000FF"/>
                      <w:lang w:val="en-US" w:eastAsia="zh-CN"/>
                    </w:rPr>
                    <w:t>颗粒物</w:t>
                  </w:r>
                </w:p>
              </w:tc>
              <w:tc>
                <w:tcPr>
                  <w:tcW w:w="1557" w:type="pct"/>
                  <w:vAlign w:val="center"/>
                </w:tcPr>
                <w:p w14:paraId="24ED5F84">
                  <w:pPr>
                    <w:pStyle w:val="40"/>
                    <w:bidi w:val="0"/>
                    <w:jc w:val="center"/>
                    <w:rPr>
                      <w:rFonts w:hint="default"/>
                      <w:color w:val="0000FF"/>
                      <w:lang w:val="en-US" w:eastAsia="zh-CN"/>
                    </w:rPr>
                  </w:pPr>
                  <w:r>
                    <w:rPr>
                      <w:rFonts w:hint="default"/>
                      <w:color w:val="0000FF"/>
                      <w:lang w:val="en-US" w:eastAsia="zh-CN"/>
                    </w:rPr>
                    <w:t>《工业炉窑大气污染物排放标准》（GB9078-1996）表3-其他炉窑（有车间厂房）</w:t>
                  </w:r>
                </w:p>
              </w:tc>
              <w:tc>
                <w:tcPr>
                  <w:tcW w:w="1422" w:type="pct"/>
                  <w:gridSpan w:val="2"/>
                  <w:vAlign w:val="center"/>
                </w:tcPr>
                <w:p w14:paraId="6644EEB3">
                  <w:pPr>
                    <w:pStyle w:val="40"/>
                    <w:bidi w:val="0"/>
                    <w:jc w:val="center"/>
                    <w:rPr>
                      <w:rFonts w:hint="default"/>
                      <w:color w:val="0000FF"/>
                      <w:lang w:val="en-US" w:eastAsia="zh-CN"/>
                    </w:rPr>
                  </w:pPr>
                  <w:r>
                    <w:rPr>
                      <w:rFonts w:hint="eastAsia"/>
                      <w:color w:val="0000FF"/>
                      <w:lang w:val="en-US" w:eastAsia="zh-CN"/>
                    </w:rPr>
                    <w:t>5.0</w:t>
                  </w:r>
                </w:p>
              </w:tc>
              <w:tc>
                <w:tcPr>
                  <w:tcW w:w="1156" w:type="pct"/>
                  <w:vAlign w:val="center"/>
                </w:tcPr>
                <w:p w14:paraId="15FF0FB3">
                  <w:pPr>
                    <w:pStyle w:val="40"/>
                    <w:bidi w:val="0"/>
                    <w:jc w:val="center"/>
                    <w:rPr>
                      <w:rFonts w:hint="default"/>
                      <w:color w:val="0000FF"/>
                      <w:lang w:val="en-US" w:eastAsia="zh-CN"/>
                    </w:rPr>
                  </w:pPr>
                  <w:r>
                    <w:rPr>
                      <w:rFonts w:hint="eastAsia" w:cs="Times New Roman"/>
                      <w:color w:val="0000FF"/>
                      <w:sz w:val="21"/>
                      <w:szCs w:val="21"/>
                      <w:vertAlign w:val="baseline"/>
                      <w:lang w:val="en-US" w:eastAsia="zh-CN"/>
                    </w:rPr>
                    <w:t>厂房门窗排放口处</w:t>
                  </w:r>
                </w:p>
              </w:tc>
            </w:tr>
          </w:tbl>
          <w:p w14:paraId="5F3B5CB1">
            <w:pPr>
              <w:pStyle w:val="77"/>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b/>
                <w:bCs/>
                <w:color w:val="auto"/>
                <w:kern w:val="0"/>
                <w:sz w:val="21"/>
                <w:szCs w:val="21"/>
                <w:lang w:val="en-US" w:eastAsia="zh-CN"/>
              </w:rPr>
            </w:pPr>
          </w:p>
          <w:p w14:paraId="33D3B8B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2、废水</w:t>
            </w:r>
          </w:p>
          <w:p w14:paraId="3911B96E">
            <w:pPr>
              <w:spacing w:line="360" w:lineRule="auto"/>
              <w:ind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本项目排放的</w:t>
            </w:r>
            <w:r>
              <w:rPr>
                <w:rFonts w:hint="default" w:ascii="Times New Roman" w:hAnsi="Times New Roman" w:cs="Times New Roman"/>
                <w:color w:val="auto"/>
                <w:sz w:val="24"/>
                <w:szCs w:val="24"/>
                <w:lang w:val="en-US" w:eastAsia="zh-CN"/>
              </w:rPr>
              <w:t>废水</w:t>
            </w:r>
            <w:r>
              <w:rPr>
                <w:rFonts w:hint="default" w:ascii="Times New Roman" w:hAnsi="Times New Roman" w:cs="Times New Roman"/>
                <w:color w:val="auto"/>
                <w:sz w:val="24"/>
                <w:szCs w:val="24"/>
              </w:rPr>
              <w:t>水质执行《污水综合排放标准》（GB8978</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1996）中三级标准</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《污水综合排放标准》（GB8978－1996）中三级标准</w:t>
            </w:r>
            <w:r>
              <w:rPr>
                <w:rFonts w:hint="default" w:ascii="Times New Roman" w:hAnsi="Times New Roman" w:cs="Times New Roman"/>
                <w:color w:val="auto"/>
                <w:sz w:val="24"/>
                <w:szCs w:val="24"/>
                <w:lang w:val="en-US" w:eastAsia="zh-CN"/>
              </w:rPr>
              <w:t>具体标准限值见下表。</w:t>
            </w:r>
          </w:p>
          <w:p w14:paraId="3DA0C34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default" w:ascii="Times New Roman" w:hAnsi="Times New Roman" w:cs="Times New Roman"/>
                <w:b/>
                <w:color w:val="auto"/>
                <w:sz w:val="21"/>
                <w:szCs w:val="21"/>
                <w:lang w:val="en-US" w:eastAsia="zh-CN"/>
              </w:rPr>
              <w:t>3.5-</w:t>
            </w:r>
            <w:r>
              <w:rPr>
                <w:rFonts w:hint="eastAsia" w:cs="Times New Roman"/>
                <w:b/>
                <w:color w:val="auto"/>
                <w:sz w:val="21"/>
                <w:szCs w:val="21"/>
                <w:lang w:val="en-US" w:eastAsia="zh-CN"/>
              </w:rPr>
              <w:t>5</w:t>
            </w:r>
            <w:r>
              <w:rPr>
                <w:rFonts w:hint="default" w:ascii="Times New Roman" w:hAnsi="Times New Roman" w:cs="Times New Roman"/>
                <w:b/>
                <w:color w:val="auto"/>
                <w:sz w:val="21"/>
                <w:szCs w:val="21"/>
                <w:lang w:val="en-US" w:eastAsia="zh-CN"/>
              </w:rPr>
              <w:t xml:space="preserve">   《污水综合排放标准》（GB8978－1996）</w:t>
            </w:r>
            <w:r>
              <w:rPr>
                <w:rFonts w:hint="default" w:ascii="Times New Roman" w:hAnsi="Times New Roman" w:cs="Times New Roman"/>
                <w:b/>
                <w:color w:val="auto"/>
                <w:sz w:val="21"/>
                <w:szCs w:val="21"/>
              </w:rPr>
              <w:t xml:space="preserve">   单位：mg/L</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4"/>
              <w:gridCol w:w="1284"/>
              <w:gridCol w:w="1284"/>
              <w:gridCol w:w="1284"/>
              <w:gridCol w:w="1284"/>
              <w:gridCol w:w="1287"/>
            </w:tblGrid>
            <w:tr w14:paraId="2B534E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969" w:type="pct"/>
                  <w:tcBorders>
                    <w:tl2br w:val="nil"/>
                    <w:tr2bl w:val="nil"/>
                  </w:tcBorders>
                  <w:noWrap w:val="0"/>
                  <w:tcMar>
                    <w:left w:w="28" w:type="dxa"/>
                    <w:right w:w="28" w:type="dxa"/>
                  </w:tcMar>
                  <w:vAlign w:val="center"/>
                </w:tcPr>
                <w:p w14:paraId="3D62CC0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项目</w:t>
                  </w:r>
                </w:p>
              </w:tc>
              <w:tc>
                <w:tcPr>
                  <w:tcW w:w="805" w:type="pct"/>
                  <w:tcBorders>
                    <w:tl2br w:val="nil"/>
                    <w:tr2bl w:val="nil"/>
                  </w:tcBorders>
                  <w:noWrap w:val="0"/>
                  <w:tcMar>
                    <w:left w:w="28" w:type="dxa"/>
                    <w:right w:w="28" w:type="dxa"/>
                  </w:tcMar>
                  <w:vAlign w:val="center"/>
                </w:tcPr>
                <w:p w14:paraId="55ACED2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lang w:val="en-US" w:eastAsia="zh-CN"/>
                    </w:rPr>
                    <w:t>p</w:t>
                  </w:r>
                  <w:r>
                    <w:rPr>
                      <w:rFonts w:hint="default" w:ascii="Times New Roman" w:hAnsi="Times New Roman" w:cs="Times New Roman"/>
                      <w:color w:val="0000FF"/>
                      <w:sz w:val="21"/>
                      <w:szCs w:val="18"/>
                    </w:rPr>
                    <w:t>H</w:t>
                  </w:r>
                </w:p>
              </w:tc>
              <w:tc>
                <w:tcPr>
                  <w:tcW w:w="805" w:type="pct"/>
                  <w:tcBorders>
                    <w:tl2br w:val="nil"/>
                    <w:tr2bl w:val="nil"/>
                  </w:tcBorders>
                  <w:noWrap w:val="0"/>
                  <w:tcMar>
                    <w:left w:w="28" w:type="dxa"/>
                    <w:right w:w="28" w:type="dxa"/>
                  </w:tcMar>
                  <w:vAlign w:val="center"/>
                </w:tcPr>
                <w:p w14:paraId="0FCA877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SS</w:t>
                  </w:r>
                </w:p>
              </w:tc>
              <w:tc>
                <w:tcPr>
                  <w:tcW w:w="805" w:type="pct"/>
                  <w:tcBorders>
                    <w:tl2br w:val="nil"/>
                    <w:tr2bl w:val="nil"/>
                  </w:tcBorders>
                  <w:noWrap w:val="0"/>
                  <w:tcMar>
                    <w:left w:w="28" w:type="dxa"/>
                    <w:right w:w="28" w:type="dxa"/>
                  </w:tcMar>
                  <w:vAlign w:val="center"/>
                </w:tcPr>
                <w:p w14:paraId="4F37D58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18"/>
                      <w:lang w:val="en-US" w:eastAsia="zh-CN"/>
                    </w:rPr>
                  </w:pPr>
                  <w:r>
                    <w:rPr>
                      <w:rFonts w:hint="default" w:ascii="Times New Roman" w:hAnsi="Times New Roman" w:cs="Times New Roman"/>
                      <w:color w:val="0000FF"/>
                      <w:sz w:val="21"/>
                      <w:szCs w:val="18"/>
                    </w:rPr>
                    <w:t>COD</w:t>
                  </w:r>
                  <w:r>
                    <w:rPr>
                      <w:rFonts w:hint="default" w:ascii="Times New Roman" w:hAnsi="Times New Roman" w:cs="Times New Roman"/>
                      <w:color w:val="0000FF"/>
                      <w:sz w:val="21"/>
                      <w:szCs w:val="18"/>
                      <w:lang w:val="en-US" w:eastAsia="zh-CN"/>
                    </w:rPr>
                    <w:t>cr</w:t>
                  </w:r>
                </w:p>
              </w:tc>
              <w:tc>
                <w:tcPr>
                  <w:tcW w:w="805" w:type="pct"/>
                  <w:tcBorders>
                    <w:tl2br w:val="nil"/>
                    <w:tr2bl w:val="nil"/>
                  </w:tcBorders>
                  <w:noWrap w:val="0"/>
                  <w:tcMar>
                    <w:left w:w="28" w:type="dxa"/>
                    <w:right w:w="28" w:type="dxa"/>
                  </w:tcMar>
                  <w:vAlign w:val="center"/>
                </w:tcPr>
                <w:p w14:paraId="1C202E0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BOD</w:t>
                  </w:r>
                  <w:r>
                    <w:rPr>
                      <w:rFonts w:hint="default" w:ascii="Times New Roman" w:hAnsi="Times New Roman" w:cs="Times New Roman"/>
                      <w:color w:val="0000FF"/>
                      <w:sz w:val="21"/>
                      <w:szCs w:val="18"/>
                      <w:vertAlign w:val="subscript"/>
                    </w:rPr>
                    <w:t>5</w:t>
                  </w:r>
                </w:p>
              </w:tc>
              <w:tc>
                <w:tcPr>
                  <w:tcW w:w="807" w:type="pct"/>
                  <w:tcBorders>
                    <w:tl2br w:val="nil"/>
                    <w:tr2bl w:val="nil"/>
                  </w:tcBorders>
                  <w:noWrap w:val="0"/>
                  <w:tcMar>
                    <w:left w:w="28" w:type="dxa"/>
                    <w:right w:w="28" w:type="dxa"/>
                  </w:tcMar>
                  <w:vAlign w:val="center"/>
                </w:tcPr>
                <w:p w14:paraId="3B01EF4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NH</w:t>
                  </w:r>
                  <w:r>
                    <w:rPr>
                      <w:rFonts w:hint="default" w:ascii="Times New Roman" w:hAnsi="Times New Roman" w:cs="Times New Roman"/>
                      <w:color w:val="0000FF"/>
                      <w:sz w:val="21"/>
                      <w:szCs w:val="18"/>
                      <w:vertAlign w:val="subscript"/>
                    </w:rPr>
                    <w:t>3</w:t>
                  </w:r>
                  <w:r>
                    <w:rPr>
                      <w:rFonts w:hint="default" w:ascii="Times New Roman" w:hAnsi="Times New Roman" w:cs="Times New Roman"/>
                      <w:color w:val="0000FF"/>
                      <w:sz w:val="21"/>
                      <w:szCs w:val="18"/>
                      <w:lang w:val="en-US" w:eastAsia="zh-CN"/>
                    </w:rPr>
                    <w:t>-</w:t>
                  </w:r>
                  <w:r>
                    <w:rPr>
                      <w:rFonts w:hint="default" w:ascii="Times New Roman" w:hAnsi="Times New Roman" w:cs="Times New Roman"/>
                      <w:color w:val="0000FF"/>
                      <w:sz w:val="21"/>
                      <w:szCs w:val="18"/>
                    </w:rPr>
                    <w:t>N</w:t>
                  </w:r>
                </w:p>
              </w:tc>
            </w:tr>
            <w:tr w14:paraId="466CB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969" w:type="pct"/>
                  <w:tcBorders>
                    <w:tl2br w:val="nil"/>
                    <w:tr2bl w:val="nil"/>
                  </w:tcBorders>
                  <w:noWrap w:val="0"/>
                  <w:tcMar>
                    <w:left w:w="28" w:type="dxa"/>
                    <w:right w:w="28" w:type="dxa"/>
                  </w:tcMar>
                  <w:vAlign w:val="center"/>
                </w:tcPr>
                <w:p w14:paraId="6481A1E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标准</w:t>
                  </w:r>
                </w:p>
              </w:tc>
              <w:tc>
                <w:tcPr>
                  <w:tcW w:w="805" w:type="pct"/>
                  <w:tcBorders>
                    <w:tl2br w:val="nil"/>
                    <w:tr2bl w:val="nil"/>
                  </w:tcBorders>
                  <w:noWrap w:val="0"/>
                  <w:tcMar>
                    <w:left w:w="28" w:type="dxa"/>
                    <w:right w:w="28" w:type="dxa"/>
                  </w:tcMar>
                  <w:vAlign w:val="center"/>
                </w:tcPr>
                <w:p w14:paraId="358390B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6～9</w:t>
                  </w:r>
                </w:p>
              </w:tc>
              <w:tc>
                <w:tcPr>
                  <w:tcW w:w="805" w:type="pct"/>
                  <w:tcBorders>
                    <w:tl2br w:val="nil"/>
                    <w:tr2bl w:val="nil"/>
                  </w:tcBorders>
                  <w:noWrap w:val="0"/>
                  <w:tcMar>
                    <w:left w:w="28" w:type="dxa"/>
                    <w:right w:w="28" w:type="dxa"/>
                  </w:tcMar>
                  <w:vAlign w:val="center"/>
                </w:tcPr>
                <w:p w14:paraId="57A0CC2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400</w:t>
                  </w:r>
                </w:p>
              </w:tc>
              <w:tc>
                <w:tcPr>
                  <w:tcW w:w="805" w:type="pct"/>
                  <w:tcBorders>
                    <w:tl2br w:val="nil"/>
                    <w:tr2bl w:val="nil"/>
                  </w:tcBorders>
                  <w:noWrap w:val="0"/>
                  <w:tcMar>
                    <w:left w:w="28" w:type="dxa"/>
                    <w:right w:w="28" w:type="dxa"/>
                  </w:tcMar>
                  <w:vAlign w:val="center"/>
                </w:tcPr>
                <w:p w14:paraId="42A2410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500</w:t>
                  </w:r>
                </w:p>
              </w:tc>
              <w:tc>
                <w:tcPr>
                  <w:tcW w:w="805" w:type="pct"/>
                  <w:tcBorders>
                    <w:tl2br w:val="nil"/>
                    <w:tr2bl w:val="nil"/>
                  </w:tcBorders>
                  <w:noWrap w:val="0"/>
                  <w:tcMar>
                    <w:left w:w="28" w:type="dxa"/>
                    <w:right w:w="28" w:type="dxa"/>
                  </w:tcMar>
                  <w:vAlign w:val="center"/>
                </w:tcPr>
                <w:p w14:paraId="348DA57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300</w:t>
                  </w:r>
                </w:p>
              </w:tc>
              <w:tc>
                <w:tcPr>
                  <w:tcW w:w="807" w:type="pct"/>
                  <w:tcBorders>
                    <w:tl2br w:val="nil"/>
                    <w:tr2bl w:val="nil"/>
                  </w:tcBorders>
                  <w:noWrap w:val="0"/>
                  <w:tcMar>
                    <w:left w:w="28" w:type="dxa"/>
                    <w:right w:w="28" w:type="dxa"/>
                  </w:tcMar>
                  <w:vAlign w:val="center"/>
                </w:tcPr>
                <w:p w14:paraId="238B076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1"/>
                      <w:szCs w:val="18"/>
                    </w:rPr>
                  </w:pPr>
                  <w:r>
                    <w:rPr>
                      <w:rFonts w:hint="default" w:ascii="Times New Roman" w:hAnsi="Times New Roman" w:cs="Times New Roman"/>
                      <w:color w:val="0000FF"/>
                      <w:sz w:val="21"/>
                      <w:szCs w:val="18"/>
                    </w:rPr>
                    <w:t>--</w:t>
                  </w:r>
                </w:p>
              </w:tc>
            </w:tr>
          </w:tbl>
          <w:p w14:paraId="677BA54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lang w:val="en-US" w:eastAsia="zh-CN"/>
              </w:rPr>
              <w:t>3</w:t>
            </w:r>
            <w:r>
              <w:rPr>
                <w:rFonts w:hint="default" w:ascii="Times New Roman" w:hAnsi="Times New Roman" w:cs="Times New Roman"/>
                <w:b/>
                <w:bCs/>
                <w:color w:val="auto"/>
                <w:sz w:val="24"/>
                <w:szCs w:val="24"/>
              </w:rPr>
              <w:t>、</w:t>
            </w:r>
            <w:r>
              <w:rPr>
                <w:rFonts w:hint="default" w:ascii="Times New Roman" w:hAnsi="Times New Roman" w:cs="Times New Roman"/>
                <w:b/>
                <w:bCs/>
                <w:color w:val="auto"/>
                <w:sz w:val="24"/>
                <w:szCs w:val="24"/>
                <w:lang w:eastAsia="zh-CN"/>
              </w:rPr>
              <w:t>噪声</w:t>
            </w:r>
          </w:p>
          <w:p w14:paraId="77D29FDF">
            <w:pPr>
              <w:pStyle w:val="6"/>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 xml:space="preserve">3.1施工期 </w:t>
            </w:r>
          </w:p>
          <w:p w14:paraId="4F61EF0C">
            <w:pPr>
              <w:pStyle w:val="6"/>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color w:val="0000FF"/>
                <w:kern w:val="2"/>
                <w:sz w:val="24"/>
                <w:szCs w:val="24"/>
                <w:highlight w:val="none"/>
                <w:lang w:val="en-US" w:eastAsia="zh-CN" w:bidi="ar-SA"/>
              </w:rPr>
            </w:pPr>
            <w:r>
              <w:rPr>
                <w:rFonts w:hint="default" w:ascii="Times New Roman" w:hAnsi="Times New Roman" w:eastAsia="宋体" w:cs="Times New Roman"/>
                <w:b w:val="0"/>
                <w:color w:val="0000FF"/>
                <w:kern w:val="2"/>
                <w:sz w:val="24"/>
                <w:szCs w:val="24"/>
                <w:highlight w:val="none"/>
                <w:lang w:val="en-US" w:eastAsia="zh-CN" w:bidi="ar-SA"/>
              </w:rPr>
              <w:t>施工期厂界噪声执行《</w:t>
            </w:r>
            <w:r>
              <w:rPr>
                <w:rFonts w:hint="default" w:ascii="Times New Roman" w:hAnsi="Times New Roman" w:eastAsia="宋体" w:cs="Times New Roman"/>
                <w:b w:val="0"/>
                <w:color w:val="0000FF"/>
                <w:kern w:val="2"/>
                <w:sz w:val="24"/>
                <w:szCs w:val="24"/>
                <w:highlight w:val="none"/>
                <w:lang w:val="en-US" w:eastAsia="zh-CN" w:bidi="ar-SA"/>
              </w:rPr>
              <w:fldChar w:fldCharType="begin"/>
            </w:r>
            <w:r>
              <w:rPr>
                <w:rFonts w:hint="default" w:ascii="Times New Roman" w:hAnsi="Times New Roman" w:eastAsia="宋体" w:cs="Times New Roman"/>
                <w:b w:val="0"/>
                <w:color w:val="0000FF"/>
                <w:kern w:val="2"/>
                <w:sz w:val="24"/>
                <w:szCs w:val="24"/>
                <w:highlight w:val="none"/>
                <w:lang w:val="en-US" w:eastAsia="zh-CN" w:bidi="ar-SA"/>
              </w:rPr>
              <w:instrText xml:space="preserve"> HYPERLINK "http://www.eiafans.com/thread-308738-1-1.html" \t "_blank" </w:instrText>
            </w:r>
            <w:r>
              <w:rPr>
                <w:rFonts w:hint="default" w:ascii="Times New Roman" w:hAnsi="Times New Roman" w:eastAsia="宋体" w:cs="Times New Roman"/>
                <w:b w:val="0"/>
                <w:color w:val="0000FF"/>
                <w:kern w:val="2"/>
                <w:sz w:val="24"/>
                <w:szCs w:val="24"/>
                <w:highlight w:val="none"/>
                <w:lang w:val="en-US" w:eastAsia="zh-CN" w:bidi="ar-SA"/>
              </w:rPr>
              <w:fldChar w:fldCharType="separate"/>
            </w:r>
            <w:r>
              <w:rPr>
                <w:rFonts w:hint="default" w:ascii="Times New Roman" w:hAnsi="Times New Roman" w:eastAsia="宋体" w:cs="Times New Roman"/>
                <w:b w:val="0"/>
                <w:color w:val="0000FF"/>
                <w:kern w:val="2"/>
                <w:sz w:val="24"/>
                <w:szCs w:val="24"/>
                <w:highlight w:val="none"/>
                <w:lang w:val="en-US" w:eastAsia="zh-CN" w:bidi="ar-SA"/>
              </w:rPr>
              <w:t>建筑施工场界环境噪声排放标准》（GB12523-20</w:t>
            </w:r>
            <w:r>
              <w:rPr>
                <w:rFonts w:hint="eastAsia" w:cs="Times New Roman"/>
                <w:b w:val="0"/>
                <w:color w:val="0000FF"/>
                <w:kern w:val="2"/>
                <w:sz w:val="24"/>
                <w:szCs w:val="24"/>
                <w:highlight w:val="none"/>
                <w:lang w:val="en-US" w:eastAsia="zh-CN" w:bidi="ar-SA"/>
              </w:rPr>
              <w:t>25</w:t>
            </w:r>
            <w:r>
              <w:rPr>
                <w:rFonts w:hint="default" w:ascii="Times New Roman" w:hAnsi="Times New Roman" w:eastAsia="宋体" w:cs="Times New Roman"/>
                <w:b w:val="0"/>
                <w:color w:val="0000FF"/>
                <w:kern w:val="2"/>
                <w:sz w:val="24"/>
                <w:szCs w:val="24"/>
                <w:highlight w:val="none"/>
                <w:lang w:val="en-US" w:eastAsia="zh-CN" w:bidi="ar-SA"/>
              </w:rPr>
              <w:t>）</w:t>
            </w:r>
            <w:r>
              <w:rPr>
                <w:rFonts w:hint="default" w:ascii="Times New Roman" w:hAnsi="Times New Roman" w:eastAsia="宋体" w:cs="Times New Roman"/>
                <w:b w:val="0"/>
                <w:color w:val="0000FF"/>
                <w:kern w:val="2"/>
                <w:sz w:val="24"/>
                <w:szCs w:val="24"/>
                <w:highlight w:val="none"/>
                <w:lang w:val="en-US" w:eastAsia="zh-CN" w:bidi="ar-SA"/>
              </w:rPr>
              <w:fldChar w:fldCharType="end"/>
            </w:r>
            <w:r>
              <w:rPr>
                <w:rFonts w:hint="default" w:ascii="Times New Roman" w:hAnsi="Times New Roman" w:eastAsia="宋体" w:cs="Times New Roman"/>
                <w:b w:val="0"/>
                <w:color w:val="0000FF"/>
                <w:kern w:val="2"/>
                <w:sz w:val="24"/>
                <w:szCs w:val="24"/>
                <w:highlight w:val="none"/>
                <w:lang w:val="en-US" w:eastAsia="zh-CN" w:bidi="ar-SA"/>
              </w:rPr>
              <w:t>中的规定。具体标准值见</w:t>
            </w:r>
            <w:r>
              <w:rPr>
                <w:rFonts w:hint="default" w:ascii="Times New Roman" w:hAnsi="Times New Roman" w:cs="Times New Roman"/>
                <w:b w:val="0"/>
                <w:color w:val="0000FF"/>
                <w:kern w:val="2"/>
                <w:sz w:val="24"/>
                <w:szCs w:val="24"/>
                <w:highlight w:val="none"/>
                <w:lang w:val="en-US" w:eastAsia="zh-CN" w:bidi="ar-SA"/>
              </w:rPr>
              <w:t>下</w:t>
            </w:r>
            <w:r>
              <w:rPr>
                <w:rFonts w:hint="default" w:ascii="Times New Roman" w:hAnsi="Times New Roman" w:eastAsia="宋体" w:cs="Times New Roman"/>
                <w:b w:val="0"/>
                <w:color w:val="0000FF"/>
                <w:kern w:val="2"/>
                <w:sz w:val="24"/>
                <w:szCs w:val="24"/>
                <w:highlight w:val="none"/>
                <w:lang w:val="en-US" w:eastAsia="zh-CN" w:bidi="ar-SA"/>
              </w:rPr>
              <w:t>表。</w:t>
            </w:r>
          </w:p>
          <w:p w14:paraId="5A8F4B9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表</w:t>
            </w:r>
            <w:r>
              <w:rPr>
                <w:rFonts w:hint="default" w:ascii="Times New Roman" w:hAnsi="Times New Roman" w:eastAsia="宋体" w:cs="Times New Roman"/>
                <w:b/>
                <w:bCs/>
                <w:color w:val="0000FF"/>
                <w:sz w:val="21"/>
                <w:szCs w:val="21"/>
                <w:highlight w:val="none"/>
                <w:lang w:val="en-US" w:eastAsia="zh-CN"/>
              </w:rPr>
              <w:t>3</w:t>
            </w:r>
            <w:r>
              <w:rPr>
                <w:rFonts w:hint="default" w:ascii="Times New Roman" w:hAnsi="Times New Roman" w:cs="Times New Roman"/>
                <w:b/>
                <w:bCs/>
                <w:color w:val="0000FF"/>
                <w:sz w:val="21"/>
                <w:szCs w:val="21"/>
                <w:highlight w:val="none"/>
                <w:lang w:val="en-US" w:eastAsia="zh-CN"/>
              </w:rPr>
              <w:t>.5</w:t>
            </w:r>
            <w:r>
              <w:rPr>
                <w:rFonts w:hint="default" w:ascii="Times New Roman" w:hAnsi="Times New Roman" w:eastAsia="宋体" w:cs="Times New Roman"/>
                <w:b/>
                <w:bCs/>
                <w:color w:val="0000FF"/>
                <w:sz w:val="21"/>
                <w:szCs w:val="21"/>
                <w:highlight w:val="none"/>
                <w:lang w:val="en-US" w:eastAsia="zh-CN"/>
              </w:rPr>
              <w:t>-</w:t>
            </w:r>
            <w:r>
              <w:rPr>
                <w:rFonts w:hint="eastAsia" w:cs="Times New Roman"/>
                <w:b/>
                <w:bCs/>
                <w:color w:val="0000FF"/>
                <w:sz w:val="21"/>
                <w:szCs w:val="21"/>
                <w:highlight w:val="none"/>
                <w:lang w:val="en-US" w:eastAsia="zh-CN"/>
              </w:rPr>
              <w:t>6</w:t>
            </w:r>
            <w:r>
              <w:rPr>
                <w:rFonts w:hint="default" w:ascii="Times New Roman" w:hAnsi="Times New Roman" w:eastAsia="宋体" w:cs="Times New Roman"/>
                <w:b/>
                <w:bCs/>
                <w:color w:val="0000FF"/>
                <w:sz w:val="21"/>
                <w:szCs w:val="21"/>
                <w:highlight w:val="none"/>
                <w:lang w:val="en-US" w:eastAsia="zh-CN"/>
              </w:rPr>
              <w:t xml:space="preserve">   </w:t>
            </w:r>
            <w:r>
              <w:rPr>
                <w:rFonts w:hint="default" w:ascii="Times New Roman" w:hAnsi="Times New Roman" w:eastAsia="宋体" w:cs="Times New Roman"/>
                <w:b/>
                <w:bCs/>
                <w:color w:val="0000FF"/>
                <w:sz w:val="21"/>
                <w:szCs w:val="21"/>
                <w:highlight w:val="none"/>
              </w:rPr>
              <w:t>《</w:t>
            </w:r>
            <w:r>
              <w:rPr>
                <w:rFonts w:hint="default" w:ascii="Times New Roman" w:hAnsi="Times New Roman" w:eastAsia="宋体" w:cs="Times New Roman"/>
                <w:color w:val="0000FF"/>
                <w:sz w:val="21"/>
                <w:szCs w:val="21"/>
                <w:highlight w:val="none"/>
              </w:rPr>
              <w:fldChar w:fldCharType="begin"/>
            </w:r>
            <w:r>
              <w:rPr>
                <w:rFonts w:hint="default" w:ascii="Times New Roman" w:hAnsi="Times New Roman" w:eastAsia="宋体" w:cs="Times New Roman"/>
                <w:color w:val="0000FF"/>
                <w:sz w:val="21"/>
                <w:szCs w:val="21"/>
                <w:highlight w:val="none"/>
              </w:rPr>
              <w:instrText xml:space="preserve"> HYPERLINK "http://www.eiafans.com/thread-308738-1-1.html" \t "_blank" </w:instrText>
            </w:r>
            <w:r>
              <w:rPr>
                <w:rFonts w:hint="default" w:ascii="Times New Roman" w:hAnsi="Times New Roman" w:eastAsia="宋体" w:cs="Times New Roman"/>
                <w:color w:val="0000FF"/>
                <w:sz w:val="21"/>
                <w:szCs w:val="21"/>
                <w:highlight w:val="none"/>
              </w:rPr>
              <w:fldChar w:fldCharType="separate"/>
            </w:r>
            <w:r>
              <w:rPr>
                <w:rFonts w:hint="default" w:ascii="Times New Roman" w:hAnsi="Times New Roman" w:eastAsia="宋体" w:cs="Times New Roman"/>
                <w:b/>
                <w:bCs/>
                <w:color w:val="0000FF"/>
                <w:sz w:val="21"/>
                <w:szCs w:val="21"/>
                <w:highlight w:val="none"/>
              </w:rPr>
              <w:t>建筑施工场界环境噪声排放标准》</w:t>
            </w:r>
            <w:r>
              <w:rPr>
                <w:rFonts w:hint="default" w:ascii="Times New Roman" w:hAnsi="Times New Roman" w:eastAsia="宋体" w:cs="Times New Roman"/>
                <w:b/>
                <w:bCs/>
                <w:color w:val="0000FF"/>
                <w:sz w:val="21"/>
                <w:szCs w:val="21"/>
                <w:highlight w:val="none"/>
              </w:rPr>
              <w:fldChar w:fldCharType="end"/>
            </w:r>
            <w:r>
              <w:rPr>
                <w:rFonts w:hint="default" w:ascii="Times New Roman" w:hAnsi="Times New Roman" w:eastAsia="宋体" w:cs="Times New Roman"/>
                <w:b/>
                <w:bCs/>
                <w:color w:val="0000FF"/>
                <w:sz w:val="21"/>
                <w:szCs w:val="21"/>
                <w:highlight w:val="none"/>
              </w:rPr>
              <w:t xml:space="preserve"> 单位：Leq[dB(A)]</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6"/>
              <w:gridCol w:w="1589"/>
              <w:gridCol w:w="4953"/>
            </w:tblGrid>
            <w:tr w14:paraId="4E45F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1892" w:type="pct"/>
                  <w:gridSpan w:val="2"/>
                  <w:tcBorders>
                    <w:tl2br w:val="nil"/>
                    <w:tr2bl w:val="nil"/>
                  </w:tcBorders>
                  <w:noWrap w:val="0"/>
                  <w:vAlign w:val="center"/>
                </w:tcPr>
                <w:p w14:paraId="4C83E13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0000FF"/>
                      <w:szCs w:val="21"/>
                      <w:highlight w:val="none"/>
                    </w:rPr>
                  </w:pPr>
                  <w:r>
                    <w:rPr>
                      <w:rFonts w:hint="default" w:ascii="Times New Roman" w:hAnsi="Times New Roman" w:eastAsia="宋体" w:cs="Times New Roman"/>
                      <w:b/>
                      <w:bCs/>
                      <w:color w:val="0000FF"/>
                      <w:szCs w:val="21"/>
                      <w:highlight w:val="none"/>
                    </w:rPr>
                    <w:t>噪声限值</w:t>
                  </w:r>
                </w:p>
              </w:tc>
              <w:tc>
                <w:tcPr>
                  <w:tcW w:w="3107" w:type="pct"/>
                  <w:vMerge w:val="restart"/>
                  <w:tcBorders>
                    <w:tl2br w:val="nil"/>
                    <w:tr2bl w:val="nil"/>
                  </w:tcBorders>
                  <w:noWrap w:val="0"/>
                  <w:vAlign w:val="center"/>
                </w:tcPr>
                <w:p w14:paraId="5C1314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0000FF"/>
                      <w:szCs w:val="21"/>
                      <w:highlight w:val="none"/>
                    </w:rPr>
                  </w:pPr>
                  <w:r>
                    <w:rPr>
                      <w:rFonts w:hint="default" w:ascii="Times New Roman" w:hAnsi="Times New Roman" w:eastAsia="宋体" w:cs="Times New Roman"/>
                      <w:b/>
                      <w:bCs/>
                      <w:color w:val="0000FF"/>
                      <w:szCs w:val="21"/>
                      <w:highlight w:val="none"/>
                    </w:rPr>
                    <w:t>依据标准</w:t>
                  </w:r>
                </w:p>
              </w:tc>
            </w:tr>
            <w:tr w14:paraId="38A21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895" w:type="pct"/>
                  <w:tcBorders>
                    <w:tl2br w:val="nil"/>
                    <w:tr2bl w:val="nil"/>
                  </w:tcBorders>
                  <w:noWrap w:val="0"/>
                  <w:vAlign w:val="center"/>
                </w:tcPr>
                <w:p w14:paraId="60C8CB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0000FF"/>
                      <w:szCs w:val="21"/>
                      <w:highlight w:val="none"/>
                    </w:rPr>
                  </w:pPr>
                  <w:r>
                    <w:rPr>
                      <w:rFonts w:hint="default" w:ascii="Times New Roman" w:hAnsi="Times New Roman" w:eastAsia="宋体" w:cs="Times New Roman"/>
                      <w:b/>
                      <w:bCs/>
                      <w:color w:val="0000FF"/>
                      <w:szCs w:val="21"/>
                      <w:highlight w:val="none"/>
                    </w:rPr>
                    <w:t>昼间</w:t>
                  </w:r>
                </w:p>
              </w:tc>
              <w:tc>
                <w:tcPr>
                  <w:tcW w:w="997" w:type="pct"/>
                  <w:tcBorders>
                    <w:tl2br w:val="nil"/>
                    <w:tr2bl w:val="nil"/>
                  </w:tcBorders>
                  <w:noWrap w:val="0"/>
                  <w:vAlign w:val="center"/>
                </w:tcPr>
                <w:p w14:paraId="35D75C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b/>
                      <w:bCs/>
                      <w:color w:val="0000FF"/>
                      <w:szCs w:val="21"/>
                      <w:highlight w:val="none"/>
                    </w:rPr>
                  </w:pPr>
                  <w:r>
                    <w:rPr>
                      <w:rFonts w:hint="default" w:ascii="Times New Roman" w:hAnsi="Times New Roman" w:eastAsia="宋体" w:cs="Times New Roman"/>
                      <w:b/>
                      <w:bCs/>
                      <w:color w:val="0000FF"/>
                      <w:szCs w:val="21"/>
                      <w:highlight w:val="none"/>
                    </w:rPr>
                    <w:t>夜间</w:t>
                  </w:r>
                </w:p>
              </w:tc>
              <w:tc>
                <w:tcPr>
                  <w:tcW w:w="3107" w:type="pct"/>
                  <w:vMerge w:val="continue"/>
                  <w:tcBorders>
                    <w:tl2br w:val="nil"/>
                    <w:tr2bl w:val="nil"/>
                  </w:tcBorders>
                  <w:noWrap w:val="0"/>
                  <w:vAlign w:val="center"/>
                </w:tcPr>
                <w:p w14:paraId="785F201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FF"/>
                      <w:szCs w:val="21"/>
                      <w:highlight w:val="none"/>
                    </w:rPr>
                  </w:pPr>
                </w:p>
              </w:tc>
            </w:tr>
            <w:tr w14:paraId="07B32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895" w:type="pct"/>
                  <w:tcBorders>
                    <w:tl2br w:val="nil"/>
                    <w:tr2bl w:val="nil"/>
                  </w:tcBorders>
                  <w:noWrap w:val="0"/>
                  <w:vAlign w:val="center"/>
                </w:tcPr>
                <w:p w14:paraId="4761FA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70</w:t>
                  </w:r>
                </w:p>
              </w:tc>
              <w:tc>
                <w:tcPr>
                  <w:tcW w:w="997" w:type="pct"/>
                  <w:tcBorders>
                    <w:tl2br w:val="nil"/>
                    <w:tr2bl w:val="nil"/>
                  </w:tcBorders>
                  <w:noWrap w:val="0"/>
                  <w:vAlign w:val="center"/>
                </w:tcPr>
                <w:p w14:paraId="35418E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55</w:t>
                  </w:r>
                </w:p>
              </w:tc>
              <w:tc>
                <w:tcPr>
                  <w:tcW w:w="3107" w:type="pct"/>
                  <w:tcBorders>
                    <w:tl2br w:val="nil"/>
                    <w:tr2bl w:val="nil"/>
                  </w:tcBorders>
                  <w:noWrap w:val="0"/>
                  <w:vAlign w:val="center"/>
                </w:tcPr>
                <w:p w14:paraId="612616C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0" w:firstLineChars="0"/>
                    <w:jc w:val="center"/>
                    <w:textAlignment w:val="auto"/>
                    <w:rPr>
                      <w:rFonts w:hint="default" w:ascii="Times New Roman" w:hAnsi="Times New Roman" w:eastAsia="宋体" w:cs="Times New Roman"/>
                      <w:color w:val="0000FF"/>
                      <w:szCs w:val="21"/>
                      <w:highlight w:val="none"/>
                    </w:rPr>
                  </w:pPr>
                  <w:r>
                    <w:rPr>
                      <w:rFonts w:hint="default" w:ascii="Times New Roman" w:hAnsi="Times New Roman" w:eastAsia="宋体" w:cs="Times New Roman"/>
                      <w:color w:val="0000FF"/>
                      <w:szCs w:val="21"/>
                      <w:highlight w:val="none"/>
                    </w:rPr>
                    <w:t>《</w:t>
                  </w:r>
                  <w:r>
                    <w:rPr>
                      <w:rFonts w:hint="default" w:ascii="Times New Roman" w:hAnsi="Times New Roman" w:eastAsia="宋体" w:cs="Times New Roman"/>
                      <w:color w:val="0000FF"/>
                      <w:highlight w:val="none"/>
                    </w:rPr>
                    <w:fldChar w:fldCharType="begin"/>
                  </w:r>
                  <w:r>
                    <w:rPr>
                      <w:rFonts w:hint="default" w:ascii="Times New Roman" w:hAnsi="Times New Roman" w:eastAsia="宋体" w:cs="Times New Roman"/>
                      <w:color w:val="0000FF"/>
                      <w:highlight w:val="none"/>
                    </w:rPr>
                    <w:instrText xml:space="preserve"> HYPERLINK "http://www.eiafans.com/thread-308738-1-1.html" \t "_blank" </w:instrText>
                  </w:r>
                  <w:r>
                    <w:rPr>
                      <w:rFonts w:hint="default" w:ascii="Times New Roman" w:hAnsi="Times New Roman" w:eastAsia="宋体" w:cs="Times New Roman"/>
                      <w:color w:val="0000FF"/>
                      <w:highlight w:val="none"/>
                    </w:rPr>
                    <w:fldChar w:fldCharType="separate"/>
                  </w:r>
                  <w:r>
                    <w:rPr>
                      <w:rFonts w:hint="default" w:ascii="Times New Roman" w:hAnsi="Times New Roman" w:eastAsia="宋体" w:cs="Times New Roman"/>
                      <w:color w:val="0000FF"/>
                      <w:szCs w:val="21"/>
                      <w:highlight w:val="none"/>
                    </w:rPr>
                    <w:t>建筑施工场界环境噪声排放标准》（GB12523－20</w:t>
                  </w:r>
                  <w:r>
                    <w:rPr>
                      <w:rFonts w:hint="eastAsia" w:cs="Times New Roman"/>
                      <w:color w:val="0000FF"/>
                      <w:szCs w:val="21"/>
                      <w:highlight w:val="none"/>
                      <w:lang w:val="en-US" w:eastAsia="zh-CN"/>
                    </w:rPr>
                    <w:t>25</w:t>
                  </w:r>
                  <w:r>
                    <w:rPr>
                      <w:rFonts w:hint="default" w:ascii="Times New Roman" w:hAnsi="Times New Roman" w:eastAsia="宋体" w:cs="Times New Roman"/>
                      <w:color w:val="0000FF"/>
                      <w:szCs w:val="21"/>
                      <w:highlight w:val="none"/>
                    </w:rPr>
                    <w:t>）</w:t>
                  </w:r>
                  <w:r>
                    <w:rPr>
                      <w:rFonts w:hint="default" w:ascii="Times New Roman" w:hAnsi="Times New Roman" w:eastAsia="宋体" w:cs="Times New Roman"/>
                      <w:color w:val="0000FF"/>
                      <w:szCs w:val="21"/>
                      <w:highlight w:val="none"/>
                    </w:rPr>
                    <w:fldChar w:fldCharType="end"/>
                  </w:r>
                </w:p>
              </w:tc>
            </w:tr>
          </w:tbl>
          <w:p w14:paraId="6F23C8AB">
            <w:pPr>
              <w:pStyle w:val="6"/>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3.2营运期</w:t>
            </w:r>
          </w:p>
          <w:p w14:paraId="57C89FBA">
            <w:pPr>
              <w:widowControl/>
              <w:adjustRightInd w:val="0"/>
              <w:snapToGrid w:val="0"/>
              <w:spacing w:line="360" w:lineRule="auto"/>
              <w:ind w:firstLine="480" w:firstLineChars="200"/>
              <w:jc w:val="left"/>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rPr>
              <w:t>本项目位于</w:t>
            </w:r>
            <w:r>
              <w:rPr>
                <w:rFonts w:hint="eastAsia" w:cs="Times New Roman"/>
                <w:color w:val="0000FF"/>
                <w:sz w:val="24"/>
                <w:szCs w:val="24"/>
                <w:highlight w:val="none"/>
                <w:lang w:val="en-US" w:eastAsia="zh-CN"/>
              </w:rPr>
              <w:t>内蒙古包头</w:t>
            </w:r>
            <w:r>
              <w:rPr>
                <w:rFonts w:hint="default" w:ascii="Times New Roman" w:hAnsi="Times New Roman" w:cs="Times New Roman"/>
                <w:color w:val="0000FF"/>
                <w:sz w:val="24"/>
                <w:szCs w:val="24"/>
                <w:highlight w:val="none"/>
                <w:lang w:val="en-US" w:eastAsia="zh-CN"/>
              </w:rPr>
              <w:t>九原工业园区</w:t>
            </w:r>
            <w:r>
              <w:rPr>
                <w:rFonts w:hint="eastAsia" w:cs="Times New Roman"/>
                <w:color w:val="0000FF"/>
                <w:kern w:val="0"/>
                <w:sz w:val="24"/>
                <w:szCs w:val="24"/>
                <w:shd w:val="clear" w:color="auto" w:fill="auto"/>
                <w:lang w:eastAsia="zh-CN"/>
              </w:rPr>
              <w:t>—</w:t>
            </w:r>
            <w:r>
              <w:rPr>
                <w:rFonts w:hint="default" w:ascii="Times New Roman" w:hAnsi="Times New Roman" w:eastAsia="宋体" w:cs="Times New Roman"/>
                <w:color w:val="0000FF"/>
                <w:kern w:val="0"/>
                <w:sz w:val="24"/>
                <w:szCs w:val="24"/>
                <w:shd w:val="clear" w:color="auto" w:fill="auto"/>
              </w:rPr>
              <w:t>新材料产业园</w:t>
            </w:r>
            <w:r>
              <w:rPr>
                <w:rFonts w:hint="default" w:ascii="Times New Roman" w:hAnsi="Times New Roman" w:cs="Times New Roman"/>
                <w:color w:val="auto"/>
                <w:kern w:val="0"/>
                <w:sz w:val="24"/>
                <w:szCs w:val="24"/>
              </w:rPr>
              <w:t>新型化工与高分子新材料产业区，根据</w:t>
            </w:r>
            <w:r>
              <w:rPr>
                <w:rFonts w:hint="default" w:ascii="Times New Roman" w:hAnsi="Times New Roman" w:cs="Times New Roman"/>
                <w:color w:val="auto"/>
                <w:kern w:val="0"/>
                <w:sz w:val="24"/>
                <w:szCs w:val="24"/>
                <w:lang w:eastAsia="zh-CN"/>
              </w:rPr>
              <w:t>《</w:t>
            </w:r>
            <w:r>
              <w:rPr>
                <w:rFonts w:hint="default" w:ascii="Times New Roman" w:hAnsi="Times New Roman" w:eastAsia="宋体" w:cs="Times New Roman"/>
                <w:color w:val="auto"/>
                <w:kern w:val="0"/>
                <w:sz w:val="24"/>
                <w:szCs w:val="24"/>
                <w:shd w:val="clear" w:color="auto" w:fill="auto"/>
                <w:lang w:val="en-US" w:eastAsia="zh-CN"/>
              </w:rPr>
              <w:t>内蒙古包头九原工业园区—新材料产业园总体规划（2021</w:t>
            </w:r>
            <w:r>
              <w:rPr>
                <w:rFonts w:hint="default" w:ascii="Times New Roman" w:hAnsi="Times New Roman" w:cs="Times New Roman"/>
                <w:color w:val="auto"/>
                <w:kern w:val="0"/>
                <w:sz w:val="24"/>
                <w:szCs w:val="24"/>
                <w:shd w:val="clear" w:color="auto" w:fill="auto"/>
                <w:lang w:val="en-US" w:eastAsia="zh-CN"/>
              </w:rPr>
              <w:t>~</w:t>
            </w:r>
            <w:r>
              <w:rPr>
                <w:rFonts w:hint="default" w:ascii="Times New Roman" w:hAnsi="Times New Roman" w:eastAsia="宋体" w:cs="Times New Roman"/>
                <w:color w:val="auto"/>
                <w:kern w:val="0"/>
                <w:sz w:val="24"/>
                <w:szCs w:val="24"/>
                <w:shd w:val="clear" w:color="auto" w:fill="auto"/>
                <w:lang w:val="en-US" w:eastAsia="zh-CN"/>
              </w:rPr>
              <w:t>2030）环境影响报告书</w:t>
            </w:r>
            <w:r>
              <w:rPr>
                <w:rFonts w:hint="default"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lang w:val="en-US" w:eastAsia="zh-CN"/>
              </w:rPr>
              <w:t>，</w:t>
            </w:r>
            <w:r>
              <w:rPr>
                <w:rFonts w:hint="eastAsia" w:cs="Times New Roman"/>
                <w:color w:val="auto"/>
                <w:kern w:val="0"/>
                <w:sz w:val="24"/>
                <w:szCs w:val="24"/>
                <w:lang w:val="en-US" w:eastAsia="zh-CN"/>
              </w:rPr>
              <w:t>内蒙古</w:t>
            </w:r>
            <w:r>
              <w:rPr>
                <w:rFonts w:hint="default" w:ascii="Times New Roman" w:hAnsi="Times New Roman" w:cs="Times New Roman"/>
                <w:color w:val="auto"/>
                <w:kern w:val="0"/>
                <w:sz w:val="24"/>
                <w:szCs w:val="24"/>
              </w:rPr>
              <w:t>包头九原工业园区工业用地执行《声环境质量标准》(GB3096-2008)中的3类标准；</w:t>
            </w:r>
            <w:r>
              <w:rPr>
                <w:rFonts w:hint="default" w:ascii="Times New Roman" w:hAnsi="Times New Roman" w:cs="Times New Roman"/>
                <w:color w:val="auto"/>
                <w:kern w:val="0"/>
                <w:sz w:val="24"/>
                <w:szCs w:val="24"/>
                <w:lang w:val="en-US" w:eastAsia="zh-CN"/>
              </w:rPr>
              <w:t>本项目用地性质为工业用地，</w:t>
            </w:r>
            <w:r>
              <w:rPr>
                <w:rFonts w:hint="default" w:ascii="Times New Roman" w:hAnsi="Times New Roman" w:cs="Times New Roman"/>
                <w:color w:val="auto"/>
                <w:kern w:val="0"/>
                <w:sz w:val="24"/>
                <w:szCs w:val="24"/>
              </w:rPr>
              <w:t>属于3类区，执行3类声环境标准</w:t>
            </w:r>
            <w:r>
              <w:rPr>
                <w:rFonts w:hint="default" w:ascii="Times New Roman" w:hAnsi="Times New Roman" w:cs="Times New Roman"/>
                <w:color w:val="auto"/>
                <w:kern w:val="0"/>
                <w:sz w:val="24"/>
                <w:szCs w:val="24"/>
                <w:lang w:eastAsia="zh-CN"/>
              </w:rPr>
              <w:t>，</w:t>
            </w:r>
            <w:r>
              <w:rPr>
                <w:rFonts w:hint="default" w:ascii="Times New Roman" w:hAnsi="Times New Roman" w:cs="Times New Roman"/>
                <w:color w:val="auto"/>
                <w:kern w:val="0"/>
                <w:sz w:val="24"/>
                <w:szCs w:val="24"/>
                <w:lang w:val="en-US" w:eastAsia="zh-CN"/>
              </w:rPr>
              <w:t>具体标准限值见下表</w:t>
            </w:r>
            <w:r>
              <w:rPr>
                <w:rFonts w:hint="default" w:ascii="Times New Roman" w:hAnsi="Times New Roman" w:cs="Times New Roman"/>
                <w:color w:val="auto"/>
                <w:sz w:val="24"/>
                <w:szCs w:val="24"/>
              </w:rPr>
              <w:t>。</w:t>
            </w:r>
          </w:p>
          <w:p w14:paraId="591C19D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en-US" w:eastAsia="zh-CN"/>
              </w:rPr>
              <w:t>表3</w:t>
            </w:r>
            <w:r>
              <w:rPr>
                <w:rFonts w:hint="default" w:ascii="Times New Roman" w:hAnsi="Times New Roman"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lang w:val="en-US" w:eastAsia="zh-CN"/>
              </w:rPr>
              <w:t xml:space="preserve">   《工业企业厂界环境噪声排放标准》（GB12348—2008）</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500"/>
              <w:gridCol w:w="1636"/>
              <w:gridCol w:w="1642"/>
              <w:gridCol w:w="3192"/>
            </w:tblGrid>
            <w:tr w14:paraId="641C9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22" w:hRule="atLeast"/>
                <w:jc w:val="center"/>
              </w:trPr>
              <w:tc>
                <w:tcPr>
                  <w:tcW w:w="941" w:type="pct"/>
                  <w:noWrap w:val="0"/>
                  <w:vAlign w:val="center"/>
                </w:tcPr>
                <w:p w14:paraId="2CE9F7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8"/>
                      <w:sz w:val="21"/>
                      <w:szCs w:val="21"/>
                      <w:highlight w:val="none"/>
                    </w:rPr>
                  </w:pPr>
                  <w:r>
                    <w:rPr>
                      <w:rFonts w:hint="default" w:ascii="Times New Roman" w:hAnsi="Times New Roman" w:eastAsia="宋体" w:cs="Times New Roman"/>
                      <w:b/>
                      <w:bCs/>
                      <w:color w:val="auto"/>
                      <w:spacing w:val="8"/>
                      <w:sz w:val="21"/>
                      <w:szCs w:val="21"/>
                      <w:highlight w:val="none"/>
                    </w:rPr>
                    <w:t>项  目</w:t>
                  </w:r>
                </w:p>
              </w:tc>
              <w:tc>
                <w:tcPr>
                  <w:tcW w:w="2056" w:type="pct"/>
                  <w:gridSpan w:val="2"/>
                  <w:noWrap w:val="0"/>
                  <w:vAlign w:val="center"/>
                </w:tcPr>
                <w:p w14:paraId="10026A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8"/>
                      <w:sz w:val="21"/>
                      <w:szCs w:val="21"/>
                      <w:highlight w:val="none"/>
                    </w:rPr>
                  </w:pPr>
                  <w:r>
                    <w:rPr>
                      <w:rFonts w:hint="default" w:ascii="Times New Roman" w:hAnsi="Times New Roman" w:eastAsia="宋体" w:cs="Times New Roman"/>
                      <w:b/>
                      <w:bCs/>
                      <w:color w:val="auto"/>
                      <w:spacing w:val="8"/>
                      <w:sz w:val="21"/>
                      <w:szCs w:val="21"/>
                      <w:highlight w:val="none"/>
                    </w:rPr>
                    <w:t>噪声限值〔等效声级dB(A)〕</w:t>
                  </w:r>
                </w:p>
              </w:tc>
              <w:tc>
                <w:tcPr>
                  <w:tcW w:w="2002" w:type="pct"/>
                  <w:noWrap w:val="0"/>
                  <w:vAlign w:val="center"/>
                </w:tcPr>
                <w:p w14:paraId="3BCDBA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spacing w:val="8"/>
                      <w:sz w:val="21"/>
                      <w:szCs w:val="21"/>
                      <w:highlight w:val="none"/>
                    </w:rPr>
                  </w:pPr>
                  <w:r>
                    <w:rPr>
                      <w:rFonts w:hint="default" w:ascii="Times New Roman" w:hAnsi="Times New Roman" w:eastAsia="宋体" w:cs="Times New Roman"/>
                      <w:b/>
                      <w:bCs/>
                      <w:color w:val="auto"/>
                      <w:spacing w:val="8"/>
                      <w:sz w:val="21"/>
                      <w:szCs w:val="21"/>
                      <w:highlight w:val="none"/>
                    </w:rPr>
                    <w:t>标准来源</w:t>
                  </w:r>
                </w:p>
              </w:tc>
            </w:tr>
            <w:tr w14:paraId="50C14F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704" w:hRule="atLeast"/>
                <w:jc w:val="center"/>
              </w:trPr>
              <w:tc>
                <w:tcPr>
                  <w:tcW w:w="941" w:type="pct"/>
                  <w:noWrap w:val="0"/>
                  <w:vAlign w:val="center"/>
                </w:tcPr>
                <w:p w14:paraId="2ED7BA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厂界噪声</w:t>
                  </w:r>
                </w:p>
              </w:tc>
              <w:tc>
                <w:tcPr>
                  <w:tcW w:w="1026" w:type="pct"/>
                  <w:noWrap w:val="0"/>
                  <w:vAlign w:val="center"/>
                </w:tcPr>
                <w:p w14:paraId="27BFBD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昼间65</w:t>
                  </w:r>
                </w:p>
              </w:tc>
              <w:tc>
                <w:tcPr>
                  <w:tcW w:w="1029" w:type="pct"/>
                  <w:noWrap w:val="0"/>
                  <w:vAlign w:val="center"/>
                </w:tcPr>
                <w:p w14:paraId="7C9168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夜间55</w:t>
                  </w:r>
                </w:p>
              </w:tc>
              <w:tc>
                <w:tcPr>
                  <w:tcW w:w="2002" w:type="pct"/>
                  <w:noWrap w:val="0"/>
                  <w:vAlign w:val="center"/>
                </w:tcPr>
                <w:p w14:paraId="1666C7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《工业企业厂界环境噪声排放标准》(GB12348-2008)3类标准</w:t>
                  </w:r>
                </w:p>
              </w:tc>
            </w:tr>
          </w:tbl>
          <w:p w14:paraId="7809257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lang w:val="en-US" w:eastAsia="zh-CN"/>
              </w:rPr>
              <w:t>4</w:t>
            </w:r>
            <w:r>
              <w:rPr>
                <w:rFonts w:hint="default" w:ascii="Times New Roman" w:hAnsi="Times New Roman" w:cs="Times New Roman"/>
                <w:b/>
                <w:bCs/>
                <w:color w:val="auto"/>
                <w:sz w:val="24"/>
                <w:szCs w:val="24"/>
              </w:rPr>
              <w:t>、固废</w:t>
            </w:r>
          </w:p>
          <w:p w14:paraId="0EC5895B">
            <w:pPr>
              <w:spacing w:line="360" w:lineRule="auto"/>
              <w:ind w:firstLine="480" w:firstLineChars="200"/>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rPr>
              <w:t>一般</w:t>
            </w:r>
            <w:r>
              <w:rPr>
                <w:rFonts w:hint="default" w:ascii="Times New Roman" w:hAnsi="Times New Roman" w:cs="Times New Roman"/>
                <w:color w:val="auto"/>
                <w:sz w:val="24"/>
                <w:szCs w:val="24"/>
                <w:lang w:val="en-US" w:eastAsia="zh-CN"/>
              </w:rPr>
              <w:t>工业</w:t>
            </w:r>
            <w:r>
              <w:rPr>
                <w:rFonts w:hint="default" w:ascii="Times New Roman" w:hAnsi="Times New Roman" w:cs="Times New Roman"/>
                <w:color w:val="auto"/>
                <w:sz w:val="24"/>
                <w:szCs w:val="24"/>
              </w:rPr>
              <w:t>固体废物</w:t>
            </w:r>
            <w:r>
              <w:rPr>
                <w:rFonts w:hint="default" w:ascii="Times New Roman" w:hAnsi="Times New Roman" w:cs="Times New Roman"/>
                <w:color w:val="auto"/>
                <w:sz w:val="24"/>
                <w:szCs w:val="24"/>
                <w:lang w:val="en-US" w:eastAsia="zh-CN"/>
              </w:rPr>
              <w:t>的贮存执行</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一般工业固体废物贮存和填埋污染控制标准</w:t>
            </w:r>
            <w:r>
              <w:rPr>
                <w:rFonts w:hint="default" w:ascii="Times New Roman" w:hAnsi="Times New Roman" w:cs="Times New Roman"/>
                <w:color w:val="auto"/>
                <w:sz w:val="24"/>
                <w:szCs w:val="24"/>
              </w:rPr>
              <w:t>》(GB18599-20</w:t>
            </w:r>
            <w:r>
              <w:rPr>
                <w:rFonts w:hint="default" w:ascii="Times New Roman" w:hAnsi="Times New Roman" w:cs="Times New Roman"/>
                <w:color w:val="auto"/>
                <w:sz w:val="24"/>
                <w:szCs w:val="24"/>
                <w:lang w:val="en-US" w:eastAsia="zh-CN"/>
              </w:rPr>
              <w:t>20</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中要求；</w:t>
            </w:r>
          </w:p>
          <w:p w14:paraId="7B668318">
            <w:pPr>
              <w:spacing w:line="360" w:lineRule="auto"/>
              <w:ind w:firstLine="480" w:firstLineChars="20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4"/>
                <w:szCs w:val="24"/>
                <w:lang w:eastAsia="zh-CN"/>
              </w:rPr>
              <w:t>危险废物</w:t>
            </w:r>
            <w:r>
              <w:rPr>
                <w:rFonts w:hint="default" w:ascii="Times New Roman" w:hAnsi="Times New Roman" w:cs="Times New Roman"/>
                <w:color w:val="auto"/>
                <w:sz w:val="24"/>
                <w:szCs w:val="24"/>
                <w:lang w:val="en-US" w:eastAsia="zh-CN"/>
              </w:rPr>
              <w:t>暂存</w:t>
            </w:r>
            <w:r>
              <w:rPr>
                <w:rFonts w:hint="default" w:ascii="Times New Roman" w:hAnsi="Times New Roman" w:cs="Times New Roman"/>
                <w:color w:val="auto"/>
                <w:sz w:val="24"/>
                <w:szCs w:val="24"/>
                <w:lang w:eastAsia="zh-CN"/>
              </w:rPr>
              <w:t>执行《危险废物贮存污染控制标准》（GB18597-2023）。</w:t>
            </w:r>
          </w:p>
        </w:tc>
      </w:tr>
      <w:tr w14:paraId="181BDC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07" w:hRule="atLeast"/>
          <w:jc w:val="center"/>
        </w:trPr>
        <w:tc>
          <w:tcPr>
            <w:tcW w:w="800" w:type="dxa"/>
            <w:shd w:val="clear" w:color="auto" w:fill="auto"/>
            <w:noWrap w:val="0"/>
            <w:tcMar>
              <w:left w:w="28" w:type="dxa"/>
              <w:right w:w="28" w:type="dxa"/>
            </w:tcMar>
            <w:vAlign w:val="center"/>
          </w:tcPr>
          <w:p w14:paraId="36CB123A">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总量</w:t>
            </w:r>
          </w:p>
          <w:p w14:paraId="06B44188">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控制</w:t>
            </w:r>
          </w:p>
          <w:p w14:paraId="777236E9">
            <w:pPr>
              <w:keepNext w:val="0"/>
              <w:keepLines w:val="0"/>
              <w:pageBreakBefore w:val="0"/>
              <w:widowControl w:val="0"/>
              <w:kinsoku/>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 w:val="24"/>
                <w:szCs w:val="24"/>
              </w:rPr>
              <w:t>指标</w:t>
            </w:r>
          </w:p>
        </w:tc>
        <w:tc>
          <w:tcPr>
            <w:tcW w:w="8148" w:type="dxa"/>
            <w:shd w:val="clear" w:color="auto" w:fill="auto"/>
            <w:noWrap w:val="0"/>
            <w:vAlign w:val="center"/>
          </w:tcPr>
          <w:p w14:paraId="563776BE">
            <w:pPr>
              <w:pStyle w:val="47"/>
              <w:spacing w:line="466" w:lineRule="exact"/>
              <w:ind w:firstLine="480"/>
              <w:jc w:val="left"/>
              <w:rPr>
                <w:rFonts w:hint="default" w:ascii="Times New Roman" w:hAnsi="Times New Roman" w:cs="Times New Roman"/>
                <w:color w:val="0000FF"/>
                <w:sz w:val="24"/>
                <w:szCs w:val="22"/>
                <w:highlight w:val="none"/>
              </w:rPr>
            </w:pPr>
            <w:r>
              <w:rPr>
                <w:rFonts w:hint="default" w:ascii="Times New Roman" w:hAnsi="Times New Roman" w:cs="Times New Roman"/>
                <w:color w:val="0000FF"/>
                <w:sz w:val="24"/>
                <w:szCs w:val="22"/>
                <w:highlight w:val="none"/>
              </w:rPr>
              <w:t>总量控制指标：根据《包头市“十四五”生态环境保护规划》及《建设项目主要污染物排放总量指标审核及管理暂行办法》，实行排放总量控制计划管理的污染物为挥发性有机物、NOx、SO</w:t>
            </w:r>
            <w:r>
              <w:rPr>
                <w:rFonts w:hint="default" w:ascii="Times New Roman" w:hAnsi="Times New Roman" w:cs="Times New Roman"/>
                <w:color w:val="0000FF"/>
                <w:sz w:val="24"/>
                <w:szCs w:val="22"/>
                <w:highlight w:val="none"/>
                <w:vertAlign w:val="subscript"/>
              </w:rPr>
              <w:t>2</w:t>
            </w:r>
            <w:r>
              <w:rPr>
                <w:rFonts w:hint="default" w:ascii="Times New Roman" w:hAnsi="Times New Roman" w:cs="Times New Roman"/>
                <w:color w:val="0000FF"/>
                <w:sz w:val="24"/>
                <w:szCs w:val="22"/>
                <w:highlight w:val="none"/>
              </w:rPr>
              <w:t>。本项目涉及总量的废气污染物为</w:t>
            </w:r>
            <w:r>
              <w:rPr>
                <w:rFonts w:hint="eastAsia" w:hAnsi="Times New Roman" w:cs="Times New Roman"/>
                <w:color w:val="0000FF"/>
                <w:sz w:val="24"/>
                <w:szCs w:val="22"/>
                <w:highlight w:val="none"/>
                <w:lang w:val="en-US" w:eastAsia="zh-CN"/>
              </w:rPr>
              <w:t>VOCs（以</w:t>
            </w:r>
            <w:r>
              <w:rPr>
                <w:rFonts w:hint="default" w:ascii="Times New Roman" w:hAnsi="Times New Roman" w:cs="Times New Roman"/>
                <w:color w:val="0000FF"/>
                <w:sz w:val="24"/>
                <w:szCs w:val="22"/>
                <w:highlight w:val="none"/>
              </w:rPr>
              <w:t>非甲烷总烃</w:t>
            </w:r>
            <w:r>
              <w:rPr>
                <w:rFonts w:hint="eastAsia" w:hAnsi="Times New Roman" w:cs="Times New Roman"/>
                <w:color w:val="0000FF"/>
                <w:sz w:val="24"/>
                <w:szCs w:val="22"/>
                <w:highlight w:val="none"/>
                <w:lang w:val="en-US" w:eastAsia="zh-CN"/>
              </w:rPr>
              <w:t>计）</w:t>
            </w:r>
            <w:r>
              <w:rPr>
                <w:rFonts w:hint="default" w:ascii="Times New Roman" w:hAnsi="Times New Roman" w:cs="Times New Roman"/>
                <w:color w:val="0000FF"/>
                <w:sz w:val="24"/>
                <w:szCs w:val="22"/>
                <w:highlight w:val="none"/>
              </w:rPr>
              <w:t>、NOx、SO</w:t>
            </w:r>
            <w:r>
              <w:rPr>
                <w:rFonts w:hint="default" w:ascii="Times New Roman" w:hAnsi="Times New Roman" w:cs="Times New Roman"/>
                <w:color w:val="0000FF"/>
                <w:sz w:val="24"/>
                <w:szCs w:val="22"/>
                <w:highlight w:val="none"/>
                <w:vertAlign w:val="subscript"/>
              </w:rPr>
              <w:t>2</w:t>
            </w:r>
            <w:r>
              <w:rPr>
                <w:rFonts w:hint="default" w:ascii="Times New Roman" w:hAnsi="Times New Roman" w:cs="Times New Roman"/>
                <w:color w:val="0000FF"/>
                <w:sz w:val="24"/>
                <w:szCs w:val="22"/>
                <w:highlight w:val="none"/>
              </w:rPr>
              <w:t>，排放量</w:t>
            </w:r>
            <w:r>
              <w:rPr>
                <w:rFonts w:hint="default" w:ascii="Times New Roman" w:hAnsi="Times New Roman" w:cs="Times New Roman"/>
                <w:color w:val="0000FF"/>
                <w:sz w:val="24"/>
                <w:szCs w:val="22"/>
                <w:highlight w:val="none"/>
                <w:lang w:val="en-US" w:eastAsia="zh-CN"/>
              </w:rPr>
              <w:t>分别</w:t>
            </w:r>
            <w:r>
              <w:rPr>
                <w:rFonts w:hint="default" w:ascii="Times New Roman" w:hAnsi="Times New Roman" w:cs="Times New Roman"/>
                <w:color w:val="0000FF"/>
                <w:sz w:val="24"/>
                <w:szCs w:val="22"/>
                <w:highlight w:val="none"/>
              </w:rPr>
              <w:t>为</w:t>
            </w:r>
            <w:r>
              <w:rPr>
                <w:rFonts w:hint="eastAsia" w:hAnsi="Times New Roman" w:cs="Times New Roman"/>
                <w:color w:val="0000FF"/>
                <w:sz w:val="24"/>
                <w:szCs w:val="22"/>
                <w:highlight w:val="none"/>
                <w:lang w:val="en-US" w:eastAsia="zh-CN"/>
              </w:rPr>
              <w:t>2.716</w:t>
            </w:r>
            <w:r>
              <w:rPr>
                <w:rFonts w:hint="default" w:ascii="Times New Roman" w:hAnsi="Times New Roman" w:cs="Times New Roman"/>
                <w:color w:val="0000FF"/>
                <w:sz w:val="24"/>
                <w:szCs w:val="22"/>
                <w:highlight w:val="none"/>
              </w:rPr>
              <w:t>t/a</w:t>
            </w:r>
            <w:r>
              <w:rPr>
                <w:rFonts w:hint="default" w:ascii="Times New Roman" w:hAnsi="Times New Roman" w:cs="Times New Roman"/>
                <w:color w:val="0000FF"/>
                <w:sz w:val="24"/>
                <w:szCs w:val="22"/>
                <w:highlight w:val="none"/>
                <w:lang w:eastAsia="zh-CN"/>
              </w:rPr>
              <w:t>、</w:t>
            </w:r>
            <w:r>
              <w:rPr>
                <w:rFonts w:hint="default" w:ascii="Times New Roman" w:hAnsi="Times New Roman" w:cs="Times New Roman"/>
                <w:color w:val="0000FF"/>
                <w:sz w:val="24"/>
                <w:szCs w:val="22"/>
                <w:highlight w:val="none"/>
                <w:lang w:val="en-US" w:eastAsia="zh-CN"/>
              </w:rPr>
              <w:t>0.027t/a、0.006t/a</w:t>
            </w:r>
            <w:r>
              <w:rPr>
                <w:rFonts w:hint="default" w:ascii="Times New Roman" w:hAnsi="Times New Roman" w:cs="Times New Roman"/>
                <w:color w:val="0000FF"/>
                <w:sz w:val="24"/>
                <w:szCs w:val="22"/>
                <w:highlight w:val="none"/>
              </w:rPr>
              <w:t>。</w:t>
            </w:r>
          </w:p>
          <w:p w14:paraId="513FFEE9">
            <w:pPr>
              <w:pStyle w:val="47"/>
              <w:spacing w:line="466" w:lineRule="exact"/>
              <w:ind w:firstLine="480"/>
              <w:jc w:val="left"/>
              <w:rPr>
                <w:rFonts w:hint="default" w:ascii="Times New Roman" w:hAnsi="Times New Roman" w:cs="Times New Roman"/>
                <w:color w:val="0000FF"/>
                <w:sz w:val="24"/>
                <w:szCs w:val="22"/>
                <w:highlight w:val="none"/>
              </w:rPr>
            </w:pPr>
            <w:r>
              <w:rPr>
                <w:rFonts w:hint="default" w:ascii="Times New Roman" w:hAnsi="Times New Roman" w:cs="Times New Roman"/>
                <w:color w:val="0000FF"/>
                <w:sz w:val="24"/>
                <w:szCs w:val="22"/>
                <w:highlight w:val="none"/>
              </w:rPr>
              <w:t>区域削减：根据《包头市人民政府办公室关于印发包头市2025年污染防治攻坚战行动方案的通知》（包府办发[2025]23号），</w:t>
            </w:r>
            <w:r>
              <w:rPr>
                <w:rFonts w:hint="default" w:ascii="Times New Roman" w:hAnsi="Times New Roman" w:cs="Times New Roman"/>
                <w:color w:val="0000FF"/>
                <w:sz w:val="24"/>
                <w:szCs w:val="22"/>
                <w:highlight w:val="none"/>
                <w:lang w:val="en-US" w:eastAsia="zh-CN"/>
              </w:rPr>
              <w:t>颗粒物</w:t>
            </w:r>
            <w:r>
              <w:rPr>
                <w:rFonts w:hint="default" w:ascii="Times New Roman" w:hAnsi="Times New Roman" w:cs="Times New Roman"/>
                <w:color w:val="0000FF"/>
                <w:sz w:val="24"/>
                <w:szCs w:val="22"/>
                <w:highlight w:val="none"/>
              </w:rPr>
              <w:t>、SO</w:t>
            </w:r>
            <w:r>
              <w:rPr>
                <w:rFonts w:hint="default" w:ascii="Times New Roman" w:hAnsi="Times New Roman" w:cs="Times New Roman"/>
                <w:color w:val="0000FF"/>
                <w:sz w:val="24"/>
                <w:szCs w:val="22"/>
                <w:highlight w:val="none"/>
                <w:vertAlign w:val="subscript"/>
              </w:rPr>
              <w:t>2</w:t>
            </w:r>
            <w:r>
              <w:rPr>
                <w:rFonts w:hint="default" w:ascii="Times New Roman" w:hAnsi="Times New Roman" w:cs="Times New Roman"/>
                <w:color w:val="0000FF"/>
                <w:sz w:val="24"/>
                <w:szCs w:val="22"/>
                <w:highlight w:val="none"/>
                <w:vertAlign w:val="baseline"/>
                <w:lang w:eastAsia="zh-CN"/>
              </w:rPr>
              <w:t>、</w:t>
            </w:r>
            <w:r>
              <w:rPr>
                <w:rFonts w:hint="default" w:ascii="Times New Roman" w:hAnsi="Times New Roman" w:cs="Times New Roman"/>
                <w:color w:val="0000FF"/>
                <w:sz w:val="24"/>
                <w:szCs w:val="22"/>
                <w:highlight w:val="none"/>
              </w:rPr>
              <w:t>NOx、非甲烷总烃等实行</w:t>
            </w:r>
            <w:r>
              <w:rPr>
                <w:rFonts w:hint="default" w:ascii="Times New Roman" w:hAnsi="Times New Roman" w:cs="Times New Roman"/>
                <w:color w:val="0000FF"/>
                <w:sz w:val="24"/>
                <w:szCs w:val="22"/>
                <w:highlight w:val="none"/>
                <w:lang w:val="en-US" w:eastAsia="zh-CN"/>
              </w:rPr>
              <w:t>等</w:t>
            </w:r>
            <w:r>
              <w:rPr>
                <w:rFonts w:hint="default" w:ascii="Times New Roman" w:hAnsi="Times New Roman" w:cs="Times New Roman"/>
                <w:color w:val="0000FF"/>
                <w:sz w:val="24"/>
                <w:szCs w:val="22"/>
                <w:highlight w:val="none"/>
              </w:rPr>
              <w:t>量削减，</w:t>
            </w:r>
            <w:r>
              <w:rPr>
                <w:rFonts w:hint="default" w:ascii="Times New Roman" w:hAnsi="Times New Roman" w:cs="Times New Roman"/>
                <w:color w:val="0000FF"/>
                <w:sz w:val="24"/>
                <w:szCs w:val="22"/>
                <w:highlight w:val="none"/>
                <w:lang w:val="en-US" w:eastAsia="zh-CN"/>
              </w:rPr>
              <w:t>颗粒物</w:t>
            </w:r>
            <w:r>
              <w:rPr>
                <w:rFonts w:hint="default" w:ascii="Times New Roman" w:hAnsi="Times New Roman" w:cs="Times New Roman"/>
                <w:color w:val="0000FF"/>
                <w:sz w:val="24"/>
                <w:szCs w:val="22"/>
                <w:highlight w:val="none"/>
              </w:rPr>
              <w:t>、SO</w:t>
            </w:r>
            <w:r>
              <w:rPr>
                <w:rFonts w:hint="default" w:ascii="Times New Roman" w:hAnsi="Times New Roman" w:cs="Times New Roman"/>
                <w:color w:val="0000FF"/>
                <w:sz w:val="24"/>
                <w:szCs w:val="22"/>
                <w:highlight w:val="none"/>
                <w:vertAlign w:val="subscript"/>
              </w:rPr>
              <w:t>2</w:t>
            </w:r>
            <w:r>
              <w:rPr>
                <w:rFonts w:hint="default" w:ascii="Times New Roman" w:hAnsi="Times New Roman" w:cs="Times New Roman"/>
                <w:color w:val="0000FF"/>
                <w:sz w:val="24"/>
                <w:szCs w:val="22"/>
                <w:highlight w:val="none"/>
                <w:vertAlign w:val="baseline"/>
                <w:lang w:eastAsia="zh-CN"/>
              </w:rPr>
              <w:t>、</w:t>
            </w:r>
            <w:r>
              <w:rPr>
                <w:rFonts w:hint="default" w:ascii="Times New Roman" w:hAnsi="Times New Roman" w:cs="Times New Roman"/>
                <w:color w:val="0000FF"/>
                <w:sz w:val="24"/>
                <w:szCs w:val="22"/>
                <w:highlight w:val="none"/>
              </w:rPr>
              <w:t>NOx、</w:t>
            </w:r>
            <w:r>
              <w:rPr>
                <w:rFonts w:hint="eastAsia" w:hAnsi="Times New Roman" w:cs="Times New Roman"/>
                <w:color w:val="0000FF"/>
                <w:sz w:val="24"/>
                <w:szCs w:val="22"/>
                <w:highlight w:val="none"/>
                <w:lang w:val="en-US" w:eastAsia="zh-CN"/>
              </w:rPr>
              <w:t>VOCs（以</w:t>
            </w:r>
            <w:r>
              <w:rPr>
                <w:rFonts w:hint="default" w:ascii="Times New Roman" w:hAnsi="Times New Roman" w:cs="Times New Roman"/>
                <w:color w:val="0000FF"/>
                <w:sz w:val="24"/>
                <w:szCs w:val="22"/>
                <w:highlight w:val="none"/>
              </w:rPr>
              <w:t>甲烷总烃排放</w:t>
            </w:r>
            <w:r>
              <w:rPr>
                <w:rFonts w:hint="eastAsia" w:hAnsi="Times New Roman" w:cs="Times New Roman"/>
                <w:color w:val="0000FF"/>
                <w:sz w:val="24"/>
                <w:szCs w:val="22"/>
                <w:highlight w:val="none"/>
                <w:lang w:val="en-US" w:eastAsia="zh-CN"/>
              </w:rPr>
              <w:t>计）</w:t>
            </w:r>
            <w:r>
              <w:rPr>
                <w:rFonts w:hint="default" w:ascii="Times New Roman" w:hAnsi="Times New Roman" w:cs="Times New Roman"/>
                <w:color w:val="0000FF"/>
                <w:sz w:val="24"/>
                <w:szCs w:val="22"/>
                <w:highlight w:val="none"/>
              </w:rPr>
              <w:t>非量分别为</w:t>
            </w:r>
            <w:r>
              <w:rPr>
                <w:rFonts w:hint="eastAsia" w:hAnsi="Times New Roman" w:cs="Times New Roman"/>
                <w:color w:val="0000FF"/>
                <w:sz w:val="24"/>
                <w:szCs w:val="22"/>
                <w:highlight w:val="none"/>
                <w:lang w:val="en-US" w:eastAsia="zh-CN"/>
              </w:rPr>
              <w:t>0.498</w:t>
            </w:r>
            <w:r>
              <w:rPr>
                <w:rFonts w:hint="default" w:ascii="Times New Roman" w:hAnsi="Times New Roman" w:cs="Times New Roman"/>
                <w:color w:val="0000FF"/>
                <w:sz w:val="24"/>
                <w:szCs w:val="22"/>
                <w:highlight w:val="none"/>
                <w:lang w:val="en-US" w:eastAsia="zh-CN"/>
              </w:rPr>
              <w:t>t/a、0.006t/a、0.027t/a</w:t>
            </w:r>
            <w:r>
              <w:rPr>
                <w:rFonts w:hint="default" w:ascii="Times New Roman" w:hAnsi="Times New Roman" w:cs="Times New Roman"/>
                <w:color w:val="0000FF"/>
                <w:sz w:val="24"/>
                <w:szCs w:val="22"/>
                <w:highlight w:val="none"/>
              </w:rPr>
              <w:t>，</w:t>
            </w:r>
            <w:r>
              <w:rPr>
                <w:rFonts w:hint="eastAsia" w:hAnsi="Times New Roman" w:cs="Times New Roman"/>
                <w:color w:val="0000FF"/>
                <w:sz w:val="24"/>
                <w:szCs w:val="22"/>
                <w:highlight w:val="none"/>
                <w:lang w:val="en-US" w:eastAsia="zh-CN"/>
              </w:rPr>
              <w:t>2.716</w:t>
            </w:r>
            <w:r>
              <w:rPr>
                <w:rFonts w:hint="default" w:ascii="Times New Roman" w:hAnsi="Times New Roman" w:cs="Times New Roman"/>
                <w:color w:val="0000FF"/>
                <w:sz w:val="24"/>
                <w:szCs w:val="22"/>
                <w:highlight w:val="none"/>
                <w:lang w:val="en-US" w:eastAsia="zh-CN"/>
              </w:rPr>
              <w:t>t</w:t>
            </w:r>
            <w:r>
              <w:rPr>
                <w:rFonts w:hint="default" w:ascii="Times New Roman" w:hAnsi="Times New Roman" w:cs="Times New Roman"/>
                <w:color w:val="0000FF"/>
                <w:sz w:val="24"/>
                <w:szCs w:val="22"/>
                <w:highlight w:val="none"/>
              </w:rPr>
              <w:t>/a</w:t>
            </w:r>
            <w:r>
              <w:rPr>
                <w:rFonts w:hint="default" w:ascii="Times New Roman" w:hAnsi="Times New Roman" w:cs="Times New Roman"/>
                <w:color w:val="0000FF"/>
                <w:sz w:val="24"/>
                <w:szCs w:val="22"/>
                <w:highlight w:val="none"/>
                <w:lang w:eastAsia="zh-CN"/>
              </w:rPr>
              <w:t>，</w:t>
            </w:r>
            <w:r>
              <w:rPr>
                <w:rFonts w:hint="default" w:ascii="Times New Roman" w:hAnsi="Times New Roman" w:cs="Times New Roman"/>
                <w:color w:val="0000FF"/>
                <w:sz w:val="24"/>
                <w:szCs w:val="22"/>
                <w:highlight w:val="none"/>
              </w:rPr>
              <w:t>因此，</w:t>
            </w:r>
            <w:r>
              <w:rPr>
                <w:rFonts w:hint="default" w:ascii="Times New Roman" w:hAnsi="Times New Roman" w:cs="Times New Roman"/>
                <w:color w:val="0000FF"/>
                <w:sz w:val="24"/>
                <w:szCs w:val="22"/>
                <w:highlight w:val="none"/>
                <w:lang w:val="en-US" w:eastAsia="zh-CN"/>
              </w:rPr>
              <w:t>颗粒物</w:t>
            </w:r>
            <w:r>
              <w:rPr>
                <w:rFonts w:hint="default" w:ascii="Times New Roman" w:hAnsi="Times New Roman" w:cs="Times New Roman"/>
                <w:color w:val="0000FF"/>
                <w:sz w:val="24"/>
                <w:szCs w:val="22"/>
                <w:highlight w:val="none"/>
              </w:rPr>
              <w:t>、SO</w:t>
            </w:r>
            <w:r>
              <w:rPr>
                <w:rFonts w:hint="default" w:ascii="Times New Roman" w:hAnsi="Times New Roman" w:cs="Times New Roman"/>
                <w:color w:val="0000FF"/>
                <w:sz w:val="24"/>
                <w:szCs w:val="22"/>
                <w:highlight w:val="none"/>
                <w:vertAlign w:val="subscript"/>
              </w:rPr>
              <w:t>2</w:t>
            </w:r>
            <w:r>
              <w:rPr>
                <w:rFonts w:hint="default" w:ascii="Times New Roman" w:hAnsi="Times New Roman" w:cs="Times New Roman"/>
                <w:color w:val="0000FF"/>
                <w:sz w:val="24"/>
                <w:szCs w:val="22"/>
                <w:highlight w:val="none"/>
                <w:vertAlign w:val="baseline"/>
                <w:lang w:eastAsia="zh-CN"/>
              </w:rPr>
              <w:t>、</w:t>
            </w:r>
            <w:r>
              <w:rPr>
                <w:rFonts w:hint="default" w:ascii="Times New Roman" w:hAnsi="Times New Roman" w:cs="Times New Roman"/>
                <w:color w:val="0000FF"/>
                <w:sz w:val="24"/>
                <w:szCs w:val="22"/>
                <w:highlight w:val="none"/>
              </w:rPr>
              <w:t>NOx、</w:t>
            </w:r>
            <w:r>
              <w:rPr>
                <w:rFonts w:hint="eastAsia" w:hAnsi="Times New Roman" w:cs="Times New Roman"/>
                <w:color w:val="0000FF"/>
                <w:sz w:val="24"/>
                <w:szCs w:val="22"/>
                <w:highlight w:val="none"/>
                <w:lang w:val="en-US" w:eastAsia="zh-CN"/>
              </w:rPr>
              <w:t>VOCs</w:t>
            </w:r>
            <w:r>
              <w:rPr>
                <w:rFonts w:hint="default" w:ascii="Times New Roman" w:hAnsi="Times New Roman" w:cs="Times New Roman"/>
                <w:color w:val="0000FF"/>
                <w:sz w:val="24"/>
                <w:szCs w:val="22"/>
                <w:highlight w:val="none"/>
              </w:rPr>
              <w:t>申请等量削减量为</w:t>
            </w:r>
            <w:r>
              <w:rPr>
                <w:rFonts w:hint="eastAsia" w:hAnsi="Times New Roman" w:cs="Times New Roman"/>
                <w:color w:val="0000FF"/>
                <w:sz w:val="24"/>
                <w:szCs w:val="22"/>
                <w:highlight w:val="none"/>
                <w:lang w:val="en-US" w:eastAsia="zh-CN"/>
              </w:rPr>
              <w:t>0.498</w:t>
            </w:r>
            <w:r>
              <w:rPr>
                <w:rFonts w:hint="default" w:ascii="Times New Roman" w:hAnsi="Times New Roman" w:cs="Times New Roman"/>
                <w:color w:val="0000FF"/>
                <w:sz w:val="24"/>
                <w:szCs w:val="22"/>
                <w:highlight w:val="none"/>
                <w:lang w:val="en-US" w:eastAsia="zh-CN"/>
              </w:rPr>
              <w:t>t/a、0.006t/a、0.027t/a</w:t>
            </w:r>
            <w:r>
              <w:rPr>
                <w:rFonts w:hint="default" w:ascii="Times New Roman" w:hAnsi="Times New Roman" w:cs="Times New Roman"/>
                <w:color w:val="0000FF"/>
                <w:sz w:val="24"/>
                <w:szCs w:val="22"/>
                <w:highlight w:val="none"/>
              </w:rPr>
              <w:t>，</w:t>
            </w:r>
            <w:r>
              <w:rPr>
                <w:rFonts w:hint="eastAsia" w:hAnsi="Times New Roman" w:cs="Times New Roman"/>
                <w:color w:val="0000FF"/>
                <w:sz w:val="24"/>
                <w:szCs w:val="22"/>
                <w:highlight w:val="none"/>
                <w:lang w:val="en-US" w:eastAsia="zh-CN"/>
              </w:rPr>
              <w:t>2.716</w:t>
            </w:r>
            <w:r>
              <w:rPr>
                <w:rFonts w:hint="default" w:ascii="Times New Roman" w:hAnsi="Times New Roman" w:cs="Times New Roman"/>
                <w:color w:val="0000FF"/>
                <w:sz w:val="24"/>
                <w:szCs w:val="22"/>
                <w:highlight w:val="none"/>
                <w:lang w:val="en-US" w:eastAsia="zh-CN"/>
              </w:rPr>
              <w:t>t</w:t>
            </w:r>
            <w:r>
              <w:rPr>
                <w:rFonts w:hint="default" w:ascii="Times New Roman" w:hAnsi="Times New Roman" w:cs="Times New Roman"/>
                <w:color w:val="0000FF"/>
                <w:sz w:val="24"/>
                <w:szCs w:val="22"/>
                <w:highlight w:val="none"/>
              </w:rPr>
              <w:t>/a。</w:t>
            </w:r>
          </w:p>
          <w:p w14:paraId="2D0EAC4F">
            <w:pPr>
              <w:pStyle w:val="58"/>
              <w:adjustRightInd/>
              <w:ind w:left="0" w:leftChars="0" w:right="113" w:rightChars="0" w:firstLine="0" w:firstLineChars="0"/>
              <w:jc w:val="left"/>
              <w:rPr>
                <w:rFonts w:hint="default" w:ascii="Times New Roman" w:hAnsi="Times New Roman" w:eastAsia="宋体" w:cs="Times New Roman"/>
                <w:bCs/>
                <w:snapToGrid w:val="0"/>
                <w:color w:val="auto"/>
                <w:kern w:val="0"/>
                <w:sz w:val="24"/>
                <w:szCs w:val="24"/>
                <w:lang w:val="en-US" w:eastAsia="zh-CN" w:bidi="ar-SA"/>
              </w:rPr>
            </w:pPr>
          </w:p>
        </w:tc>
      </w:tr>
    </w:tbl>
    <w:p w14:paraId="2F5E0E68">
      <w:pPr>
        <w:pStyle w:val="26"/>
        <w:keepNext w:val="0"/>
        <w:keepLines w:val="0"/>
        <w:pageBreakBefore w:val="0"/>
        <w:widowControl/>
        <w:numPr>
          <w:ilvl w:val="0"/>
          <w:numId w:val="13"/>
        </w:numPr>
        <w:kinsoku/>
        <w:wordWrap/>
        <w:overflowPunct/>
        <w:topLinePunct w:val="0"/>
        <w:autoSpaceDE/>
        <w:autoSpaceDN/>
        <w:bidi w:val="0"/>
        <w:adjustRightInd w:val="0"/>
        <w:snapToGrid w:val="0"/>
        <w:spacing w:line="240" w:lineRule="auto"/>
        <w:jc w:val="center"/>
        <w:textAlignment w:val="auto"/>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6"/>
          <w:szCs w:val="36"/>
        </w:rPr>
        <w:br w:type="page"/>
      </w:r>
      <w:r>
        <w:rPr>
          <w:rFonts w:hint="default" w:ascii="Times New Roman" w:hAnsi="Times New Roman" w:eastAsia="黑体" w:cs="Times New Roman"/>
          <w:snapToGrid w:val="0"/>
          <w:color w:val="auto"/>
          <w:sz w:val="30"/>
          <w:szCs w:val="30"/>
        </w:rPr>
        <w:t>主要环境影响和保护措施</w:t>
      </w:r>
    </w:p>
    <w:tbl>
      <w:tblPr>
        <w:tblStyle w:val="32"/>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45"/>
        <w:gridCol w:w="8436"/>
      </w:tblGrid>
      <w:tr w14:paraId="708AB0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5" w:type="dxa"/>
            <w:noWrap w:val="0"/>
            <w:tcMar>
              <w:left w:w="28" w:type="dxa"/>
              <w:right w:w="28" w:type="dxa"/>
            </w:tcMar>
            <w:vAlign w:val="center"/>
          </w:tcPr>
          <w:p w14:paraId="7E61CC26">
            <w:pPr>
              <w:pStyle w:val="26"/>
              <w:adjustRightInd w:val="0"/>
              <w:snapToGrid w:val="0"/>
              <w:spacing w:before="0" w:beforeAutospacing="0" w:after="0" w:afterAutospacing="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施工</w:t>
            </w:r>
          </w:p>
          <w:p w14:paraId="5850154C">
            <w:pPr>
              <w:pStyle w:val="26"/>
              <w:adjustRightInd w:val="0"/>
              <w:snapToGrid w:val="0"/>
              <w:spacing w:before="0" w:beforeAutospacing="0" w:after="0" w:afterAutospacing="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期环</w:t>
            </w:r>
          </w:p>
          <w:p w14:paraId="73384D25">
            <w:pPr>
              <w:pStyle w:val="26"/>
              <w:adjustRightInd w:val="0"/>
              <w:snapToGrid w:val="0"/>
              <w:spacing w:before="0" w:beforeAutospacing="0" w:after="0" w:afterAutospacing="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境保</w:t>
            </w:r>
          </w:p>
          <w:p w14:paraId="4F148D53">
            <w:pPr>
              <w:pStyle w:val="26"/>
              <w:adjustRightInd w:val="0"/>
              <w:snapToGrid w:val="0"/>
              <w:spacing w:before="0" w:beforeAutospacing="0" w:after="0" w:afterAutospacing="0"/>
              <w:jc w:val="center"/>
              <w:rPr>
                <w:rFonts w:hint="default" w:ascii="Times New Roman" w:hAnsi="Times New Roman" w:cs="Times New Roman"/>
                <w:color w:val="auto"/>
                <w:kern w:val="2"/>
                <w:sz w:val="24"/>
                <w:szCs w:val="24"/>
                <w:highlight w:val="none"/>
              </w:rPr>
            </w:pPr>
            <w:r>
              <w:rPr>
                <w:rFonts w:hint="default" w:ascii="Times New Roman" w:hAnsi="Times New Roman" w:cs="Times New Roman"/>
                <w:color w:val="auto"/>
                <w:kern w:val="2"/>
                <w:sz w:val="24"/>
                <w:szCs w:val="24"/>
                <w:highlight w:val="none"/>
              </w:rPr>
              <w:t>护措</w:t>
            </w:r>
          </w:p>
          <w:p w14:paraId="16D489BA">
            <w:pPr>
              <w:pStyle w:val="26"/>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 w:val="24"/>
                <w:szCs w:val="24"/>
                <w:highlight w:val="none"/>
              </w:rPr>
              <w:t>施</w:t>
            </w:r>
          </w:p>
        </w:tc>
        <w:tc>
          <w:tcPr>
            <w:tcW w:w="8436" w:type="dxa"/>
            <w:noWrap w:val="0"/>
            <w:vAlign w:val="center"/>
          </w:tcPr>
          <w:p w14:paraId="4D2BC9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val="en-US" w:eastAsia="zh-CN"/>
              </w:rPr>
            </w:pPr>
            <w:r>
              <w:rPr>
                <w:rFonts w:hint="default" w:ascii="Times New Roman" w:hAnsi="Times New Roman" w:eastAsia="宋体" w:cs="Times New Roman"/>
                <w:bCs/>
                <w:color w:val="auto"/>
                <w:spacing w:val="0"/>
                <w:sz w:val="24"/>
                <w:szCs w:val="24"/>
                <w:lang w:val="en-US" w:eastAsia="zh-CN"/>
              </w:rPr>
              <w:t>本项目为新建项目，施工</w:t>
            </w:r>
            <w:r>
              <w:rPr>
                <w:rFonts w:hint="eastAsia" w:cs="Times New Roman"/>
                <w:bCs/>
                <w:color w:val="auto"/>
                <w:spacing w:val="0"/>
                <w:sz w:val="24"/>
                <w:szCs w:val="24"/>
                <w:lang w:val="en-US" w:eastAsia="zh-CN"/>
              </w:rPr>
              <w:t>期</w:t>
            </w:r>
            <w:r>
              <w:rPr>
                <w:rFonts w:hint="default" w:ascii="Times New Roman" w:hAnsi="Times New Roman" w:eastAsia="宋体" w:cs="Times New Roman"/>
                <w:bCs/>
                <w:color w:val="auto"/>
                <w:spacing w:val="0"/>
                <w:sz w:val="24"/>
                <w:szCs w:val="24"/>
                <w:lang w:val="en-US" w:eastAsia="zh-CN"/>
              </w:rPr>
              <w:t>主要进行场地平整，地基处理、土建工程、设备及管道安装等施工活动，将会产生一定量的扬尘污染，同时伴有较大的噪声，并会有建筑垃圾的堆放情况</w:t>
            </w:r>
            <w:r>
              <w:rPr>
                <w:rFonts w:hint="eastAsia" w:cs="Times New Roman"/>
                <w:bCs/>
                <w:color w:val="auto"/>
                <w:spacing w:val="0"/>
                <w:sz w:val="24"/>
                <w:szCs w:val="24"/>
                <w:lang w:val="en-US" w:eastAsia="zh-CN"/>
              </w:rPr>
              <w:t>。</w:t>
            </w:r>
          </w:p>
          <w:p w14:paraId="19BEECE9">
            <w:pPr>
              <w:pStyle w:val="12"/>
              <w:keepNext w:val="0"/>
              <w:keepLines w:val="0"/>
              <w:pageBreakBefore w:val="0"/>
              <w:widowControl w:val="0"/>
              <w:kinsoku/>
              <w:wordWrap/>
              <w:overflowPunct/>
              <w:topLinePunct w:val="0"/>
              <w:autoSpaceDE/>
              <w:autoSpaceDN/>
              <w:bidi w:val="0"/>
              <w:spacing w:after="0" w:line="360" w:lineRule="auto"/>
              <w:ind w:left="0" w:leftChars="0" w:firstLine="480" w:firstLineChars="200"/>
              <w:rPr>
                <w:snapToGrid w:val="0"/>
                <w:color w:val="auto"/>
                <w:kern w:val="0"/>
                <w:sz w:val="24"/>
                <w:highlight w:val="none"/>
              </w:rPr>
            </w:pPr>
            <w:r>
              <w:rPr>
                <w:rFonts w:hint="eastAsia"/>
                <w:snapToGrid w:val="0"/>
                <w:color w:val="auto"/>
                <w:kern w:val="0"/>
                <w:sz w:val="24"/>
                <w:highlight w:val="none"/>
                <w:lang w:val="en-US" w:eastAsia="zh-CN"/>
              </w:rPr>
              <w:t>项目建设期土建施工、设备安装等过程中若不采取有效的防治措施可能产生施工扬尘、施工噪声、施工废污水以及固体废物等环境影响。</w:t>
            </w:r>
          </w:p>
          <w:p w14:paraId="79E761A1">
            <w:pPr>
              <w:pStyle w:val="12"/>
              <w:keepNext w:val="0"/>
              <w:keepLines w:val="0"/>
              <w:pageBreakBefore w:val="0"/>
              <w:widowControl w:val="0"/>
              <w:kinsoku/>
              <w:wordWrap/>
              <w:overflowPunct/>
              <w:topLinePunct w:val="0"/>
              <w:autoSpaceDE/>
              <w:autoSpaceDN/>
              <w:bidi w:val="0"/>
              <w:spacing w:after="0" w:line="360" w:lineRule="auto"/>
              <w:ind w:left="0" w:leftChars="0" w:firstLine="480" w:firstLineChars="200"/>
              <w:rPr>
                <w:snapToGrid w:val="0"/>
                <w:color w:val="auto"/>
                <w:kern w:val="0"/>
                <w:sz w:val="24"/>
                <w:highlight w:val="none"/>
              </w:rPr>
            </w:pPr>
            <w:r>
              <w:rPr>
                <w:snapToGrid w:val="0"/>
                <w:color w:val="auto"/>
                <w:kern w:val="0"/>
                <w:sz w:val="24"/>
                <w:highlight w:val="none"/>
              </w:rPr>
              <w:t>施工期的污染因子主要为施工噪声、施工扬尘、施工废水、施工固废及生态等。</w:t>
            </w:r>
          </w:p>
          <w:p w14:paraId="3C9967E2">
            <w:pPr>
              <w:pStyle w:val="118"/>
              <w:keepNext w:val="0"/>
              <w:keepLines w:val="0"/>
              <w:pageBreakBefore w:val="0"/>
              <w:widowControl w:val="0"/>
              <w:kinsoku/>
              <w:wordWrap/>
              <w:overflowPunct/>
              <w:topLinePunct w:val="0"/>
              <w:autoSpaceDE/>
              <w:autoSpaceDN/>
              <w:bidi w:val="0"/>
              <w:spacing w:line="360" w:lineRule="auto"/>
              <w:ind w:firstLine="420" w:firstLineChars="200"/>
              <w:jc w:val="center"/>
              <w:rPr>
                <w:rFonts w:ascii="Times New Roman" w:hAnsi="Times New Roman" w:eastAsia="宋体" w:cs="Times New Roman"/>
                <w:color w:val="auto"/>
                <w:highlight w:val="none"/>
              </w:rPr>
            </w:pPr>
            <w:r>
              <w:rPr>
                <w:rFonts w:ascii="Times New Roman" w:hAnsi="Times New Roman" w:eastAsia="宋体" w:cs="Times New Roman"/>
                <w:color w:val="auto"/>
                <w:sz w:val="21"/>
                <w:szCs w:val="18"/>
                <w:highlight w:val="none"/>
              </w:rPr>
              <w:drawing>
                <wp:inline distT="0" distB="0" distL="114300" distR="114300">
                  <wp:extent cx="4501515" cy="1339850"/>
                  <wp:effectExtent l="0" t="0" r="13335" b="12700"/>
                  <wp:docPr id="60" name="图片 10" descr="变电站产污节点图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0" descr="变电站产污节点图新"/>
                          <pic:cNvPicPr>
                            <a:picLocks noChangeAspect="1"/>
                          </pic:cNvPicPr>
                        </pic:nvPicPr>
                        <pic:blipFill>
                          <a:blip r:embed="rId46"/>
                          <a:stretch>
                            <a:fillRect/>
                          </a:stretch>
                        </pic:blipFill>
                        <pic:spPr>
                          <a:xfrm>
                            <a:off x="0" y="0"/>
                            <a:ext cx="4501515" cy="1339850"/>
                          </a:xfrm>
                          <a:prstGeom prst="rect">
                            <a:avLst/>
                          </a:prstGeom>
                          <a:noFill/>
                          <a:ln>
                            <a:noFill/>
                          </a:ln>
                        </pic:spPr>
                      </pic:pic>
                    </a:graphicData>
                  </a:graphic>
                </wp:inline>
              </w:drawing>
            </w:r>
          </w:p>
          <w:p w14:paraId="64330F75">
            <w:pPr>
              <w:pStyle w:val="7"/>
              <w:keepNext w:val="0"/>
              <w:keepLines w:val="0"/>
              <w:pageBreakBefore w:val="0"/>
              <w:widowControl w:val="0"/>
              <w:kinsoku/>
              <w:wordWrap/>
              <w:overflowPunct/>
              <w:topLinePunct w:val="0"/>
              <w:autoSpaceDE/>
              <w:autoSpaceDN/>
              <w:bidi w:val="0"/>
              <w:spacing w:line="360" w:lineRule="auto"/>
              <w:ind w:firstLine="482" w:firstLineChars="200"/>
              <w:jc w:val="center"/>
              <w:rPr>
                <w:rFonts w:ascii="Times New Roman" w:hAnsi="Times New Roman" w:cs="Times New Roman"/>
                <w:b/>
                <w:color w:val="auto"/>
                <w:szCs w:val="24"/>
                <w:highlight w:val="none"/>
              </w:rPr>
            </w:pPr>
            <w:r>
              <w:rPr>
                <w:rFonts w:ascii="Times New Roman" w:hAnsi="Times New Roman" w:eastAsia="宋体" w:cs="Times New Roman"/>
                <w:b/>
                <w:color w:val="auto"/>
                <w:sz w:val="24"/>
                <w:szCs w:val="24"/>
                <w:highlight w:val="none"/>
              </w:rPr>
              <w:t>图4</w:t>
            </w:r>
            <w:r>
              <w:rPr>
                <w:rFonts w:hint="eastAsia" w:ascii="Times New Roman" w:hAnsi="Times New Roman" w:eastAsia="宋体" w:cs="Times New Roman"/>
                <w:b/>
                <w:color w:val="auto"/>
                <w:sz w:val="24"/>
                <w:szCs w:val="24"/>
                <w:highlight w:val="none"/>
                <w:lang w:val="en-US" w:eastAsia="zh-CN"/>
              </w:rPr>
              <w:t>.1</w:t>
            </w:r>
            <w:r>
              <w:rPr>
                <w:rFonts w:hint="eastAsia" w:ascii="Times New Roman" w:hAnsi="Times New Roman" w:eastAsia="宋体" w:cs="Times New Roman"/>
                <w:b/>
                <w:color w:val="auto"/>
                <w:sz w:val="24"/>
                <w:szCs w:val="24"/>
                <w:highlight w:val="none"/>
              </w:rPr>
              <w:t>-1</w:t>
            </w:r>
            <w:r>
              <w:rPr>
                <w:rFonts w:ascii="Times New Roman" w:hAnsi="Times New Roman" w:eastAsia="宋体" w:cs="Times New Roman"/>
                <w:b/>
                <w:color w:val="auto"/>
                <w:sz w:val="24"/>
                <w:szCs w:val="24"/>
                <w:highlight w:val="none"/>
              </w:rPr>
              <w:t xml:space="preserve">  施工期产污节点图</w:t>
            </w:r>
          </w:p>
          <w:p w14:paraId="15E4EADA">
            <w:pPr>
              <w:pStyle w:val="119"/>
              <w:keepNext w:val="0"/>
              <w:keepLines w:val="0"/>
              <w:pageBreakBefore w:val="0"/>
              <w:widowControl w:val="0"/>
              <w:kinsoku/>
              <w:wordWrap/>
              <w:overflowPunct/>
              <w:topLinePunct w:val="0"/>
              <w:autoSpaceDE/>
              <w:autoSpaceDN/>
              <w:bidi w:val="0"/>
              <w:spacing w:line="360" w:lineRule="auto"/>
              <w:ind w:firstLine="480" w:firstLineChars="200"/>
              <w:jc w:val="left"/>
              <w:rPr>
                <w:rFonts w:ascii="Times New Roman" w:hAnsi="Times New Roman" w:eastAsia="宋体" w:cs="Times New Roman"/>
                <w:b w:val="0"/>
                <w:bCs/>
                <w:color w:val="auto"/>
                <w:kern w:val="0"/>
                <w:sz w:val="24"/>
                <w:szCs w:val="24"/>
                <w:highlight w:val="none"/>
              </w:rPr>
            </w:pPr>
            <w:r>
              <w:rPr>
                <w:rFonts w:ascii="Times New Roman" w:hAnsi="Times New Roman" w:eastAsia="宋体" w:cs="Times New Roman"/>
                <w:b w:val="0"/>
                <w:bCs/>
                <w:color w:val="auto"/>
                <w:kern w:val="0"/>
                <w:sz w:val="24"/>
                <w:szCs w:val="24"/>
                <w:highlight w:val="none"/>
              </w:rPr>
              <w:t>本</w:t>
            </w:r>
            <w:r>
              <w:rPr>
                <w:rFonts w:hint="eastAsia" w:ascii="Times New Roman" w:hAnsi="Times New Roman" w:eastAsia="宋体" w:cs="Times New Roman"/>
                <w:b w:val="0"/>
                <w:bCs/>
                <w:color w:val="auto"/>
                <w:kern w:val="0"/>
                <w:sz w:val="24"/>
                <w:szCs w:val="24"/>
                <w:highlight w:val="none"/>
                <w:lang w:val="en-US" w:eastAsia="zh-CN"/>
              </w:rPr>
              <w:t>工程</w:t>
            </w:r>
            <w:r>
              <w:rPr>
                <w:rFonts w:ascii="Times New Roman" w:hAnsi="Times New Roman" w:eastAsia="宋体" w:cs="Times New Roman"/>
                <w:b w:val="0"/>
                <w:bCs/>
                <w:color w:val="auto"/>
                <w:kern w:val="0"/>
                <w:sz w:val="24"/>
                <w:szCs w:val="24"/>
                <w:highlight w:val="none"/>
              </w:rPr>
              <w:t>施工期对环境产生的影响因子如下：</w:t>
            </w:r>
          </w:p>
          <w:p w14:paraId="0A125D87">
            <w:pPr>
              <w:pStyle w:val="119"/>
              <w:keepNext w:val="0"/>
              <w:keepLines w:val="0"/>
              <w:pageBreakBefore w:val="0"/>
              <w:widowControl w:val="0"/>
              <w:kinsoku/>
              <w:wordWrap/>
              <w:overflowPunct/>
              <w:topLinePunct w:val="0"/>
              <w:autoSpaceDE/>
              <w:autoSpaceDN/>
              <w:bidi w:val="0"/>
              <w:spacing w:line="360" w:lineRule="auto"/>
              <w:ind w:firstLine="480" w:firstLineChars="200"/>
              <w:outlineLvl w:val="9"/>
              <w:rPr>
                <w:rFonts w:ascii="Times New Roman" w:hAnsi="Times New Roman" w:eastAsia="宋体" w:cs="Times New Roman"/>
                <w:b w:val="0"/>
                <w:bCs/>
                <w:color w:val="auto"/>
                <w:kern w:val="0"/>
                <w:sz w:val="24"/>
                <w:szCs w:val="24"/>
                <w:highlight w:val="none"/>
              </w:rPr>
            </w:pPr>
            <w:r>
              <w:rPr>
                <w:rFonts w:ascii="Times New Roman" w:hAnsi="Times New Roman" w:eastAsia="宋体" w:cs="Times New Roman"/>
                <w:b w:val="0"/>
                <w:bCs/>
                <w:color w:val="auto"/>
                <w:kern w:val="0"/>
                <w:sz w:val="24"/>
                <w:szCs w:val="24"/>
                <w:highlight w:val="none"/>
              </w:rPr>
              <w:t>（1）施工噪声：施工期噪声主要来自推土机、挖土机、搅拌机等施工机械运行噪声及车辆运输等。</w:t>
            </w:r>
          </w:p>
          <w:p w14:paraId="7D9ABD96">
            <w:pPr>
              <w:pStyle w:val="119"/>
              <w:keepNext w:val="0"/>
              <w:keepLines w:val="0"/>
              <w:pageBreakBefore w:val="0"/>
              <w:widowControl w:val="0"/>
              <w:kinsoku/>
              <w:wordWrap/>
              <w:overflowPunct/>
              <w:topLinePunct w:val="0"/>
              <w:autoSpaceDE/>
              <w:autoSpaceDN/>
              <w:bidi w:val="0"/>
              <w:spacing w:line="360" w:lineRule="auto"/>
              <w:ind w:firstLine="480" w:firstLineChars="200"/>
              <w:outlineLvl w:val="9"/>
              <w:rPr>
                <w:rFonts w:ascii="Times New Roman" w:hAnsi="Times New Roman" w:eastAsia="宋体" w:cs="Times New Roman"/>
                <w:b w:val="0"/>
                <w:bCs/>
                <w:color w:val="auto"/>
                <w:kern w:val="0"/>
                <w:sz w:val="24"/>
                <w:szCs w:val="24"/>
                <w:highlight w:val="none"/>
              </w:rPr>
            </w:pPr>
            <w:r>
              <w:rPr>
                <w:rFonts w:ascii="Times New Roman" w:hAnsi="Times New Roman" w:eastAsia="宋体" w:cs="Times New Roman"/>
                <w:b w:val="0"/>
                <w:bCs/>
                <w:color w:val="auto"/>
                <w:kern w:val="0"/>
                <w:sz w:val="24"/>
                <w:szCs w:val="24"/>
                <w:highlight w:val="none"/>
              </w:rPr>
              <w:t>（2）施工扬尘：土建施工中基础开挖、土石方堆放、回填、清运及建筑材料运输、装卸、堆放过程，可能造成扬尘影响，污染物主要为TSP；另外，各种施工车辆排放的废气可能对环境造成影响。</w:t>
            </w:r>
          </w:p>
          <w:p w14:paraId="34681084">
            <w:pPr>
              <w:pStyle w:val="119"/>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ascii="Times New Roman" w:hAnsi="Times New Roman" w:eastAsia="宋体" w:cs="Times New Roman"/>
                <w:b w:val="0"/>
                <w:bCs/>
                <w:color w:val="auto"/>
                <w:kern w:val="0"/>
                <w:sz w:val="24"/>
                <w:szCs w:val="24"/>
                <w:highlight w:val="none"/>
              </w:rPr>
            </w:pPr>
            <w:r>
              <w:rPr>
                <w:rFonts w:ascii="Times New Roman" w:hAnsi="Times New Roman" w:eastAsia="宋体" w:cs="Times New Roman"/>
                <w:b w:val="0"/>
                <w:bCs/>
                <w:color w:val="auto"/>
                <w:kern w:val="0"/>
                <w:sz w:val="24"/>
                <w:szCs w:val="24"/>
                <w:highlight w:val="none"/>
              </w:rPr>
              <w:t>（3）施工废污水：施工废水、机械冲洗废水及施工人员的生活污水。</w:t>
            </w:r>
          </w:p>
          <w:p w14:paraId="174E5685">
            <w:pPr>
              <w:pStyle w:val="119"/>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ascii="Times New Roman" w:hAnsi="Times New Roman" w:eastAsia="宋体" w:cs="Times New Roman"/>
                <w:b w:val="0"/>
                <w:bCs/>
                <w:color w:val="auto"/>
                <w:kern w:val="0"/>
                <w:sz w:val="24"/>
                <w:szCs w:val="24"/>
                <w:highlight w:val="none"/>
              </w:rPr>
            </w:pPr>
            <w:r>
              <w:rPr>
                <w:rFonts w:ascii="Times New Roman" w:hAnsi="Times New Roman" w:eastAsia="宋体" w:cs="Times New Roman"/>
                <w:b w:val="0"/>
                <w:bCs/>
                <w:color w:val="auto"/>
                <w:kern w:val="0"/>
                <w:sz w:val="24"/>
                <w:szCs w:val="24"/>
                <w:highlight w:val="none"/>
              </w:rPr>
              <w:t>（4）施工固体废物：施工时产生的建筑垃圾、施工余土和施工人员少量生活垃圾。本工程建设期无弃方产生。</w:t>
            </w:r>
          </w:p>
          <w:p w14:paraId="3359F97E">
            <w:pPr>
              <w:pStyle w:val="119"/>
              <w:keepNext w:val="0"/>
              <w:keepLines w:val="0"/>
              <w:pageBreakBefore w:val="0"/>
              <w:widowControl w:val="0"/>
              <w:kinsoku/>
              <w:wordWrap/>
              <w:overflowPunct/>
              <w:topLinePunct w:val="0"/>
              <w:autoSpaceDE/>
              <w:autoSpaceDN/>
              <w:bidi w:val="0"/>
              <w:spacing w:line="360" w:lineRule="auto"/>
              <w:ind w:firstLine="480" w:firstLineChars="200"/>
              <w:jc w:val="left"/>
              <w:outlineLvl w:val="9"/>
              <w:rPr>
                <w:rFonts w:ascii="Times New Roman" w:hAnsi="Times New Roman" w:eastAsia="宋体" w:cs="Times New Roman"/>
                <w:b w:val="0"/>
                <w:bCs/>
                <w:color w:val="auto"/>
                <w:kern w:val="0"/>
                <w:sz w:val="24"/>
                <w:szCs w:val="24"/>
                <w:highlight w:val="none"/>
              </w:rPr>
            </w:pPr>
            <w:r>
              <w:rPr>
                <w:rFonts w:ascii="Times New Roman" w:hAnsi="Times New Roman" w:eastAsia="宋体" w:cs="Times New Roman"/>
                <w:b w:val="0"/>
                <w:bCs/>
                <w:color w:val="auto"/>
                <w:kern w:val="0"/>
                <w:sz w:val="24"/>
                <w:szCs w:val="24"/>
                <w:highlight w:val="none"/>
              </w:rPr>
              <w:t>（5）水土流失：施工时的土方开挖以及建设过程中植被的破坏和地表裸露，导致水土流失问题。</w:t>
            </w:r>
          </w:p>
          <w:p w14:paraId="260EC80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auto"/>
                <w:spacing w:val="0"/>
                <w:sz w:val="24"/>
                <w:szCs w:val="24"/>
                <w:lang w:val="en-US" w:eastAsia="zh-CN"/>
              </w:rPr>
            </w:pPr>
            <w:r>
              <w:rPr>
                <w:rFonts w:ascii="Times New Roman" w:hAnsi="Times New Roman" w:eastAsia="宋体" w:cs="Times New Roman"/>
                <w:b w:val="0"/>
                <w:bCs/>
                <w:color w:val="auto"/>
                <w:kern w:val="0"/>
                <w:sz w:val="24"/>
                <w:szCs w:val="24"/>
                <w:highlight w:val="none"/>
              </w:rPr>
              <w:t>（6）生态影响：施工噪声、施工占地、水土流失等各项环境影响因素均可能对生态环境产生影响</w:t>
            </w:r>
            <w:r>
              <w:rPr>
                <w:rFonts w:ascii="Times New Roman" w:hAnsi="Times New Roman" w:eastAsia="宋体" w:cs="Times New Roman"/>
                <w:b w:val="0"/>
                <w:color w:val="auto"/>
                <w:kern w:val="0"/>
                <w:sz w:val="24"/>
                <w:szCs w:val="24"/>
                <w:highlight w:val="none"/>
              </w:rPr>
              <w:t>。</w:t>
            </w:r>
          </w:p>
          <w:p w14:paraId="242E329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val="0"/>
                <w:color w:val="auto"/>
                <w:spacing w:val="0"/>
                <w:sz w:val="24"/>
                <w:szCs w:val="24"/>
                <w:lang w:eastAsia="zh-CN"/>
              </w:rPr>
            </w:pPr>
            <w:r>
              <w:rPr>
                <w:rFonts w:hint="default" w:ascii="Times New Roman" w:hAnsi="Times New Roman" w:eastAsia="宋体" w:cs="Times New Roman"/>
                <w:b/>
                <w:bCs w:val="0"/>
                <w:color w:val="auto"/>
                <w:spacing w:val="0"/>
                <w:sz w:val="24"/>
                <w:szCs w:val="24"/>
                <w:lang w:val="en-US" w:eastAsia="zh-CN"/>
              </w:rPr>
              <w:t>1</w:t>
            </w:r>
            <w:r>
              <w:rPr>
                <w:rFonts w:hint="default" w:ascii="Times New Roman" w:hAnsi="Times New Roman" w:eastAsia="宋体" w:cs="Times New Roman"/>
                <w:b/>
                <w:bCs w:val="0"/>
                <w:color w:val="auto"/>
                <w:spacing w:val="0"/>
                <w:sz w:val="24"/>
                <w:szCs w:val="24"/>
                <w:lang w:eastAsia="zh-CN"/>
              </w:rPr>
              <w:t>、</w:t>
            </w:r>
            <w:r>
              <w:rPr>
                <w:rFonts w:hint="default" w:ascii="Times New Roman" w:hAnsi="Times New Roman" w:eastAsia="宋体" w:cs="Times New Roman"/>
                <w:b/>
                <w:bCs w:val="0"/>
                <w:color w:val="auto"/>
                <w:spacing w:val="0"/>
                <w:sz w:val="24"/>
                <w:szCs w:val="24"/>
                <w:lang w:val="en-US" w:eastAsia="zh-CN"/>
              </w:rPr>
              <w:t>废气</w:t>
            </w:r>
          </w:p>
          <w:p w14:paraId="2B07869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建筑工地扬尘对环境空气的影响范围主要是在工地围墙外100m以内：下风向一侧0～50m为重污染带；50～150m为较重污染带；大于150m为轻污染带，因此施工产生的扬尘对施工人员会有一定影响。本评价要求建设单位必须采取以下扬尘污染防治措施：</w:t>
            </w:r>
          </w:p>
          <w:p w14:paraId="695FBE6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（1）施工期应严格按照当地政府有关控制扬尘污染的规定，强化施工期环境管理，提高全员环保意识宣传和教育，制定合理施工计划，实行清洁生产、文明施工；</w:t>
            </w:r>
          </w:p>
          <w:p w14:paraId="137EAA6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（2）项目选址目前表土以直径约2～15cm砾石覆盖，土建施工时应根据具体开挖位置进行有序施工，避免一次性大范围剥离地表砾石，导致地面扬尘难以控制；</w:t>
            </w:r>
          </w:p>
          <w:p w14:paraId="719F40C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（3）施工场地场界周围先建设围墙，采取洒水、覆盖等防尘措施，保证施工场地及周围环境整洁；</w:t>
            </w:r>
          </w:p>
          <w:p w14:paraId="785F4C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（4）当出现四级以上大风天气时，禁止进行土方施工等易产生扬尘污染的施工作业，并采取防尘措施；</w:t>
            </w:r>
          </w:p>
          <w:p w14:paraId="48C721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（5）施工现场弃土渣及其它建筑垃圾应及时清运或填垫场地，对在48小时内不能及时清运的，应采取覆盖等措施防止二次扬尘；</w:t>
            </w:r>
          </w:p>
          <w:p w14:paraId="36ABEFC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（6）采用商品混凝土，且在运输途中进行加盖，禁止采用散装水泥等易产生扬尘的建筑材料；</w:t>
            </w:r>
          </w:p>
          <w:p w14:paraId="7B1D3D7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（7）项目施工过程中应加强对施工车辆的检修和维护，严禁使用超期服役和尾气超标的车辆。尽可能使用耗油低，排气小的施工车辆和机械，选用优质燃油，减少机械和车辆的有害废气的排放。</w:t>
            </w:r>
          </w:p>
          <w:p w14:paraId="7AEB92B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2、废水</w:t>
            </w:r>
          </w:p>
          <w:p w14:paraId="1F54FFAF">
            <w:pPr>
              <w:shd w:val="clear" w:color="auto" w:fill="FFFFFF"/>
              <w:adjustRightInd w:val="0"/>
              <w:snapToGrid w:val="0"/>
              <w:spacing w:line="440" w:lineRule="exact"/>
              <w:ind w:firstLine="480" w:firstLineChars="200"/>
              <w:rPr>
                <w:rFonts w:hint="eastAsia"/>
                <w:snapToGrid w:val="0"/>
                <w:color w:val="auto"/>
                <w:kern w:val="0"/>
                <w:sz w:val="24"/>
                <w:szCs w:val="20"/>
                <w:highlight w:val="none"/>
                <w:lang w:val="en-US" w:eastAsia="zh-CN"/>
              </w:rPr>
            </w:pPr>
            <w:r>
              <w:rPr>
                <w:rFonts w:hint="eastAsia"/>
                <w:snapToGrid w:val="0"/>
                <w:color w:val="auto"/>
                <w:kern w:val="0"/>
                <w:sz w:val="24"/>
                <w:szCs w:val="20"/>
                <w:highlight w:val="none"/>
                <w:lang w:val="en-US" w:eastAsia="zh-CN"/>
              </w:rPr>
              <w:t>本项目施工过程中产生的废水主要为少量施工废水和施工人员的生活污水。</w:t>
            </w:r>
          </w:p>
          <w:p w14:paraId="7F1682E0">
            <w:pPr>
              <w:shd w:val="clear" w:color="auto" w:fill="FFFFFF"/>
              <w:adjustRightInd w:val="0"/>
              <w:snapToGrid w:val="0"/>
              <w:spacing w:line="440" w:lineRule="exact"/>
              <w:ind w:firstLine="480" w:firstLineChars="200"/>
              <w:rPr>
                <w:rFonts w:hint="eastAsia"/>
                <w:snapToGrid w:val="0"/>
                <w:color w:val="auto"/>
                <w:kern w:val="0"/>
                <w:sz w:val="24"/>
                <w:szCs w:val="20"/>
                <w:highlight w:val="none"/>
                <w:lang w:val="en-US" w:eastAsia="zh-CN"/>
              </w:rPr>
            </w:pPr>
            <w:r>
              <w:rPr>
                <w:rFonts w:hint="eastAsia"/>
                <w:snapToGrid w:val="0"/>
                <w:color w:val="auto"/>
                <w:kern w:val="0"/>
                <w:sz w:val="24"/>
                <w:szCs w:val="20"/>
                <w:highlight w:val="none"/>
                <w:lang w:val="en-US" w:eastAsia="zh-CN"/>
              </w:rPr>
              <w:t>（1）项目施工时，采用商品混凝土，施工产生的施工废水较少，施工废水主要为施工泥浆水、施工车辆及机械设备冲洗废水等，施工废水排入临时沉淀池，去除悬浮物后循环使用不外排，沉渣定期清理，就地回填。</w:t>
            </w:r>
          </w:p>
          <w:p w14:paraId="70888E00">
            <w:pPr>
              <w:shd w:val="clear" w:color="auto" w:fill="FFFFFF"/>
              <w:adjustRightInd w:val="0"/>
              <w:snapToGrid w:val="0"/>
              <w:spacing w:line="440" w:lineRule="exact"/>
              <w:ind w:firstLine="480" w:firstLineChars="200"/>
              <w:rPr>
                <w:rFonts w:hint="eastAsia"/>
                <w:snapToGrid w:val="0"/>
                <w:color w:val="auto"/>
                <w:kern w:val="0"/>
                <w:sz w:val="24"/>
                <w:szCs w:val="20"/>
                <w:highlight w:val="none"/>
                <w:lang w:val="en-US" w:eastAsia="zh-CN"/>
              </w:rPr>
            </w:pPr>
            <w:r>
              <w:rPr>
                <w:rFonts w:hint="eastAsia"/>
                <w:snapToGrid w:val="0"/>
                <w:color w:val="auto"/>
                <w:kern w:val="0"/>
                <w:sz w:val="24"/>
                <w:szCs w:val="20"/>
                <w:highlight w:val="none"/>
                <w:lang w:val="en-US" w:eastAsia="zh-CN"/>
              </w:rPr>
              <w:t>（2）本项目施工期平均施工人员约</w:t>
            </w:r>
            <w:r>
              <w:rPr>
                <w:rFonts w:hint="default"/>
                <w:snapToGrid w:val="0"/>
                <w:color w:val="auto"/>
                <w:kern w:val="0"/>
                <w:sz w:val="24"/>
                <w:szCs w:val="20"/>
                <w:highlight w:val="none"/>
                <w:lang w:val="en-US" w:eastAsia="zh-CN"/>
              </w:rPr>
              <w:t>30</w:t>
            </w:r>
            <w:r>
              <w:rPr>
                <w:rFonts w:hint="eastAsia"/>
                <w:snapToGrid w:val="0"/>
                <w:color w:val="auto"/>
                <w:kern w:val="0"/>
                <w:sz w:val="24"/>
                <w:szCs w:val="20"/>
                <w:highlight w:val="none"/>
                <w:lang w:val="en-US" w:eastAsia="zh-CN"/>
              </w:rPr>
              <w:t>人，用水量按《内蒙古自治区行业用水定额标准》（</w:t>
            </w:r>
            <w:r>
              <w:rPr>
                <w:rFonts w:hint="default"/>
                <w:snapToGrid w:val="0"/>
                <w:color w:val="auto"/>
                <w:kern w:val="0"/>
                <w:sz w:val="24"/>
                <w:szCs w:val="20"/>
                <w:highlight w:val="none"/>
                <w:lang w:val="en-US" w:eastAsia="zh-CN"/>
              </w:rPr>
              <w:t>DB15/T385-2020</w:t>
            </w:r>
            <w:r>
              <w:rPr>
                <w:rFonts w:hint="eastAsia"/>
                <w:snapToGrid w:val="0"/>
                <w:color w:val="auto"/>
                <w:kern w:val="0"/>
                <w:sz w:val="24"/>
                <w:szCs w:val="20"/>
                <w:highlight w:val="none"/>
                <w:lang w:val="en-US" w:eastAsia="zh-CN"/>
              </w:rPr>
              <w:t>）农村居民用水</w:t>
            </w:r>
            <w:r>
              <w:rPr>
                <w:rFonts w:hint="default"/>
                <w:snapToGrid w:val="0"/>
                <w:color w:val="auto"/>
                <w:kern w:val="0"/>
                <w:sz w:val="24"/>
                <w:szCs w:val="20"/>
                <w:highlight w:val="none"/>
                <w:lang w:val="en-US" w:eastAsia="zh-CN"/>
              </w:rPr>
              <w:t>60L/</w:t>
            </w:r>
            <w:r>
              <w:rPr>
                <w:rFonts w:hint="eastAsia"/>
                <w:snapToGrid w:val="0"/>
                <w:color w:val="auto"/>
                <w:kern w:val="0"/>
                <w:sz w:val="24"/>
                <w:szCs w:val="20"/>
                <w:highlight w:val="none"/>
                <w:lang w:val="en-US" w:eastAsia="zh-CN"/>
              </w:rPr>
              <w:t>人</w:t>
            </w:r>
            <w:r>
              <w:rPr>
                <w:rFonts w:hint="default"/>
                <w:snapToGrid w:val="0"/>
                <w:color w:val="auto"/>
                <w:kern w:val="0"/>
                <w:sz w:val="24"/>
                <w:szCs w:val="20"/>
                <w:highlight w:val="none"/>
                <w:lang w:val="en-US" w:eastAsia="zh-CN"/>
              </w:rPr>
              <w:t>·d</w:t>
            </w:r>
            <w:r>
              <w:rPr>
                <w:rFonts w:hint="eastAsia"/>
                <w:snapToGrid w:val="0"/>
                <w:color w:val="auto"/>
                <w:kern w:val="0"/>
                <w:sz w:val="24"/>
                <w:szCs w:val="20"/>
                <w:highlight w:val="none"/>
                <w:lang w:val="en-US" w:eastAsia="zh-CN"/>
              </w:rPr>
              <w:t>计，则施工用水约</w:t>
            </w:r>
            <w:r>
              <w:rPr>
                <w:rFonts w:hint="default"/>
                <w:snapToGrid w:val="0"/>
                <w:color w:val="auto"/>
                <w:kern w:val="0"/>
                <w:sz w:val="24"/>
                <w:szCs w:val="20"/>
                <w:highlight w:val="none"/>
                <w:lang w:val="en-US" w:eastAsia="zh-CN"/>
              </w:rPr>
              <w:t>1.80t/d</w:t>
            </w:r>
            <w:r>
              <w:rPr>
                <w:rFonts w:hint="eastAsia"/>
                <w:snapToGrid w:val="0"/>
                <w:color w:val="auto"/>
                <w:kern w:val="0"/>
                <w:sz w:val="24"/>
                <w:szCs w:val="20"/>
                <w:highlight w:val="none"/>
                <w:lang w:val="en-US" w:eastAsia="zh-CN"/>
              </w:rPr>
              <w:t>，生活污水产生量按总用水量的</w:t>
            </w:r>
            <w:r>
              <w:rPr>
                <w:rFonts w:hint="default"/>
                <w:snapToGrid w:val="0"/>
                <w:color w:val="auto"/>
                <w:kern w:val="0"/>
                <w:sz w:val="24"/>
                <w:szCs w:val="20"/>
                <w:highlight w:val="none"/>
                <w:lang w:val="en-US" w:eastAsia="zh-CN"/>
              </w:rPr>
              <w:t>80%</w:t>
            </w:r>
            <w:r>
              <w:rPr>
                <w:rFonts w:hint="eastAsia"/>
                <w:snapToGrid w:val="0"/>
                <w:color w:val="auto"/>
                <w:kern w:val="0"/>
                <w:sz w:val="24"/>
                <w:szCs w:val="20"/>
                <w:highlight w:val="none"/>
                <w:lang w:val="en-US" w:eastAsia="zh-CN"/>
              </w:rPr>
              <w:t>计，则生活污水的产生量约</w:t>
            </w:r>
            <w:r>
              <w:rPr>
                <w:rFonts w:hint="default"/>
                <w:snapToGrid w:val="0"/>
                <w:color w:val="auto"/>
                <w:kern w:val="0"/>
                <w:sz w:val="24"/>
                <w:szCs w:val="20"/>
                <w:highlight w:val="none"/>
                <w:lang w:val="en-US" w:eastAsia="zh-CN"/>
              </w:rPr>
              <w:t>1.44t/d</w:t>
            </w:r>
            <w:r>
              <w:rPr>
                <w:rFonts w:hint="eastAsia"/>
                <w:snapToGrid w:val="0"/>
                <w:color w:val="auto"/>
                <w:kern w:val="0"/>
                <w:sz w:val="24"/>
                <w:szCs w:val="20"/>
                <w:highlight w:val="none"/>
                <w:lang w:val="en-US" w:eastAsia="zh-CN"/>
              </w:rPr>
              <w:t>。</w:t>
            </w:r>
            <w:r>
              <w:rPr>
                <w:rFonts w:hint="default" w:ascii="Times New Roman" w:hAnsi="Times New Roman" w:eastAsia="宋体" w:cs="Times New Roman"/>
                <w:bCs/>
                <w:color w:val="auto"/>
                <w:spacing w:val="0"/>
                <w:sz w:val="24"/>
                <w:szCs w:val="24"/>
                <w:lang w:eastAsia="zh-CN"/>
              </w:rPr>
              <w:t>施工人员生活废水</w:t>
            </w:r>
            <w:r>
              <w:rPr>
                <w:rFonts w:hint="default" w:ascii="Times New Roman" w:hAnsi="Times New Roman" w:eastAsia="宋体" w:cs="Times New Roman"/>
                <w:bCs/>
                <w:color w:val="auto"/>
                <w:spacing w:val="0"/>
                <w:sz w:val="24"/>
                <w:szCs w:val="24"/>
                <w:lang w:val="en-US" w:eastAsia="zh-CN"/>
              </w:rPr>
              <w:t>经化粪池收集后</w:t>
            </w:r>
            <w:r>
              <w:rPr>
                <w:rFonts w:hint="default" w:ascii="Times New Roman" w:hAnsi="Times New Roman" w:cs="Times New Roman"/>
                <w:color w:val="auto"/>
                <w:spacing w:val="0"/>
                <w:sz w:val="24"/>
                <w:szCs w:val="24"/>
                <w:lang w:val="en-US" w:eastAsia="zh-CN"/>
              </w:rPr>
              <w:t>拉运至九原水质净化厂</w:t>
            </w:r>
            <w:r>
              <w:rPr>
                <w:rFonts w:hint="default" w:ascii="Times New Roman" w:hAnsi="Times New Roman" w:eastAsia="宋体" w:cs="Times New Roman"/>
                <w:color w:val="auto"/>
                <w:spacing w:val="0"/>
                <w:sz w:val="24"/>
                <w:szCs w:val="24"/>
              </w:rPr>
              <w:t>处理</w:t>
            </w:r>
            <w:r>
              <w:rPr>
                <w:rFonts w:hint="default" w:ascii="Times New Roman" w:hAnsi="Times New Roman" w:eastAsia="宋体" w:cs="Times New Roman"/>
                <w:bCs/>
                <w:color w:val="auto"/>
                <w:spacing w:val="0"/>
                <w:sz w:val="24"/>
                <w:szCs w:val="24"/>
                <w:lang w:eastAsia="zh-CN"/>
              </w:rPr>
              <w:t>；</w:t>
            </w:r>
          </w:p>
          <w:p w14:paraId="0DA1D90F">
            <w:pPr>
              <w:shd w:val="clear" w:color="auto" w:fill="FFFFFF"/>
              <w:adjustRightInd w:val="0"/>
              <w:snapToGrid w:val="0"/>
              <w:spacing w:line="440" w:lineRule="exact"/>
              <w:ind w:firstLine="480" w:firstLineChars="200"/>
              <w:rPr>
                <w:rFonts w:hint="default" w:ascii="Times New Roman" w:hAnsi="Times New Roman" w:eastAsia="宋体" w:cs="Times New Roman"/>
                <w:snapToGrid w:val="0"/>
                <w:color w:val="auto"/>
                <w:kern w:val="0"/>
                <w:sz w:val="24"/>
                <w:szCs w:val="20"/>
                <w:highlight w:val="none"/>
                <w:lang w:val="en-US" w:eastAsia="zh-CN"/>
              </w:rPr>
            </w:pPr>
            <w:r>
              <w:rPr>
                <w:rFonts w:hint="eastAsia" w:ascii="Times New Roman" w:hAnsi="Times New Roman" w:eastAsia="宋体" w:cs="Times New Roman"/>
                <w:snapToGrid w:val="0"/>
                <w:color w:val="auto"/>
                <w:kern w:val="0"/>
                <w:sz w:val="24"/>
                <w:szCs w:val="20"/>
                <w:highlight w:val="none"/>
                <w:lang w:val="en-US" w:eastAsia="zh-CN"/>
              </w:rPr>
              <w:t>通过采取上述环保措施，施工过程中产生的废水不会影响周围水环境。</w:t>
            </w:r>
          </w:p>
          <w:p w14:paraId="105C92FC">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pacing w:val="0"/>
                <w:sz w:val="24"/>
                <w:szCs w:val="24"/>
              </w:rPr>
            </w:pPr>
            <w:r>
              <w:rPr>
                <w:rFonts w:hint="default" w:ascii="Times New Roman" w:hAnsi="Times New Roman" w:cs="Times New Roman"/>
                <w:b/>
                <w:bCs/>
                <w:color w:val="auto"/>
                <w:spacing w:val="0"/>
                <w:sz w:val="24"/>
                <w:szCs w:val="24"/>
              </w:rPr>
              <w:t>3</w:t>
            </w:r>
            <w:r>
              <w:rPr>
                <w:rFonts w:hint="default" w:ascii="Times New Roman" w:hAnsi="Times New Roman" w:cs="Times New Roman"/>
                <w:b/>
                <w:bCs/>
                <w:color w:val="auto"/>
                <w:spacing w:val="0"/>
                <w:sz w:val="24"/>
                <w:szCs w:val="24"/>
                <w:lang w:eastAsia="zh-CN"/>
              </w:rPr>
              <w:t>、</w:t>
            </w:r>
            <w:r>
              <w:rPr>
                <w:rFonts w:hint="default" w:ascii="Times New Roman" w:hAnsi="Times New Roman" w:cs="Times New Roman"/>
                <w:b/>
                <w:bCs/>
                <w:color w:val="auto"/>
                <w:spacing w:val="0"/>
                <w:sz w:val="24"/>
                <w:szCs w:val="24"/>
              </w:rPr>
              <w:t>噪声</w:t>
            </w:r>
          </w:p>
          <w:p w14:paraId="5E55EE0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rPr>
                <w:rFonts w:hint="eastAsia"/>
                <w:bCs/>
                <w:color w:val="auto"/>
                <w:sz w:val="24"/>
                <w:highlight w:val="none"/>
                <w:lang w:val="en-US" w:eastAsia="zh-CN"/>
              </w:rPr>
            </w:pPr>
            <w:r>
              <w:rPr>
                <w:rFonts w:hint="eastAsia"/>
                <w:bCs/>
                <w:color w:val="auto"/>
                <w:sz w:val="24"/>
                <w:highlight w:val="none"/>
                <w:lang w:eastAsia="zh-CN"/>
              </w:rPr>
              <w:t>（</w:t>
            </w:r>
            <w:r>
              <w:rPr>
                <w:rFonts w:hint="eastAsia"/>
                <w:bCs/>
                <w:color w:val="auto"/>
                <w:sz w:val="24"/>
                <w:highlight w:val="none"/>
                <w:lang w:val="en-US" w:eastAsia="zh-CN"/>
              </w:rPr>
              <w:t>1</w:t>
            </w:r>
            <w:r>
              <w:rPr>
                <w:rFonts w:hint="eastAsia"/>
                <w:bCs/>
                <w:color w:val="auto"/>
                <w:sz w:val="24"/>
                <w:highlight w:val="none"/>
                <w:lang w:eastAsia="zh-CN"/>
              </w:rPr>
              <w:t>）</w:t>
            </w:r>
            <w:r>
              <w:rPr>
                <w:rFonts w:hint="eastAsia"/>
                <w:bCs/>
                <w:color w:val="auto"/>
                <w:sz w:val="24"/>
                <w:highlight w:val="none"/>
                <w:lang w:val="en-US" w:eastAsia="zh-CN"/>
              </w:rPr>
              <w:t>施工噪声水平类比调查</w:t>
            </w:r>
          </w:p>
          <w:p w14:paraId="5157B3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Cs/>
                <w:color w:val="auto"/>
                <w:sz w:val="24"/>
                <w:highlight w:val="none"/>
              </w:rPr>
            </w:pPr>
            <w:r>
              <w:rPr>
                <w:rFonts w:hint="eastAsia"/>
                <w:bCs/>
                <w:color w:val="auto"/>
                <w:sz w:val="24"/>
                <w:highlight w:val="none"/>
                <w:lang w:val="en-US" w:eastAsia="zh-CN"/>
              </w:rPr>
              <w:t>项目</w:t>
            </w:r>
            <w:r>
              <w:rPr>
                <w:rFonts w:hint="eastAsia"/>
                <w:bCs/>
                <w:color w:val="auto"/>
                <w:sz w:val="24"/>
                <w:highlight w:val="none"/>
              </w:rPr>
              <w:t>施工中主要的开挖阶段施工机械为电动挖掘机、推土机，基础浇筑阶段施工机械的主要声源为混凝土振捣器、静力压桩机，设备安装阶段施工机械的主要噪声源为重型运输车。根据《环境噪声与振动控制工程技术导则》(HJ2034-2013)，本工程施工设备声源一定距离处的声压级见表4</w:t>
            </w:r>
            <w:r>
              <w:rPr>
                <w:rFonts w:hint="eastAsia"/>
                <w:bCs/>
                <w:color w:val="auto"/>
                <w:sz w:val="24"/>
                <w:highlight w:val="none"/>
                <w:lang w:val="en-US" w:eastAsia="zh-CN"/>
              </w:rPr>
              <w:t>.1</w:t>
            </w:r>
            <w:r>
              <w:rPr>
                <w:rFonts w:hint="eastAsia"/>
                <w:bCs/>
                <w:color w:val="auto"/>
                <w:sz w:val="24"/>
                <w:highlight w:val="none"/>
              </w:rPr>
              <w:t>-1。</w:t>
            </w:r>
          </w:p>
          <w:p w14:paraId="6F0042DD">
            <w:pPr>
              <w:pStyle w:val="31"/>
              <w:keepNext w:val="0"/>
              <w:keepLines w:val="0"/>
              <w:pageBreakBefore w:val="0"/>
              <w:widowControl w:val="0"/>
              <w:tabs>
                <w:tab w:val="left" w:pos="0"/>
              </w:tabs>
              <w:kinsoku/>
              <w:wordWrap/>
              <w:overflowPunct/>
              <w:topLinePunct w:val="0"/>
              <w:autoSpaceDE/>
              <w:autoSpaceDN/>
              <w:bidi w:val="0"/>
              <w:spacing w:after="0"/>
              <w:ind w:left="0" w:leftChars="0" w:firstLine="0" w:firstLineChars="0"/>
              <w:jc w:val="center"/>
              <w:textAlignment w:val="auto"/>
              <w:rPr>
                <w:rFonts w:hint="default" w:ascii="Times New Roman" w:hAnsi="Times New Roman" w:cs="Times New Roman"/>
                <w:b/>
                <w:bCs w:val="0"/>
                <w:color w:val="auto"/>
                <w:sz w:val="24"/>
                <w:highlight w:val="none"/>
              </w:rPr>
            </w:pPr>
            <w:r>
              <w:rPr>
                <w:rFonts w:hint="default" w:ascii="Times New Roman" w:hAnsi="Times New Roman" w:cs="Times New Roman"/>
                <w:b/>
                <w:bCs w:val="0"/>
                <w:color w:val="auto"/>
                <w:sz w:val="24"/>
                <w:highlight w:val="none"/>
              </w:rPr>
              <w:t>表</w:t>
            </w:r>
            <w:r>
              <w:rPr>
                <w:rFonts w:hint="default" w:ascii="Times New Roman" w:hAnsi="Times New Roman" w:cs="Times New Roman"/>
                <w:b/>
                <w:bCs w:val="0"/>
                <w:color w:val="auto"/>
                <w:sz w:val="24"/>
                <w:highlight w:val="none"/>
                <w:lang w:val="en-US" w:eastAsia="zh-CN"/>
              </w:rPr>
              <w:t>4.1</w:t>
            </w:r>
            <w:r>
              <w:rPr>
                <w:rFonts w:hint="default" w:ascii="Times New Roman" w:hAnsi="Times New Roman" w:cs="Times New Roman"/>
                <w:b/>
                <w:bCs w:val="0"/>
                <w:color w:val="auto"/>
                <w:sz w:val="24"/>
                <w:highlight w:val="none"/>
              </w:rPr>
              <w:t>-1 主要施工设备噪声水平及场界环境噪声排放标准</w:t>
            </w:r>
          </w:p>
          <w:tbl>
            <w:tblPr>
              <w:tblStyle w:val="3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4"/>
              <w:gridCol w:w="1773"/>
              <w:gridCol w:w="1413"/>
              <w:gridCol w:w="1694"/>
              <w:gridCol w:w="1466"/>
            </w:tblGrid>
            <w:tr w14:paraId="4095E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Merge w:val="restart"/>
                  <w:vAlign w:val="center"/>
                </w:tcPr>
                <w:p w14:paraId="45B05AF6">
                  <w:pPr>
                    <w:pStyle w:val="40"/>
                    <w:bidi w:val="0"/>
                    <w:jc w:val="center"/>
                    <w:rPr>
                      <w:rFonts w:hint="default"/>
                      <w:lang w:val="en-US" w:eastAsia="zh-CN"/>
                    </w:rPr>
                  </w:pPr>
                  <w:r>
                    <w:rPr>
                      <w:rFonts w:hint="eastAsia"/>
                      <w:lang w:val="en-US" w:eastAsia="zh-CN"/>
                    </w:rPr>
                    <w:t>设备名称</w:t>
                  </w:r>
                </w:p>
              </w:tc>
              <w:tc>
                <w:tcPr>
                  <w:tcW w:w="1079" w:type="pct"/>
                  <w:vMerge w:val="restart"/>
                  <w:vAlign w:val="center"/>
                </w:tcPr>
                <w:p w14:paraId="03FC53FE">
                  <w:pPr>
                    <w:pStyle w:val="40"/>
                    <w:bidi w:val="0"/>
                    <w:jc w:val="center"/>
                    <w:rPr>
                      <w:rFonts w:hint="default"/>
                      <w:lang w:val="en-US" w:eastAsia="zh-CN"/>
                    </w:rPr>
                  </w:pPr>
                  <w:r>
                    <w:rPr>
                      <w:rFonts w:hint="eastAsia"/>
                      <w:lang w:val="en-US" w:eastAsia="zh-CN"/>
                    </w:rPr>
                    <w:t>距设备距离（m）</w:t>
                  </w:r>
                </w:p>
              </w:tc>
              <w:tc>
                <w:tcPr>
                  <w:tcW w:w="860" w:type="pct"/>
                  <w:vMerge w:val="restart"/>
                  <w:vAlign w:val="center"/>
                </w:tcPr>
                <w:p w14:paraId="1ABF7097">
                  <w:pPr>
                    <w:pStyle w:val="40"/>
                    <w:bidi w:val="0"/>
                    <w:jc w:val="center"/>
                    <w:rPr>
                      <w:rFonts w:hint="eastAsia"/>
                      <w:lang w:val="en-US" w:eastAsia="zh-CN"/>
                    </w:rPr>
                  </w:pPr>
                  <w:r>
                    <w:rPr>
                      <w:rFonts w:hint="eastAsia"/>
                      <w:lang w:val="en-US" w:eastAsia="zh-CN"/>
                    </w:rPr>
                    <w:t>声压级</w:t>
                  </w:r>
                  <w:r>
                    <w:rPr>
                      <w:rFonts w:hint="eastAsia"/>
                    </w:rPr>
                    <w:t>(dB(A))</w:t>
                  </w:r>
                </w:p>
              </w:tc>
              <w:tc>
                <w:tcPr>
                  <w:tcW w:w="1923" w:type="pct"/>
                  <w:gridSpan w:val="2"/>
                  <w:vAlign w:val="center"/>
                </w:tcPr>
                <w:p w14:paraId="1ED06B52">
                  <w:pPr>
                    <w:pStyle w:val="40"/>
                    <w:bidi w:val="0"/>
                    <w:jc w:val="center"/>
                    <w:rPr>
                      <w:rFonts w:hint="eastAsia"/>
                    </w:rPr>
                  </w:pPr>
                  <w:r>
                    <w:rPr>
                      <w:rFonts w:hint="eastAsia"/>
                    </w:rPr>
                    <w:t>《建筑施工场界环境噪声排放标准》（GB 12523-20</w:t>
                  </w:r>
                  <w:r>
                    <w:rPr>
                      <w:rFonts w:hint="eastAsia"/>
                      <w:lang w:val="en-US" w:eastAsia="zh-CN"/>
                    </w:rPr>
                    <w:t>25</w:t>
                  </w:r>
                  <w:r>
                    <w:rPr>
                      <w:rFonts w:hint="eastAsia"/>
                    </w:rPr>
                    <w:t>）</w:t>
                  </w:r>
                </w:p>
              </w:tc>
            </w:tr>
            <w:tr w14:paraId="424C9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Merge w:val="continue"/>
                  <w:vAlign w:val="center"/>
                </w:tcPr>
                <w:p w14:paraId="38146CDF">
                  <w:pPr>
                    <w:pStyle w:val="40"/>
                    <w:bidi w:val="0"/>
                    <w:jc w:val="center"/>
                    <w:rPr>
                      <w:rFonts w:hint="default" w:eastAsia="宋体"/>
                      <w:lang w:val="en-US" w:eastAsia="zh-CN"/>
                    </w:rPr>
                  </w:pPr>
                </w:p>
              </w:tc>
              <w:tc>
                <w:tcPr>
                  <w:tcW w:w="1079" w:type="pct"/>
                  <w:vMerge w:val="continue"/>
                  <w:vAlign w:val="center"/>
                </w:tcPr>
                <w:p w14:paraId="1D1384B7">
                  <w:pPr>
                    <w:pStyle w:val="40"/>
                    <w:bidi w:val="0"/>
                    <w:jc w:val="center"/>
                    <w:rPr>
                      <w:rFonts w:hint="default" w:eastAsia="宋体"/>
                      <w:lang w:val="en-US" w:eastAsia="zh-CN"/>
                    </w:rPr>
                  </w:pPr>
                </w:p>
              </w:tc>
              <w:tc>
                <w:tcPr>
                  <w:tcW w:w="860" w:type="pct"/>
                  <w:vMerge w:val="continue"/>
                  <w:vAlign w:val="center"/>
                </w:tcPr>
                <w:p w14:paraId="4CE33E56">
                  <w:pPr>
                    <w:pStyle w:val="40"/>
                    <w:bidi w:val="0"/>
                    <w:jc w:val="center"/>
                    <w:rPr>
                      <w:rFonts w:hint="default" w:eastAsia="宋体"/>
                      <w:lang w:val="en-US" w:eastAsia="zh-CN"/>
                    </w:rPr>
                  </w:pPr>
                </w:p>
              </w:tc>
              <w:tc>
                <w:tcPr>
                  <w:tcW w:w="1031" w:type="pct"/>
                  <w:vAlign w:val="center"/>
                </w:tcPr>
                <w:p w14:paraId="4026873C">
                  <w:pPr>
                    <w:pStyle w:val="40"/>
                    <w:bidi w:val="0"/>
                    <w:jc w:val="center"/>
                    <w:rPr>
                      <w:rFonts w:hint="eastAsia" w:eastAsia="宋体"/>
                      <w:lang w:val="en-US" w:eastAsia="zh-CN"/>
                    </w:rPr>
                  </w:pPr>
                  <w:r>
                    <w:rPr>
                      <w:rFonts w:hint="eastAsia"/>
                      <w:lang w:val="en-US" w:eastAsia="zh-CN"/>
                    </w:rPr>
                    <w:t>昼间</w:t>
                  </w:r>
                  <w:r>
                    <w:rPr>
                      <w:rFonts w:hint="eastAsia"/>
                    </w:rPr>
                    <w:t>(dB(A))</w:t>
                  </w:r>
                </w:p>
              </w:tc>
              <w:tc>
                <w:tcPr>
                  <w:tcW w:w="892" w:type="pct"/>
                  <w:vAlign w:val="center"/>
                </w:tcPr>
                <w:p w14:paraId="19F61ACD">
                  <w:pPr>
                    <w:pStyle w:val="40"/>
                    <w:bidi w:val="0"/>
                    <w:jc w:val="center"/>
                    <w:rPr>
                      <w:rFonts w:hint="eastAsia" w:eastAsia="宋体"/>
                      <w:lang w:val="en-US" w:eastAsia="zh-CN"/>
                    </w:rPr>
                  </w:pPr>
                  <w:r>
                    <w:rPr>
                      <w:rFonts w:hint="eastAsia"/>
                      <w:lang w:val="en-US" w:eastAsia="zh-CN"/>
                    </w:rPr>
                    <w:t>夜间</w:t>
                  </w:r>
                  <w:r>
                    <w:rPr>
                      <w:rFonts w:hint="eastAsia"/>
                    </w:rPr>
                    <w:t>(dB(A))</w:t>
                  </w:r>
                </w:p>
              </w:tc>
            </w:tr>
            <w:tr w14:paraId="38C19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shd w:val="clear" w:color="auto" w:fill="auto"/>
                  <w:vAlign w:val="center"/>
                </w:tcPr>
                <w:p w14:paraId="4A9FC70F">
                  <w:pPr>
                    <w:pStyle w:val="40"/>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lang w:val="en-US" w:eastAsia="zh-CN"/>
                    </w:rPr>
                    <w:t>静力压桩机</w:t>
                  </w:r>
                </w:p>
              </w:tc>
              <w:tc>
                <w:tcPr>
                  <w:tcW w:w="1079" w:type="pct"/>
                  <w:shd w:val="clear" w:color="auto" w:fill="auto"/>
                  <w:vAlign w:val="center"/>
                </w:tcPr>
                <w:p w14:paraId="16EFBC33">
                  <w:pPr>
                    <w:pStyle w:val="40"/>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lang w:val="en-US" w:eastAsia="zh-CN"/>
                    </w:rPr>
                    <w:t>10</w:t>
                  </w:r>
                </w:p>
              </w:tc>
              <w:tc>
                <w:tcPr>
                  <w:tcW w:w="860" w:type="pct"/>
                  <w:shd w:val="clear" w:color="auto" w:fill="auto"/>
                  <w:vAlign w:val="center"/>
                </w:tcPr>
                <w:p w14:paraId="3B9D6139">
                  <w:pPr>
                    <w:pStyle w:val="40"/>
                    <w:bidi w:val="0"/>
                    <w:ind w:firstLine="0" w:firstLineChars="0"/>
                    <w:jc w:val="cente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lang w:val="en-US" w:eastAsia="zh-CN"/>
                    </w:rPr>
                    <w:t>73</w:t>
                  </w:r>
                </w:p>
              </w:tc>
              <w:tc>
                <w:tcPr>
                  <w:tcW w:w="1031" w:type="pct"/>
                  <w:vMerge w:val="restart"/>
                  <w:vAlign w:val="center"/>
                </w:tcPr>
                <w:p w14:paraId="6E231CA5">
                  <w:pPr>
                    <w:pStyle w:val="40"/>
                    <w:bidi w:val="0"/>
                    <w:jc w:val="center"/>
                    <w:rPr>
                      <w:rFonts w:hint="default" w:eastAsia="宋体"/>
                      <w:lang w:val="en-US" w:eastAsia="zh-CN"/>
                    </w:rPr>
                  </w:pPr>
                  <w:r>
                    <w:rPr>
                      <w:rFonts w:hint="eastAsia"/>
                      <w:lang w:val="en-US" w:eastAsia="zh-CN"/>
                    </w:rPr>
                    <w:t>70</w:t>
                  </w:r>
                </w:p>
              </w:tc>
              <w:tc>
                <w:tcPr>
                  <w:tcW w:w="892" w:type="pct"/>
                  <w:vMerge w:val="restart"/>
                  <w:vAlign w:val="center"/>
                </w:tcPr>
                <w:p w14:paraId="70AC1E8A">
                  <w:pPr>
                    <w:pStyle w:val="40"/>
                    <w:bidi w:val="0"/>
                    <w:jc w:val="center"/>
                    <w:rPr>
                      <w:rFonts w:hint="default" w:eastAsia="宋体"/>
                      <w:lang w:val="en-US" w:eastAsia="zh-CN"/>
                    </w:rPr>
                  </w:pPr>
                  <w:r>
                    <w:rPr>
                      <w:rFonts w:hint="eastAsia"/>
                      <w:lang w:val="en-US" w:eastAsia="zh-CN"/>
                    </w:rPr>
                    <w:t>55</w:t>
                  </w:r>
                </w:p>
              </w:tc>
            </w:tr>
            <w:tr w14:paraId="439D3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Align w:val="center"/>
                </w:tcPr>
                <w:p w14:paraId="6B0169EA">
                  <w:pPr>
                    <w:pStyle w:val="40"/>
                    <w:bidi w:val="0"/>
                    <w:jc w:val="center"/>
                    <w:rPr>
                      <w:rFonts w:hint="default" w:eastAsia="宋体"/>
                      <w:lang w:val="en-US" w:eastAsia="zh-CN"/>
                    </w:rPr>
                  </w:pPr>
                  <w:r>
                    <w:rPr>
                      <w:rFonts w:hint="eastAsia"/>
                      <w:lang w:val="en-US" w:eastAsia="zh-CN"/>
                    </w:rPr>
                    <w:t>推土机</w:t>
                  </w:r>
                </w:p>
              </w:tc>
              <w:tc>
                <w:tcPr>
                  <w:tcW w:w="1079" w:type="pct"/>
                  <w:vAlign w:val="center"/>
                </w:tcPr>
                <w:p w14:paraId="57AB8DD4">
                  <w:pPr>
                    <w:bidi w:val="0"/>
                    <w:jc w:val="center"/>
                    <w:rPr>
                      <w:rFonts w:hint="eastAsia"/>
                    </w:rPr>
                  </w:pPr>
                  <w:r>
                    <w:rPr>
                      <w:rFonts w:hint="eastAsia"/>
                      <w:lang w:val="en-US" w:eastAsia="zh-CN"/>
                    </w:rPr>
                    <w:t>10</w:t>
                  </w:r>
                </w:p>
              </w:tc>
              <w:tc>
                <w:tcPr>
                  <w:tcW w:w="860" w:type="pct"/>
                  <w:vAlign w:val="center"/>
                </w:tcPr>
                <w:p w14:paraId="4E3F18CB">
                  <w:pPr>
                    <w:pStyle w:val="40"/>
                    <w:bidi w:val="0"/>
                    <w:jc w:val="center"/>
                    <w:rPr>
                      <w:rFonts w:hint="default" w:eastAsia="宋体"/>
                      <w:lang w:val="en-US" w:eastAsia="zh-CN"/>
                    </w:rPr>
                  </w:pPr>
                  <w:r>
                    <w:rPr>
                      <w:rFonts w:hint="eastAsia"/>
                      <w:lang w:val="en-US" w:eastAsia="zh-CN"/>
                    </w:rPr>
                    <w:t>85</w:t>
                  </w:r>
                </w:p>
              </w:tc>
              <w:tc>
                <w:tcPr>
                  <w:tcW w:w="1031" w:type="pct"/>
                  <w:vMerge w:val="continue"/>
                  <w:vAlign w:val="center"/>
                </w:tcPr>
                <w:p w14:paraId="4977BC80">
                  <w:pPr>
                    <w:pStyle w:val="40"/>
                    <w:bidi w:val="0"/>
                    <w:jc w:val="center"/>
                    <w:rPr>
                      <w:rFonts w:hint="eastAsia"/>
                    </w:rPr>
                  </w:pPr>
                </w:p>
              </w:tc>
              <w:tc>
                <w:tcPr>
                  <w:tcW w:w="892" w:type="pct"/>
                  <w:vMerge w:val="continue"/>
                  <w:vAlign w:val="center"/>
                </w:tcPr>
                <w:p w14:paraId="2A5A2899">
                  <w:pPr>
                    <w:pStyle w:val="40"/>
                    <w:bidi w:val="0"/>
                    <w:jc w:val="center"/>
                    <w:rPr>
                      <w:rFonts w:hint="eastAsia"/>
                    </w:rPr>
                  </w:pPr>
                </w:p>
              </w:tc>
            </w:tr>
            <w:tr w14:paraId="7B71D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Align w:val="center"/>
                </w:tcPr>
                <w:p w14:paraId="282D1832">
                  <w:pPr>
                    <w:pStyle w:val="40"/>
                    <w:bidi w:val="0"/>
                    <w:jc w:val="center"/>
                    <w:rPr>
                      <w:rFonts w:hint="default" w:eastAsia="宋体"/>
                      <w:lang w:val="en-US" w:eastAsia="zh-CN"/>
                    </w:rPr>
                  </w:pPr>
                  <w:r>
                    <w:rPr>
                      <w:rFonts w:hint="eastAsia"/>
                      <w:lang w:val="en-US" w:eastAsia="zh-CN"/>
                    </w:rPr>
                    <w:t>混凝土振捣机</w:t>
                  </w:r>
                </w:p>
              </w:tc>
              <w:tc>
                <w:tcPr>
                  <w:tcW w:w="1079" w:type="pct"/>
                  <w:vAlign w:val="center"/>
                </w:tcPr>
                <w:p w14:paraId="0817ED81">
                  <w:pPr>
                    <w:bidi w:val="0"/>
                    <w:jc w:val="center"/>
                    <w:rPr>
                      <w:rFonts w:hint="eastAsia"/>
                    </w:rPr>
                  </w:pPr>
                  <w:r>
                    <w:rPr>
                      <w:rFonts w:hint="eastAsia"/>
                      <w:lang w:val="en-US" w:eastAsia="zh-CN"/>
                    </w:rPr>
                    <w:t>10</w:t>
                  </w:r>
                </w:p>
              </w:tc>
              <w:tc>
                <w:tcPr>
                  <w:tcW w:w="860" w:type="pct"/>
                  <w:vAlign w:val="center"/>
                </w:tcPr>
                <w:p w14:paraId="0AA426E0">
                  <w:pPr>
                    <w:pStyle w:val="40"/>
                    <w:bidi w:val="0"/>
                    <w:jc w:val="center"/>
                    <w:rPr>
                      <w:rFonts w:hint="default" w:eastAsia="宋体"/>
                      <w:lang w:val="en-US" w:eastAsia="zh-CN"/>
                    </w:rPr>
                  </w:pPr>
                  <w:r>
                    <w:rPr>
                      <w:rFonts w:hint="eastAsia"/>
                      <w:lang w:val="en-US" w:eastAsia="zh-CN"/>
                    </w:rPr>
                    <w:t>80</w:t>
                  </w:r>
                </w:p>
              </w:tc>
              <w:tc>
                <w:tcPr>
                  <w:tcW w:w="1031" w:type="pct"/>
                  <w:vMerge w:val="continue"/>
                  <w:vAlign w:val="center"/>
                </w:tcPr>
                <w:p w14:paraId="04018BFA">
                  <w:pPr>
                    <w:pStyle w:val="40"/>
                    <w:bidi w:val="0"/>
                    <w:jc w:val="center"/>
                    <w:rPr>
                      <w:rFonts w:hint="eastAsia"/>
                    </w:rPr>
                  </w:pPr>
                </w:p>
              </w:tc>
              <w:tc>
                <w:tcPr>
                  <w:tcW w:w="892" w:type="pct"/>
                  <w:vMerge w:val="continue"/>
                  <w:vAlign w:val="center"/>
                </w:tcPr>
                <w:p w14:paraId="0FC1395E">
                  <w:pPr>
                    <w:pStyle w:val="40"/>
                    <w:bidi w:val="0"/>
                    <w:jc w:val="center"/>
                    <w:rPr>
                      <w:rFonts w:hint="eastAsia"/>
                    </w:rPr>
                  </w:pPr>
                </w:p>
              </w:tc>
            </w:tr>
            <w:tr w14:paraId="0DA16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Align w:val="center"/>
                </w:tcPr>
                <w:p w14:paraId="4CB53D00">
                  <w:pPr>
                    <w:pStyle w:val="40"/>
                    <w:bidi w:val="0"/>
                    <w:jc w:val="center"/>
                    <w:rPr>
                      <w:rFonts w:hint="eastAsia" w:eastAsia="宋体"/>
                      <w:lang w:val="en-US" w:eastAsia="zh-CN"/>
                    </w:rPr>
                  </w:pPr>
                  <w:r>
                    <w:rPr>
                      <w:rFonts w:hint="eastAsia"/>
                      <w:lang w:val="en-US" w:eastAsia="zh-CN"/>
                    </w:rPr>
                    <w:t>商砼搅拌车</w:t>
                  </w:r>
                </w:p>
              </w:tc>
              <w:tc>
                <w:tcPr>
                  <w:tcW w:w="1079" w:type="pct"/>
                  <w:vAlign w:val="center"/>
                </w:tcPr>
                <w:p w14:paraId="67036A94">
                  <w:pPr>
                    <w:bidi w:val="0"/>
                    <w:jc w:val="center"/>
                    <w:rPr>
                      <w:rFonts w:hint="eastAsia"/>
                    </w:rPr>
                  </w:pPr>
                  <w:r>
                    <w:rPr>
                      <w:rFonts w:hint="eastAsia"/>
                      <w:lang w:val="en-US" w:eastAsia="zh-CN"/>
                    </w:rPr>
                    <w:t>10</w:t>
                  </w:r>
                </w:p>
              </w:tc>
              <w:tc>
                <w:tcPr>
                  <w:tcW w:w="860" w:type="pct"/>
                  <w:vAlign w:val="center"/>
                </w:tcPr>
                <w:p w14:paraId="74B0EC21">
                  <w:pPr>
                    <w:pStyle w:val="40"/>
                    <w:bidi w:val="0"/>
                    <w:jc w:val="center"/>
                    <w:rPr>
                      <w:rFonts w:hint="default" w:eastAsia="宋体"/>
                      <w:lang w:val="en-US" w:eastAsia="zh-CN"/>
                    </w:rPr>
                  </w:pPr>
                  <w:r>
                    <w:rPr>
                      <w:rFonts w:hint="eastAsia"/>
                      <w:lang w:val="en-US" w:eastAsia="zh-CN"/>
                    </w:rPr>
                    <w:t>85</w:t>
                  </w:r>
                </w:p>
              </w:tc>
              <w:tc>
                <w:tcPr>
                  <w:tcW w:w="1031" w:type="pct"/>
                  <w:vMerge w:val="continue"/>
                  <w:vAlign w:val="center"/>
                </w:tcPr>
                <w:p w14:paraId="40EABBC4">
                  <w:pPr>
                    <w:pStyle w:val="40"/>
                    <w:bidi w:val="0"/>
                    <w:jc w:val="center"/>
                    <w:rPr>
                      <w:rFonts w:hint="eastAsia"/>
                    </w:rPr>
                  </w:pPr>
                </w:p>
              </w:tc>
              <w:tc>
                <w:tcPr>
                  <w:tcW w:w="892" w:type="pct"/>
                  <w:vMerge w:val="continue"/>
                  <w:vAlign w:val="center"/>
                </w:tcPr>
                <w:p w14:paraId="0ED00CF4">
                  <w:pPr>
                    <w:pStyle w:val="40"/>
                    <w:bidi w:val="0"/>
                    <w:jc w:val="center"/>
                    <w:rPr>
                      <w:rFonts w:hint="eastAsia"/>
                    </w:rPr>
                  </w:pPr>
                </w:p>
              </w:tc>
            </w:tr>
            <w:tr w14:paraId="0650C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Align w:val="center"/>
                </w:tcPr>
                <w:p w14:paraId="7B7C4D5C">
                  <w:pPr>
                    <w:pStyle w:val="40"/>
                    <w:bidi w:val="0"/>
                    <w:jc w:val="center"/>
                    <w:rPr>
                      <w:rFonts w:hint="eastAsia"/>
                      <w:lang w:val="en-US" w:eastAsia="zh-CN"/>
                    </w:rPr>
                  </w:pPr>
                  <w:r>
                    <w:rPr>
                      <w:rFonts w:hint="eastAsia"/>
                      <w:lang w:val="en-US" w:eastAsia="zh-CN"/>
                    </w:rPr>
                    <w:t>挖掘机</w:t>
                  </w:r>
                </w:p>
              </w:tc>
              <w:tc>
                <w:tcPr>
                  <w:tcW w:w="1079" w:type="pct"/>
                  <w:vAlign w:val="center"/>
                </w:tcPr>
                <w:p w14:paraId="5F6B1DB1">
                  <w:pPr>
                    <w:bidi w:val="0"/>
                    <w:jc w:val="center"/>
                    <w:rPr>
                      <w:rFonts w:hint="eastAsia"/>
                    </w:rPr>
                  </w:pPr>
                  <w:r>
                    <w:rPr>
                      <w:rFonts w:hint="eastAsia"/>
                      <w:lang w:val="en-US" w:eastAsia="zh-CN"/>
                    </w:rPr>
                    <w:t>10</w:t>
                  </w:r>
                </w:p>
              </w:tc>
              <w:tc>
                <w:tcPr>
                  <w:tcW w:w="860" w:type="pct"/>
                  <w:vAlign w:val="center"/>
                </w:tcPr>
                <w:p w14:paraId="0FF04D15">
                  <w:pPr>
                    <w:pStyle w:val="40"/>
                    <w:bidi w:val="0"/>
                    <w:jc w:val="center"/>
                    <w:rPr>
                      <w:rFonts w:hint="default" w:eastAsia="宋体"/>
                      <w:lang w:val="en-US" w:eastAsia="zh-CN"/>
                    </w:rPr>
                  </w:pPr>
                  <w:r>
                    <w:rPr>
                      <w:rFonts w:hint="eastAsia"/>
                      <w:lang w:val="en-US" w:eastAsia="zh-CN"/>
                    </w:rPr>
                    <w:t>85</w:t>
                  </w:r>
                </w:p>
              </w:tc>
              <w:tc>
                <w:tcPr>
                  <w:tcW w:w="1031" w:type="pct"/>
                  <w:vMerge w:val="continue"/>
                  <w:vAlign w:val="center"/>
                </w:tcPr>
                <w:p w14:paraId="1B889B88">
                  <w:pPr>
                    <w:pStyle w:val="40"/>
                    <w:bidi w:val="0"/>
                    <w:jc w:val="center"/>
                    <w:rPr>
                      <w:rFonts w:hint="eastAsia"/>
                    </w:rPr>
                  </w:pPr>
                </w:p>
              </w:tc>
              <w:tc>
                <w:tcPr>
                  <w:tcW w:w="892" w:type="pct"/>
                  <w:vMerge w:val="continue"/>
                  <w:vAlign w:val="center"/>
                </w:tcPr>
                <w:p w14:paraId="509816F1">
                  <w:pPr>
                    <w:pStyle w:val="40"/>
                    <w:bidi w:val="0"/>
                    <w:jc w:val="center"/>
                    <w:rPr>
                      <w:rFonts w:hint="eastAsia"/>
                    </w:rPr>
                  </w:pPr>
                </w:p>
              </w:tc>
            </w:tr>
            <w:tr w14:paraId="57AB1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135" w:type="pct"/>
                  <w:vAlign w:val="center"/>
                </w:tcPr>
                <w:p w14:paraId="2B9942FD">
                  <w:pPr>
                    <w:pStyle w:val="40"/>
                    <w:bidi w:val="0"/>
                    <w:jc w:val="center"/>
                    <w:rPr>
                      <w:rFonts w:hint="default"/>
                      <w:lang w:val="en-US" w:eastAsia="zh-CN"/>
                    </w:rPr>
                  </w:pPr>
                  <w:r>
                    <w:rPr>
                      <w:rFonts w:hint="eastAsia"/>
                      <w:lang w:val="en-US" w:eastAsia="zh-CN"/>
                    </w:rPr>
                    <w:t>吊车</w:t>
                  </w:r>
                </w:p>
              </w:tc>
              <w:tc>
                <w:tcPr>
                  <w:tcW w:w="1079" w:type="pct"/>
                  <w:vAlign w:val="center"/>
                </w:tcPr>
                <w:p w14:paraId="0C58AF79">
                  <w:pPr>
                    <w:bidi w:val="0"/>
                    <w:jc w:val="center"/>
                    <w:rPr>
                      <w:rFonts w:hint="eastAsia"/>
                    </w:rPr>
                  </w:pPr>
                  <w:r>
                    <w:rPr>
                      <w:rFonts w:hint="eastAsia"/>
                      <w:lang w:val="en-US" w:eastAsia="zh-CN"/>
                    </w:rPr>
                    <w:t>10</w:t>
                  </w:r>
                </w:p>
              </w:tc>
              <w:tc>
                <w:tcPr>
                  <w:tcW w:w="860" w:type="pct"/>
                  <w:vAlign w:val="center"/>
                </w:tcPr>
                <w:p w14:paraId="2DCBCA98">
                  <w:pPr>
                    <w:pStyle w:val="40"/>
                    <w:bidi w:val="0"/>
                    <w:jc w:val="center"/>
                    <w:rPr>
                      <w:rFonts w:hint="default" w:eastAsia="宋体"/>
                      <w:lang w:val="en-US" w:eastAsia="zh-CN"/>
                    </w:rPr>
                  </w:pPr>
                  <w:r>
                    <w:rPr>
                      <w:rFonts w:hint="eastAsia"/>
                      <w:lang w:val="en-US" w:eastAsia="zh-CN"/>
                    </w:rPr>
                    <w:t>85</w:t>
                  </w:r>
                </w:p>
              </w:tc>
              <w:tc>
                <w:tcPr>
                  <w:tcW w:w="1031" w:type="pct"/>
                  <w:vMerge w:val="continue"/>
                  <w:vAlign w:val="center"/>
                </w:tcPr>
                <w:p w14:paraId="2FAAD035">
                  <w:pPr>
                    <w:pStyle w:val="40"/>
                    <w:bidi w:val="0"/>
                    <w:jc w:val="center"/>
                    <w:rPr>
                      <w:rFonts w:hint="eastAsia"/>
                    </w:rPr>
                  </w:pPr>
                </w:p>
              </w:tc>
              <w:tc>
                <w:tcPr>
                  <w:tcW w:w="892" w:type="pct"/>
                  <w:vMerge w:val="continue"/>
                  <w:vAlign w:val="center"/>
                </w:tcPr>
                <w:p w14:paraId="6B4847E0">
                  <w:pPr>
                    <w:pStyle w:val="40"/>
                    <w:bidi w:val="0"/>
                    <w:jc w:val="center"/>
                    <w:rPr>
                      <w:rFonts w:hint="eastAsia"/>
                    </w:rPr>
                  </w:pPr>
                </w:p>
              </w:tc>
            </w:tr>
            <w:tr w14:paraId="1269A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Align w:val="center"/>
                </w:tcPr>
                <w:p w14:paraId="0B73D6E2">
                  <w:pPr>
                    <w:pStyle w:val="40"/>
                    <w:bidi w:val="0"/>
                    <w:jc w:val="center"/>
                    <w:rPr>
                      <w:rFonts w:hint="default"/>
                      <w:lang w:val="en-US" w:eastAsia="zh-CN"/>
                    </w:rPr>
                  </w:pPr>
                  <w:r>
                    <w:rPr>
                      <w:rFonts w:hint="eastAsia"/>
                      <w:lang w:val="en-US" w:eastAsia="zh-CN"/>
                    </w:rPr>
                    <w:t>电锯</w:t>
                  </w:r>
                </w:p>
              </w:tc>
              <w:tc>
                <w:tcPr>
                  <w:tcW w:w="1079" w:type="pct"/>
                  <w:vAlign w:val="center"/>
                </w:tcPr>
                <w:p w14:paraId="4DE161D7">
                  <w:pPr>
                    <w:bidi w:val="0"/>
                    <w:jc w:val="center"/>
                    <w:rPr>
                      <w:rFonts w:hint="eastAsia"/>
                    </w:rPr>
                  </w:pPr>
                  <w:r>
                    <w:rPr>
                      <w:rFonts w:hint="eastAsia"/>
                      <w:lang w:val="en-US" w:eastAsia="zh-CN"/>
                    </w:rPr>
                    <w:t>10</w:t>
                  </w:r>
                </w:p>
              </w:tc>
              <w:tc>
                <w:tcPr>
                  <w:tcW w:w="860" w:type="pct"/>
                  <w:vAlign w:val="center"/>
                </w:tcPr>
                <w:p w14:paraId="1CF19FB7">
                  <w:pPr>
                    <w:pStyle w:val="40"/>
                    <w:bidi w:val="0"/>
                    <w:jc w:val="center"/>
                    <w:rPr>
                      <w:rFonts w:hint="default" w:eastAsia="宋体"/>
                      <w:lang w:val="en-US" w:eastAsia="zh-CN"/>
                    </w:rPr>
                  </w:pPr>
                  <w:r>
                    <w:rPr>
                      <w:rFonts w:hint="eastAsia"/>
                      <w:lang w:val="en-US" w:eastAsia="zh-CN"/>
                    </w:rPr>
                    <w:t>90</w:t>
                  </w:r>
                </w:p>
              </w:tc>
              <w:tc>
                <w:tcPr>
                  <w:tcW w:w="1031" w:type="pct"/>
                  <w:vMerge w:val="continue"/>
                  <w:vAlign w:val="center"/>
                </w:tcPr>
                <w:p w14:paraId="1DD681B3">
                  <w:pPr>
                    <w:pStyle w:val="40"/>
                    <w:bidi w:val="0"/>
                    <w:jc w:val="center"/>
                    <w:rPr>
                      <w:rFonts w:hint="eastAsia"/>
                    </w:rPr>
                  </w:pPr>
                </w:p>
              </w:tc>
              <w:tc>
                <w:tcPr>
                  <w:tcW w:w="892" w:type="pct"/>
                  <w:vMerge w:val="continue"/>
                  <w:vAlign w:val="center"/>
                </w:tcPr>
                <w:p w14:paraId="3E01DA61">
                  <w:pPr>
                    <w:pStyle w:val="40"/>
                    <w:bidi w:val="0"/>
                    <w:jc w:val="center"/>
                    <w:rPr>
                      <w:rFonts w:hint="eastAsia"/>
                    </w:rPr>
                  </w:pPr>
                </w:p>
              </w:tc>
            </w:tr>
            <w:tr w14:paraId="38C5A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Align w:val="center"/>
                </w:tcPr>
                <w:p w14:paraId="5584955A">
                  <w:pPr>
                    <w:pStyle w:val="40"/>
                    <w:bidi w:val="0"/>
                    <w:jc w:val="center"/>
                    <w:rPr>
                      <w:rFonts w:hint="default"/>
                      <w:lang w:val="en-US" w:eastAsia="zh-CN"/>
                    </w:rPr>
                  </w:pPr>
                  <w:r>
                    <w:rPr>
                      <w:rFonts w:hint="eastAsia"/>
                      <w:lang w:val="en-US" w:eastAsia="zh-CN"/>
                    </w:rPr>
                    <w:t>电磨机</w:t>
                  </w:r>
                </w:p>
              </w:tc>
              <w:tc>
                <w:tcPr>
                  <w:tcW w:w="1079" w:type="pct"/>
                  <w:vAlign w:val="center"/>
                </w:tcPr>
                <w:p w14:paraId="22EFE15A">
                  <w:pPr>
                    <w:bidi w:val="0"/>
                    <w:jc w:val="center"/>
                    <w:rPr>
                      <w:rFonts w:hint="eastAsia"/>
                    </w:rPr>
                  </w:pPr>
                  <w:r>
                    <w:rPr>
                      <w:rFonts w:hint="eastAsia"/>
                      <w:lang w:val="en-US" w:eastAsia="zh-CN"/>
                    </w:rPr>
                    <w:t>10</w:t>
                  </w:r>
                </w:p>
              </w:tc>
              <w:tc>
                <w:tcPr>
                  <w:tcW w:w="860" w:type="pct"/>
                  <w:vAlign w:val="center"/>
                </w:tcPr>
                <w:p w14:paraId="7F8FA470">
                  <w:pPr>
                    <w:pStyle w:val="40"/>
                    <w:bidi w:val="0"/>
                    <w:jc w:val="center"/>
                    <w:rPr>
                      <w:rFonts w:hint="default" w:eastAsia="宋体"/>
                      <w:lang w:val="en-US" w:eastAsia="zh-CN"/>
                    </w:rPr>
                  </w:pPr>
                  <w:r>
                    <w:rPr>
                      <w:rFonts w:hint="eastAsia"/>
                      <w:lang w:val="en-US" w:eastAsia="zh-CN"/>
                    </w:rPr>
                    <w:t>84</w:t>
                  </w:r>
                </w:p>
              </w:tc>
              <w:tc>
                <w:tcPr>
                  <w:tcW w:w="1031" w:type="pct"/>
                  <w:vMerge w:val="continue"/>
                  <w:vAlign w:val="center"/>
                </w:tcPr>
                <w:p w14:paraId="62D6B585">
                  <w:pPr>
                    <w:pStyle w:val="40"/>
                    <w:bidi w:val="0"/>
                    <w:jc w:val="center"/>
                    <w:rPr>
                      <w:rFonts w:hint="eastAsia"/>
                    </w:rPr>
                  </w:pPr>
                </w:p>
              </w:tc>
              <w:tc>
                <w:tcPr>
                  <w:tcW w:w="892" w:type="pct"/>
                  <w:vMerge w:val="continue"/>
                  <w:vAlign w:val="center"/>
                </w:tcPr>
                <w:p w14:paraId="62BA7BBA">
                  <w:pPr>
                    <w:pStyle w:val="40"/>
                    <w:bidi w:val="0"/>
                    <w:jc w:val="center"/>
                    <w:rPr>
                      <w:rFonts w:hint="eastAsia"/>
                    </w:rPr>
                  </w:pPr>
                </w:p>
              </w:tc>
            </w:tr>
            <w:tr w14:paraId="71711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5" w:type="pct"/>
                  <w:vAlign w:val="center"/>
                </w:tcPr>
                <w:p w14:paraId="1DF29379">
                  <w:pPr>
                    <w:pStyle w:val="40"/>
                    <w:bidi w:val="0"/>
                    <w:jc w:val="center"/>
                    <w:rPr>
                      <w:rFonts w:hint="default"/>
                      <w:lang w:val="en-US" w:eastAsia="zh-CN"/>
                    </w:rPr>
                  </w:pPr>
                  <w:r>
                    <w:rPr>
                      <w:rFonts w:hint="eastAsia"/>
                      <w:lang w:val="en-US" w:eastAsia="zh-CN"/>
                    </w:rPr>
                    <w:t>重型运输车辆</w:t>
                  </w:r>
                </w:p>
              </w:tc>
              <w:tc>
                <w:tcPr>
                  <w:tcW w:w="1079" w:type="pct"/>
                  <w:vAlign w:val="center"/>
                </w:tcPr>
                <w:p w14:paraId="254DE6CD">
                  <w:pPr>
                    <w:bidi w:val="0"/>
                    <w:jc w:val="center"/>
                    <w:rPr>
                      <w:rFonts w:hint="eastAsia"/>
                    </w:rPr>
                  </w:pPr>
                  <w:r>
                    <w:rPr>
                      <w:rFonts w:hint="eastAsia"/>
                      <w:lang w:val="en-US" w:eastAsia="zh-CN"/>
                    </w:rPr>
                    <w:t>10</w:t>
                  </w:r>
                </w:p>
              </w:tc>
              <w:tc>
                <w:tcPr>
                  <w:tcW w:w="860" w:type="pct"/>
                  <w:vAlign w:val="center"/>
                </w:tcPr>
                <w:p w14:paraId="63792149">
                  <w:pPr>
                    <w:pStyle w:val="40"/>
                    <w:bidi w:val="0"/>
                    <w:jc w:val="center"/>
                    <w:rPr>
                      <w:rFonts w:hint="default" w:eastAsia="宋体"/>
                      <w:lang w:val="en-US" w:eastAsia="zh-CN"/>
                    </w:rPr>
                  </w:pPr>
                  <w:r>
                    <w:rPr>
                      <w:rFonts w:hint="eastAsia"/>
                      <w:lang w:val="en-US" w:eastAsia="zh-CN"/>
                    </w:rPr>
                    <w:t>86</w:t>
                  </w:r>
                </w:p>
              </w:tc>
              <w:tc>
                <w:tcPr>
                  <w:tcW w:w="1031" w:type="pct"/>
                  <w:vMerge w:val="continue"/>
                  <w:vAlign w:val="center"/>
                </w:tcPr>
                <w:p w14:paraId="3283C7C1">
                  <w:pPr>
                    <w:pStyle w:val="40"/>
                    <w:bidi w:val="0"/>
                    <w:jc w:val="center"/>
                    <w:rPr>
                      <w:rFonts w:hint="eastAsia"/>
                    </w:rPr>
                  </w:pPr>
                </w:p>
              </w:tc>
              <w:tc>
                <w:tcPr>
                  <w:tcW w:w="892" w:type="pct"/>
                  <w:vMerge w:val="continue"/>
                  <w:vAlign w:val="center"/>
                </w:tcPr>
                <w:p w14:paraId="6D596DCC">
                  <w:pPr>
                    <w:pStyle w:val="40"/>
                    <w:bidi w:val="0"/>
                    <w:jc w:val="center"/>
                    <w:rPr>
                      <w:rFonts w:hint="eastAsia"/>
                    </w:rPr>
                  </w:pPr>
                </w:p>
              </w:tc>
            </w:tr>
          </w:tbl>
          <w:p w14:paraId="27D0EDA0">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rPr>
                <w:rFonts w:hint="eastAsia"/>
                <w:b/>
                <w:bCs w:val="0"/>
                <w:color w:val="auto"/>
                <w:sz w:val="21"/>
                <w:szCs w:val="21"/>
                <w:highlight w:val="none"/>
              </w:rPr>
            </w:pPr>
            <w:r>
              <w:rPr>
                <w:rFonts w:hint="eastAsia"/>
                <w:b/>
                <w:bCs w:val="0"/>
                <w:color w:val="auto"/>
                <w:sz w:val="21"/>
                <w:szCs w:val="21"/>
                <w:highlight w:val="none"/>
              </w:rPr>
              <w:t>注:声源源强参考《环境噪声与振动控制工程技术导则》(HJ2034-2013)。现阶段使用的施工设备较为先进，本次环评取均值。</w:t>
            </w:r>
          </w:p>
          <w:p w14:paraId="66F38A2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rPr>
                <w:rFonts w:hint="eastAsia"/>
                <w:bCs/>
                <w:color w:val="auto"/>
                <w:sz w:val="24"/>
                <w:highlight w:val="none"/>
              </w:rPr>
            </w:pPr>
            <w:r>
              <w:rPr>
                <w:rFonts w:hint="eastAsia"/>
                <w:bCs/>
                <w:color w:val="auto"/>
                <w:sz w:val="24"/>
                <w:highlight w:val="none"/>
                <w:lang w:eastAsia="zh-CN"/>
              </w:rPr>
              <w:t>（</w:t>
            </w:r>
            <w:r>
              <w:rPr>
                <w:rFonts w:hint="eastAsia"/>
                <w:bCs/>
                <w:color w:val="auto"/>
                <w:sz w:val="24"/>
                <w:highlight w:val="none"/>
                <w:lang w:val="en-US" w:eastAsia="zh-CN"/>
              </w:rPr>
              <w:t>2</w:t>
            </w:r>
            <w:r>
              <w:rPr>
                <w:rFonts w:hint="eastAsia"/>
                <w:bCs/>
                <w:color w:val="auto"/>
                <w:sz w:val="24"/>
                <w:highlight w:val="none"/>
                <w:lang w:eastAsia="zh-CN"/>
              </w:rPr>
              <w:t>）</w:t>
            </w:r>
            <w:r>
              <w:rPr>
                <w:rFonts w:hint="eastAsia"/>
                <w:bCs/>
                <w:color w:val="auto"/>
                <w:sz w:val="24"/>
                <w:highlight w:val="none"/>
              </w:rPr>
              <w:t>施工噪声预测计算模式</w:t>
            </w:r>
          </w:p>
          <w:p w14:paraId="7155A8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rPr>
                <w:bCs/>
                <w:color w:val="auto"/>
                <w:sz w:val="24"/>
                <w:highlight w:val="none"/>
              </w:rPr>
            </w:pPr>
            <w:r>
              <w:rPr>
                <w:rFonts w:hint="eastAsia"/>
                <w:bCs/>
                <w:color w:val="auto"/>
                <w:sz w:val="24"/>
                <w:highlight w:val="none"/>
              </w:rPr>
              <w:t>施工设备一般露天作业</w:t>
            </w:r>
            <w:r>
              <w:rPr>
                <w:rFonts w:hint="eastAsia"/>
                <w:bCs/>
                <w:color w:val="auto"/>
                <w:sz w:val="24"/>
                <w:highlight w:val="none"/>
                <w:lang w:eastAsia="zh-CN"/>
              </w:rPr>
              <w:t>，</w:t>
            </w:r>
            <w:r>
              <w:rPr>
                <w:bCs/>
                <w:color w:val="auto"/>
                <w:sz w:val="24"/>
                <w:highlight w:val="none"/>
              </w:rPr>
              <w:t>噪声经几何扩散衰减后到达预测点。主要施工设备与施工场界、周边敏感点之间的距离一般都大于2H</w:t>
            </w:r>
            <w:r>
              <w:rPr>
                <w:bCs/>
                <w:color w:val="auto"/>
                <w:sz w:val="24"/>
                <w:highlight w:val="none"/>
                <w:vertAlign w:val="subscript"/>
              </w:rPr>
              <w:t>max</w:t>
            </w:r>
            <w:r>
              <w:rPr>
                <w:bCs/>
                <w:color w:val="auto"/>
                <w:sz w:val="24"/>
                <w:highlight w:val="none"/>
              </w:rPr>
              <w:t>（H</w:t>
            </w:r>
            <w:r>
              <w:rPr>
                <w:bCs/>
                <w:color w:val="auto"/>
                <w:sz w:val="24"/>
                <w:highlight w:val="none"/>
                <w:vertAlign w:val="subscript"/>
              </w:rPr>
              <w:t>max</w:t>
            </w:r>
            <w:r>
              <w:rPr>
                <w:bCs/>
                <w:color w:val="auto"/>
                <w:sz w:val="24"/>
                <w:highlight w:val="none"/>
              </w:rPr>
              <w:t>为声源的最大几何尺寸）。</w:t>
            </w:r>
          </w:p>
          <w:p w14:paraId="7E1F3FFE">
            <w:pPr>
              <w:keepNext w:val="0"/>
              <w:keepLines w:val="0"/>
              <w:pageBreakBefore w:val="0"/>
              <w:widowControl w:val="0"/>
              <w:tabs>
                <w:tab w:val="left" w:pos="-4830"/>
                <w:tab w:val="left" w:pos="210"/>
              </w:tabs>
              <w:kinsoku/>
              <w:wordWrap/>
              <w:overflowPunct/>
              <w:topLinePunct w:val="0"/>
              <w:autoSpaceDE/>
              <w:autoSpaceDN/>
              <w:bidi w:val="0"/>
              <w:adjustRightInd w:val="0"/>
              <w:snapToGrid w:val="0"/>
              <w:spacing w:line="360" w:lineRule="auto"/>
              <w:ind w:firstLine="480" w:firstLineChars="200"/>
              <w:textAlignment w:val="baseline"/>
              <w:rPr>
                <w:bCs/>
                <w:color w:val="auto"/>
                <w:sz w:val="24"/>
                <w:highlight w:val="none"/>
              </w:rPr>
            </w:pPr>
            <w:r>
              <w:rPr>
                <w:bCs/>
                <w:color w:val="auto"/>
                <w:sz w:val="24"/>
                <w:highlight w:val="none"/>
              </w:rPr>
              <w:t>根据点声源噪声衰减模式，可估算其施工期间离噪声源不同距离处的噪声值，预测模式如下：</w:t>
            </w:r>
          </w:p>
          <w:p w14:paraId="0FE6DD00">
            <w:pPr>
              <w:keepNext w:val="0"/>
              <w:keepLines w:val="0"/>
              <w:pageBreakBefore w:val="0"/>
              <w:widowControl w:val="0"/>
              <w:kinsoku/>
              <w:wordWrap/>
              <w:overflowPunct/>
              <w:topLinePunct w:val="0"/>
              <w:autoSpaceDE/>
              <w:autoSpaceDN/>
              <w:bidi w:val="0"/>
              <w:snapToGrid w:val="0"/>
              <w:spacing w:line="360" w:lineRule="auto"/>
              <w:ind w:firstLine="480" w:firstLineChars="200"/>
              <w:jc w:val="center"/>
              <w:rPr>
                <w:color w:val="auto"/>
                <w:kern w:val="0"/>
                <w:sz w:val="24"/>
                <w:szCs w:val="20"/>
                <w:highlight w:val="none"/>
              </w:rPr>
            </w:pPr>
            <w:r>
              <w:rPr>
                <w:color w:val="auto"/>
                <w:kern w:val="0"/>
                <w:sz w:val="24"/>
                <w:szCs w:val="20"/>
                <w:highlight w:val="none"/>
              </w:rPr>
              <w:t>L</w:t>
            </w:r>
            <w:r>
              <w:rPr>
                <w:color w:val="auto"/>
                <w:kern w:val="0"/>
                <w:sz w:val="24"/>
                <w:szCs w:val="20"/>
                <w:highlight w:val="none"/>
                <w:vertAlign w:val="subscript"/>
              </w:rPr>
              <w:t>2</w:t>
            </w:r>
            <w:r>
              <w:rPr>
                <w:color w:val="auto"/>
                <w:kern w:val="0"/>
                <w:sz w:val="24"/>
                <w:szCs w:val="20"/>
                <w:highlight w:val="none"/>
              </w:rPr>
              <w:t>=L</w:t>
            </w:r>
            <w:r>
              <w:rPr>
                <w:color w:val="auto"/>
                <w:kern w:val="0"/>
                <w:sz w:val="24"/>
                <w:szCs w:val="20"/>
                <w:highlight w:val="none"/>
                <w:vertAlign w:val="subscript"/>
              </w:rPr>
              <w:t>1</w:t>
            </w:r>
            <w:r>
              <w:rPr>
                <w:color w:val="auto"/>
                <w:kern w:val="0"/>
                <w:sz w:val="24"/>
                <w:szCs w:val="20"/>
                <w:highlight w:val="none"/>
              </w:rPr>
              <w:t>-20lg(r</w:t>
            </w:r>
            <w:r>
              <w:rPr>
                <w:color w:val="auto"/>
                <w:kern w:val="0"/>
                <w:sz w:val="24"/>
                <w:szCs w:val="20"/>
                <w:highlight w:val="none"/>
                <w:vertAlign w:val="subscript"/>
              </w:rPr>
              <w:t>2</w:t>
            </w:r>
            <w:r>
              <w:rPr>
                <w:color w:val="auto"/>
                <w:kern w:val="0"/>
                <w:sz w:val="24"/>
                <w:szCs w:val="20"/>
                <w:highlight w:val="none"/>
              </w:rPr>
              <w:t>/r</w:t>
            </w:r>
            <w:r>
              <w:rPr>
                <w:color w:val="auto"/>
                <w:kern w:val="0"/>
                <w:sz w:val="24"/>
                <w:szCs w:val="20"/>
                <w:highlight w:val="none"/>
                <w:vertAlign w:val="subscript"/>
              </w:rPr>
              <w:t>1</w:t>
            </w:r>
            <w:r>
              <w:rPr>
                <w:color w:val="auto"/>
                <w:kern w:val="0"/>
                <w:sz w:val="24"/>
                <w:szCs w:val="20"/>
                <w:highlight w:val="none"/>
              </w:rPr>
              <w:t>)(r</w:t>
            </w:r>
            <w:r>
              <w:rPr>
                <w:color w:val="auto"/>
                <w:kern w:val="0"/>
                <w:sz w:val="24"/>
                <w:szCs w:val="20"/>
                <w:highlight w:val="none"/>
                <w:vertAlign w:val="subscript"/>
              </w:rPr>
              <w:t>2</w:t>
            </w:r>
            <w:r>
              <w:rPr>
                <w:color w:val="auto"/>
                <w:kern w:val="0"/>
                <w:sz w:val="24"/>
                <w:szCs w:val="20"/>
                <w:highlight w:val="none"/>
              </w:rPr>
              <w:t>&gt;r</w:t>
            </w:r>
            <w:r>
              <w:rPr>
                <w:color w:val="auto"/>
                <w:kern w:val="0"/>
                <w:sz w:val="24"/>
                <w:szCs w:val="20"/>
                <w:highlight w:val="none"/>
                <w:vertAlign w:val="subscript"/>
              </w:rPr>
              <w:t>1</w:t>
            </w:r>
            <w:r>
              <w:rPr>
                <w:color w:val="auto"/>
                <w:kern w:val="0"/>
                <w:sz w:val="24"/>
                <w:szCs w:val="20"/>
                <w:highlight w:val="none"/>
              </w:rPr>
              <w:t>)</w:t>
            </w:r>
          </w:p>
          <w:p w14:paraId="26B907DE">
            <w:pPr>
              <w:keepNext w:val="0"/>
              <w:keepLines w:val="0"/>
              <w:pageBreakBefore w:val="0"/>
              <w:widowControl w:val="0"/>
              <w:kinsoku/>
              <w:wordWrap/>
              <w:overflowPunct/>
              <w:topLinePunct w:val="0"/>
              <w:autoSpaceDE/>
              <w:autoSpaceDN/>
              <w:bidi w:val="0"/>
              <w:snapToGrid w:val="0"/>
              <w:spacing w:line="360" w:lineRule="auto"/>
              <w:ind w:firstLine="480" w:firstLineChars="200"/>
              <w:rPr>
                <w:color w:val="auto"/>
                <w:kern w:val="0"/>
                <w:sz w:val="24"/>
                <w:szCs w:val="20"/>
                <w:highlight w:val="none"/>
                <w:lang w:val="da-DK" w:eastAsia="da-DK"/>
              </w:rPr>
            </w:pPr>
            <w:r>
              <w:rPr>
                <w:color w:val="auto"/>
                <w:kern w:val="0"/>
                <w:sz w:val="24"/>
                <w:szCs w:val="20"/>
                <w:highlight w:val="none"/>
              </w:rPr>
              <w:t>式中</w:t>
            </w:r>
            <w:r>
              <w:rPr>
                <w:color w:val="auto"/>
                <w:kern w:val="0"/>
                <w:sz w:val="24"/>
                <w:szCs w:val="20"/>
                <w:highlight w:val="none"/>
                <w:lang w:val="da-DK" w:eastAsia="da-DK"/>
              </w:rPr>
              <w:t>：</w:t>
            </w:r>
          </w:p>
          <w:p w14:paraId="236F9256">
            <w:pPr>
              <w:keepNext w:val="0"/>
              <w:keepLines w:val="0"/>
              <w:pageBreakBefore w:val="0"/>
              <w:widowControl w:val="0"/>
              <w:kinsoku/>
              <w:wordWrap/>
              <w:overflowPunct/>
              <w:topLinePunct w:val="0"/>
              <w:autoSpaceDE/>
              <w:autoSpaceDN/>
              <w:bidi w:val="0"/>
              <w:snapToGrid w:val="0"/>
              <w:spacing w:line="360" w:lineRule="auto"/>
              <w:ind w:firstLine="480" w:firstLineChars="200"/>
              <w:rPr>
                <w:color w:val="auto"/>
                <w:kern w:val="0"/>
                <w:sz w:val="24"/>
                <w:szCs w:val="20"/>
                <w:highlight w:val="none"/>
                <w:lang w:val="da-DK" w:eastAsia="da-DK"/>
              </w:rPr>
            </w:pPr>
            <w:r>
              <w:rPr>
                <w:color w:val="auto"/>
                <w:kern w:val="0"/>
                <w:sz w:val="24"/>
                <w:szCs w:val="20"/>
                <w:highlight w:val="none"/>
                <w:lang w:val="da-DK" w:eastAsia="da-DK"/>
              </w:rPr>
              <w:t>r</w:t>
            </w:r>
            <w:r>
              <w:rPr>
                <w:color w:val="auto"/>
                <w:kern w:val="0"/>
                <w:sz w:val="24"/>
                <w:szCs w:val="20"/>
                <w:highlight w:val="none"/>
                <w:vertAlign w:val="subscript"/>
                <w:lang w:val="da-DK" w:eastAsia="da-DK"/>
              </w:rPr>
              <w:t>1</w:t>
            </w:r>
            <w:r>
              <w:rPr>
                <w:color w:val="auto"/>
                <w:kern w:val="0"/>
                <w:sz w:val="24"/>
                <w:szCs w:val="20"/>
                <w:highlight w:val="none"/>
              </w:rPr>
              <w:t>、</w:t>
            </w:r>
            <w:r>
              <w:rPr>
                <w:color w:val="auto"/>
                <w:kern w:val="0"/>
                <w:sz w:val="24"/>
                <w:szCs w:val="20"/>
                <w:highlight w:val="none"/>
                <w:lang w:val="da-DK" w:eastAsia="da-DK"/>
              </w:rPr>
              <w:t>r</w:t>
            </w:r>
            <w:r>
              <w:rPr>
                <w:color w:val="auto"/>
                <w:kern w:val="0"/>
                <w:sz w:val="24"/>
                <w:szCs w:val="20"/>
                <w:highlight w:val="none"/>
                <w:vertAlign w:val="subscript"/>
                <w:lang w:val="da-DK" w:eastAsia="da-DK"/>
              </w:rPr>
              <w:t xml:space="preserve">2 </w:t>
            </w:r>
            <w:r>
              <w:rPr>
                <w:color w:val="auto"/>
                <w:kern w:val="0"/>
                <w:sz w:val="24"/>
                <w:szCs w:val="20"/>
                <w:highlight w:val="none"/>
                <w:lang w:val="da-DK" w:eastAsia="da-DK"/>
              </w:rPr>
              <w:t>——</w:t>
            </w:r>
            <w:r>
              <w:rPr>
                <w:color w:val="auto"/>
                <w:kern w:val="0"/>
                <w:sz w:val="24"/>
                <w:szCs w:val="20"/>
                <w:highlight w:val="none"/>
              </w:rPr>
              <w:t>距声源的距离</w:t>
            </w:r>
            <w:r>
              <w:rPr>
                <w:color w:val="auto"/>
                <w:kern w:val="0"/>
                <w:sz w:val="24"/>
                <w:szCs w:val="20"/>
                <w:highlight w:val="none"/>
                <w:lang w:val="da-DK" w:eastAsia="da-DK"/>
              </w:rPr>
              <w:t>；</w:t>
            </w:r>
          </w:p>
          <w:p w14:paraId="0A4DBA0C">
            <w:pPr>
              <w:keepNext w:val="0"/>
              <w:keepLines w:val="0"/>
              <w:pageBreakBefore w:val="0"/>
              <w:widowControl w:val="0"/>
              <w:kinsoku/>
              <w:wordWrap/>
              <w:overflowPunct/>
              <w:topLinePunct w:val="0"/>
              <w:autoSpaceDE/>
              <w:autoSpaceDN/>
              <w:bidi w:val="0"/>
              <w:snapToGrid w:val="0"/>
              <w:spacing w:line="360" w:lineRule="auto"/>
              <w:ind w:firstLine="480" w:firstLineChars="200"/>
              <w:rPr>
                <w:color w:val="auto"/>
                <w:kern w:val="0"/>
                <w:sz w:val="24"/>
                <w:szCs w:val="20"/>
                <w:highlight w:val="none"/>
                <w:lang w:val="da-DK" w:eastAsia="da-DK"/>
              </w:rPr>
            </w:pPr>
            <w:r>
              <w:rPr>
                <w:color w:val="auto"/>
                <w:kern w:val="0"/>
                <w:sz w:val="24"/>
                <w:szCs w:val="20"/>
                <w:highlight w:val="none"/>
                <w:lang w:val="da-DK" w:eastAsia="da-DK"/>
              </w:rPr>
              <w:t>L</w:t>
            </w:r>
            <w:r>
              <w:rPr>
                <w:color w:val="auto"/>
                <w:kern w:val="0"/>
                <w:sz w:val="24"/>
                <w:szCs w:val="20"/>
                <w:highlight w:val="none"/>
                <w:vertAlign w:val="subscript"/>
                <w:lang w:val="da-DK" w:eastAsia="da-DK"/>
              </w:rPr>
              <w:t>1</w:t>
            </w:r>
            <w:r>
              <w:rPr>
                <w:color w:val="auto"/>
                <w:kern w:val="0"/>
                <w:sz w:val="24"/>
                <w:szCs w:val="20"/>
                <w:highlight w:val="none"/>
                <w:lang w:val="da-DK" w:eastAsia="da-DK"/>
              </w:rPr>
              <w:t>——</w:t>
            </w:r>
            <w:r>
              <w:rPr>
                <w:color w:val="auto"/>
                <w:kern w:val="0"/>
                <w:sz w:val="24"/>
                <w:szCs w:val="20"/>
                <w:highlight w:val="none"/>
              </w:rPr>
              <w:t>距声源</w:t>
            </w:r>
            <w:r>
              <w:rPr>
                <w:color w:val="auto"/>
                <w:kern w:val="0"/>
                <w:sz w:val="24"/>
                <w:szCs w:val="20"/>
                <w:highlight w:val="none"/>
                <w:lang w:val="da-DK" w:eastAsia="da-DK"/>
              </w:rPr>
              <w:t>r</w:t>
            </w:r>
            <w:r>
              <w:rPr>
                <w:color w:val="auto"/>
                <w:kern w:val="0"/>
                <w:sz w:val="24"/>
                <w:szCs w:val="20"/>
                <w:highlight w:val="none"/>
                <w:vertAlign w:val="subscript"/>
                <w:lang w:val="da-DK" w:eastAsia="da-DK"/>
              </w:rPr>
              <w:t>1</w:t>
            </w:r>
            <w:r>
              <w:rPr>
                <w:color w:val="auto"/>
                <w:kern w:val="0"/>
                <w:sz w:val="24"/>
                <w:szCs w:val="20"/>
                <w:highlight w:val="none"/>
              </w:rPr>
              <w:t>处声级</w:t>
            </w:r>
            <w:r>
              <w:rPr>
                <w:color w:val="auto"/>
                <w:kern w:val="0"/>
                <w:sz w:val="24"/>
                <w:szCs w:val="20"/>
                <w:highlight w:val="none"/>
                <w:lang w:val="da-DK" w:eastAsia="da-DK"/>
              </w:rPr>
              <w:t>，dB(A)；</w:t>
            </w:r>
          </w:p>
          <w:p w14:paraId="62E718CD">
            <w:pPr>
              <w:keepNext w:val="0"/>
              <w:keepLines w:val="0"/>
              <w:pageBreakBefore w:val="0"/>
              <w:widowControl w:val="0"/>
              <w:kinsoku/>
              <w:wordWrap/>
              <w:overflowPunct/>
              <w:topLinePunct w:val="0"/>
              <w:autoSpaceDE/>
              <w:autoSpaceDN/>
              <w:bidi w:val="0"/>
              <w:snapToGrid w:val="0"/>
              <w:spacing w:line="360" w:lineRule="auto"/>
              <w:ind w:firstLine="480" w:firstLineChars="200"/>
              <w:rPr>
                <w:color w:val="auto"/>
                <w:kern w:val="0"/>
                <w:sz w:val="24"/>
                <w:szCs w:val="20"/>
                <w:highlight w:val="none"/>
                <w:lang w:val="da-DK" w:eastAsia="da-DK"/>
              </w:rPr>
            </w:pPr>
            <w:r>
              <w:rPr>
                <w:color w:val="auto"/>
                <w:kern w:val="0"/>
                <w:sz w:val="24"/>
                <w:szCs w:val="20"/>
                <w:highlight w:val="none"/>
                <w:lang w:val="da-DK" w:eastAsia="da-DK"/>
              </w:rPr>
              <w:t>L</w:t>
            </w:r>
            <w:r>
              <w:rPr>
                <w:color w:val="auto"/>
                <w:kern w:val="0"/>
                <w:sz w:val="24"/>
                <w:szCs w:val="20"/>
                <w:highlight w:val="none"/>
                <w:vertAlign w:val="subscript"/>
                <w:lang w:val="da-DK" w:eastAsia="da-DK"/>
              </w:rPr>
              <w:t>2</w:t>
            </w:r>
            <w:r>
              <w:rPr>
                <w:color w:val="auto"/>
                <w:kern w:val="0"/>
                <w:sz w:val="24"/>
                <w:szCs w:val="20"/>
                <w:highlight w:val="none"/>
                <w:lang w:val="da-DK" w:eastAsia="da-DK"/>
              </w:rPr>
              <w:t xml:space="preserve"> ——</w:t>
            </w:r>
            <w:r>
              <w:rPr>
                <w:color w:val="auto"/>
                <w:kern w:val="0"/>
                <w:sz w:val="24"/>
                <w:szCs w:val="20"/>
                <w:highlight w:val="none"/>
              </w:rPr>
              <w:t>距声源</w:t>
            </w:r>
            <w:r>
              <w:rPr>
                <w:color w:val="auto"/>
                <w:kern w:val="0"/>
                <w:sz w:val="24"/>
                <w:szCs w:val="20"/>
                <w:highlight w:val="none"/>
                <w:lang w:val="da-DK" w:eastAsia="da-DK"/>
              </w:rPr>
              <w:t>r</w:t>
            </w:r>
            <w:r>
              <w:rPr>
                <w:color w:val="auto"/>
                <w:kern w:val="0"/>
                <w:sz w:val="24"/>
                <w:szCs w:val="20"/>
                <w:highlight w:val="none"/>
                <w:vertAlign w:val="subscript"/>
                <w:lang w:val="da-DK" w:eastAsia="da-DK"/>
              </w:rPr>
              <w:t>2</w:t>
            </w:r>
            <w:r>
              <w:rPr>
                <w:color w:val="auto"/>
                <w:kern w:val="0"/>
                <w:sz w:val="24"/>
                <w:szCs w:val="20"/>
                <w:highlight w:val="none"/>
              </w:rPr>
              <w:t>处声级</w:t>
            </w:r>
            <w:r>
              <w:rPr>
                <w:color w:val="auto"/>
                <w:kern w:val="0"/>
                <w:sz w:val="24"/>
                <w:szCs w:val="20"/>
                <w:highlight w:val="none"/>
                <w:lang w:val="da-DK" w:eastAsia="da-DK"/>
              </w:rPr>
              <w:t>，dB(A)</w:t>
            </w:r>
            <w:r>
              <w:rPr>
                <w:color w:val="auto"/>
                <w:kern w:val="0"/>
                <w:sz w:val="24"/>
                <w:szCs w:val="20"/>
                <w:highlight w:val="none"/>
              </w:rPr>
              <w:t>。</w:t>
            </w:r>
          </w:p>
          <w:p w14:paraId="319376D9">
            <w:pPr>
              <w:keepNext w:val="0"/>
              <w:keepLines w:val="0"/>
              <w:pageBreakBefore w:val="0"/>
              <w:widowControl w:val="0"/>
              <w:kinsoku/>
              <w:wordWrap/>
              <w:overflowPunct/>
              <w:topLinePunct w:val="0"/>
              <w:autoSpaceDE/>
              <w:autoSpaceDN/>
              <w:bidi w:val="0"/>
              <w:snapToGrid w:val="0"/>
              <w:spacing w:line="360" w:lineRule="auto"/>
              <w:ind w:firstLine="480" w:firstLineChars="200"/>
              <w:rPr>
                <w:rFonts w:hint="default" w:eastAsia="宋体"/>
                <w:color w:val="auto"/>
                <w:sz w:val="24"/>
                <w:highlight w:val="none"/>
                <w:lang w:val="en-US" w:eastAsia="zh-CN"/>
              </w:rPr>
            </w:pPr>
            <w:r>
              <w:rPr>
                <w:rFonts w:hint="eastAsia"/>
                <w:color w:val="auto"/>
                <w:sz w:val="24"/>
                <w:highlight w:val="none"/>
                <w:lang w:eastAsia="zh-CN"/>
              </w:rPr>
              <w:t>（</w:t>
            </w:r>
            <w:r>
              <w:rPr>
                <w:rFonts w:hint="eastAsia"/>
                <w:color w:val="auto"/>
                <w:sz w:val="24"/>
                <w:highlight w:val="none"/>
                <w:lang w:val="en-US" w:eastAsia="zh-CN"/>
              </w:rPr>
              <w:t>3</w:t>
            </w:r>
            <w:r>
              <w:rPr>
                <w:rFonts w:hint="eastAsia"/>
                <w:color w:val="auto"/>
                <w:sz w:val="24"/>
                <w:highlight w:val="none"/>
                <w:lang w:eastAsia="zh-CN"/>
              </w:rPr>
              <w:t>）</w:t>
            </w:r>
            <w:r>
              <w:rPr>
                <w:rFonts w:hint="eastAsia"/>
                <w:color w:val="auto"/>
                <w:sz w:val="24"/>
                <w:highlight w:val="none"/>
                <w:lang w:val="en-US" w:eastAsia="zh-CN"/>
              </w:rPr>
              <w:t>施工噪声预测计算结果与分析</w:t>
            </w:r>
          </w:p>
          <w:p w14:paraId="56AF6463">
            <w:pPr>
              <w:keepNext w:val="0"/>
              <w:keepLines w:val="0"/>
              <w:pageBreakBefore w:val="0"/>
              <w:widowControl w:val="0"/>
              <w:kinsoku/>
              <w:wordWrap/>
              <w:overflowPunct/>
              <w:topLinePunct w:val="0"/>
              <w:autoSpaceDE/>
              <w:autoSpaceDN/>
              <w:bidi w:val="0"/>
              <w:snapToGrid w:val="0"/>
              <w:spacing w:line="360" w:lineRule="auto"/>
              <w:ind w:firstLine="480" w:firstLineChars="200"/>
              <w:rPr>
                <w:color w:val="auto"/>
                <w:sz w:val="24"/>
                <w:highlight w:val="none"/>
              </w:rPr>
            </w:pPr>
            <w:r>
              <w:rPr>
                <w:color w:val="auto"/>
                <w:sz w:val="24"/>
                <w:highlight w:val="none"/>
              </w:rPr>
              <w:t>各主要施工设备在不同距离处的噪声值预测结果见表4</w:t>
            </w:r>
            <w:r>
              <w:rPr>
                <w:rFonts w:hint="eastAsia"/>
                <w:color w:val="auto"/>
                <w:sz w:val="24"/>
                <w:highlight w:val="none"/>
                <w:lang w:val="en-US" w:eastAsia="zh-CN"/>
              </w:rPr>
              <w:t>.1-2</w:t>
            </w:r>
            <w:r>
              <w:rPr>
                <w:color w:val="auto"/>
                <w:sz w:val="24"/>
                <w:highlight w:val="none"/>
              </w:rPr>
              <w:t>。</w:t>
            </w:r>
          </w:p>
          <w:p w14:paraId="21AB03BB">
            <w:pPr>
              <w:shd w:val="clear" w:color="auto" w:fill="FFFFFF"/>
              <w:adjustRightInd w:val="0"/>
              <w:snapToGrid w:val="0"/>
              <w:jc w:val="center"/>
              <w:outlineLvl w:val="1"/>
              <w:rPr>
                <w:b/>
                <w:color w:val="auto"/>
                <w:sz w:val="24"/>
                <w:highlight w:val="none"/>
              </w:rPr>
            </w:pPr>
            <w:r>
              <w:rPr>
                <w:b/>
                <w:color w:val="auto"/>
                <w:sz w:val="24"/>
                <w:highlight w:val="none"/>
              </w:rPr>
              <w:t>表4</w:t>
            </w:r>
            <w:r>
              <w:rPr>
                <w:rFonts w:hint="eastAsia"/>
                <w:b/>
                <w:color w:val="auto"/>
                <w:sz w:val="24"/>
                <w:highlight w:val="none"/>
                <w:lang w:val="en-US" w:eastAsia="zh-CN"/>
              </w:rPr>
              <w:t>.1</w:t>
            </w:r>
            <w:r>
              <w:rPr>
                <w:rFonts w:hint="eastAsia"/>
                <w:b/>
                <w:color w:val="auto"/>
                <w:sz w:val="24"/>
                <w:highlight w:val="none"/>
              </w:rPr>
              <w:t>-</w:t>
            </w:r>
            <w:r>
              <w:rPr>
                <w:rFonts w:hint="eastAsia"/>
                <w:b/>
                <w:color w:val="auto"/>
                <w:sz w:val="24"/>
                <w:highlight w:val="none"/>
                <w:lang w:val="en-US" w:eastAsia="zh-CN"/>
              </w:rPr>
              <w:t>2</w:t>
            </w:r>
            <w:r>
              <w:rPr>
                <w:color w:val="auto"/>
                <w:sz w:val="24"/>
                <w:highlight w:val="none"/>
              </w:rPr>
              <w:t xml:space="preserve"> </w:t>
            </w:r>
            <w:r>
              <w:rPr>
                <w:b/>
                <w:color w:val="auto"/>
                <w:sz w:val="24"/>
                <w:highlight w:val="none"/>
              </w:rPr>
              <w:t xml:space="preserve">   各类施工机械在不同距离处的噪声贡献值     单位：dB(A)</w:t>
            </w:r>
          </w:p>
          <w:tbl>
            <w:tblPr>
              <w:tblStyle w:val="32"/>
              <w:tblW w:w="499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30"/>
              <w:gridCol w:w="1509"/>
              <w:gridCol w:w="736"/>
              <w:gridCol w:w="703"/>
              <w:gridCol w:w="634"/>
              <w:gridCol w:w="839"/>
              <w:gridCol w:w="700"/>
              <w:gridCol w:w="700"/>
              <w:gridCol w:w="700"/>
              <w:gridCol w:w="723"/>
            </w:tblGrid>
            <w:tr w14:paraId="159974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69" w:type="pct"/>
                  <w:vMerge w:val="restart"/>
                  <w:tcBorders>
                    <w:top w:val="single" w:color="auto" w:sz="4" w:space="0"/>
                    <w:left w:val="single" w:color="auto" w:sz="4" w:space="0"/>
                  </w:tcBorders>
                  <w:vAlign w:val="center"/>
                </w:tcPr>
                <w:p w14:paraId="38BAE7A3">
                  <w:pPr>
                    <w:adjustRightInd w:val="0"/>
                    <w:snapToGrid w:val="0"/>
                    <w:jc w:val="center"/>
                    <w:rPr>
                      <w:color w:val="auto"/>
                      <w:szCs w:val="21"/>
                      <w:highlight w:val="none"/>
                    </w:rPr>
                  </w:pPr>
                  <w:r>
                    <w:rPr>
                      <w:color w:val="auto"/>
                      <w:szCs w:val="21"/>
                      <w:highlight w:val="none"/>
                    </w:rPr>
                    <w:t>施工阶段</w:t>
                  </w:r>
                </w:p>
              </w:tc>
              <w:tc>
                <w:tcPr>
                  <w:tcW w:w="923" w:type="pct"/>
                  <w:vMerge w:val="restart"/>
                  <w:tcBorders>
                    <w:top w:val="single" w:color="auto" w:sz="4" w:space="0"/>
                  </w:tcBorders>
                  <w:vAlign w:val="center"/>
                </w:tcPr>
                <w:p w14:paraId="755535B9">
                  <w:pPr>
                    <w:adjustRightInd w:val="0"/>
                    <w:snapToGrid w:val="0"/>
                    <w:jc w:val="center"/>
                    <w:rPr>
                      <w:color w:val="auto"/>
                      <w:szCs w:val="21"/>
                      <w:highlight w:val="none"/>
                    </w:rPr>
                  </w:pPr>
                  <w:r>
                    <w:rPr>
                      <w:color w:val="auto"/>
                      <w:szCs w:val="21"/>
                      <w:highlight w:val="none"/>
                    </w:rPr>
                    <w:t>机械名称</w:t>
                  </w:r>
                </w:p>
              </w:tc>
              <w:tc>
                <w:tcPr>
                  <w:tcW w:w="3507" w:type="pct"/>
                  <w:gridSpan w:val="8"/>
                  <w:tcBorders>
                    <w:top w:val="single" w:color="auto" w:sz="4" w:space="0"/>
                    <w:right w:val="single" w:color="auto" w:sz="4" w:space="0"/>
                  </w:tcBorders>
                  <w:vAlign w:val="center"/>
                </w:tcPr>
                <w:p w14:paraId="60FAEE6B">
                  <w:pPr>
                    <w:adjustRightInd w:val="0"/>
                    <w:snapToGrid w:val="0"/>
                    <w:jc w:val="center"/>
                    <w:rPr>
                      <w:color w:val="auto"/>
                      <w:szCs w:val="21"/>
                      <w:highlight w:val="none"/>
                    </w:rPr>
                  </w:pPr>
                  <w:r>
                    <w:rPr>
                      <w:color w:val="auto"/>
                      <w:szCs w:val="21"/>
                      <w:highlight w:val="none"/>
                    </w:rPr>
                    <w:t>距机械不同距离处的声压级(dB)</w:t>
                  </w:r>
                </w:p>
              </w:tc>
            </w:tr>
            <w:tr w14:paraId="4B72C4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569" w:type="pct"/>
                  <w:vMerge w:val="continue"/>
                  <w:tcBorders>
                    <w:left w:val="single" w:color="auto" w:sz="4" w:space="0"/>
                    <w:bottom w:val="single" w:color="auto" w:sz="4" w:space="0"/>
                  </w:tcBorders>
                  <w:vAlign w:val="center"/>
                </w:tcPr>
                <w:p w14:paraId="3B1A5FAE">
                  <w:pPr>
                    <w:adjustRightInd w:val="0"/>
                    <w:snapToGrid w:val="0"/>
                    <w:jc w:val="center"/>
                    <w:rPr>
                      <w:color w:val="auto"/>
                      <w:szCs w:val="21"/>
                      <w:highlight w:val="none"/>
                    </w:rPr>
                  </w:pPr>
                </w:p>
              </w:tc>
              <w:tc>
                <w:tcPr>
                  <w:tcW w:w="923" w:type="pct"/>
                  <w:vMerge w:val="continue"/>
                  <w:vAlign w:val="center"/>
                </w:tcPr>
                <w:p w14:paraId="7DD57118">
                  <w:pPr>
                    <w:adjustRightInd w:val="0"/>
                    <w:snapToGrid w:val="0"/>
                    <w:jc w:val="center"/>
                    <w:rPr>
                      <w:color w:val="auto"/>
                      <w:szCs w:val="21"/>
                      <w:highlight w:val="none"/>
                    </w:rPr>
                  </w:pPr>
                </w:p>
              </w:tc>
              <w:tc>
                <w:tcPr>
                  <w:tcW w:w="450" w:type="pct"/>
                  <w:vAlign w:val="center"/>
                </w:tcPr>
                <w:p w14:paraId="0060B297">
                  <w:pPr>
                    <w:adjustRightInd w:val="0"/>
                    <w:snapToGrid w:val="0"/>
                    <w:jc w:val="center"/>
                    <w:rPr>
                      <w:color w:val="auto"/>
                      <w:szCs w:val="21"/>
                      <w:highlight w:val="none"/>
                    </w:rPr>
                  </w:pPr>
                  <w:r>
                    <w:rPr>
                      <w:color w:val="auto"/>
                      <w:szCs w:val="21"/>
                      <w:highlight w:val="none"/>
                    </w:rPr>
                    <w:t>1m</w:t>
                  </w:r>
                </w:p>
              </w:tc>
              <w:tc>
                <w:tcPr>
                  <w:tcW w:w="430" w:type="pct"/>
                  <w:vAlign w:val="center"/>
                </w:tcPr>
                <w:p w14:paraId="18AFEA8E">
                  <w:pPr>
                    <w:adjustRightInd w:val="0"/>
                    <w:snapToGrid w:val="0"/>
                    <w:jc w:val="center"/>
                    <w:rPr>
                      <w:color w:val="auto"/>
                      <w:szCs w:val="21"/>
                      <w:highlight w:val="none"/>
                    </w:rPr>
                  </w:pPr>
                  <w:r>
                    <w:rPr>
                      <w:color w:val="auto"/>
                      <w:szCs w:val="21"/>
                      <w:highlight w:val="none"/>
                    </w:rPr>
                    <w:t>10m</w:t>
                  </w:r>
                </w:p>
              </w:tc>
              <w:tc>
                <w:tcPr>
                  <w:tcW w:w="388" w:type="pct"/>
                  <w:vAlign w:val="center"/>
                </w:tcPr>
                <w:p w14:paraId="2FC5F6B2">
                  <w:pPr>
                    <w:adjustRightInd w:val="0"/>
                    <w:snapToGrid w:val="0"/>
                    <w:jc w:val="center"/>
                    <w:rPr>
                      <w:color w:val="auto"/>
                      <w:szCs w:val="21"/>
                      <w:highlight w:val="none"/>
                    </w:rPr>
                  </w:pPr>
                  <w:r>
                    <w:rPr>
                      <w:color w:val="auto"/>
                      <w:szCs w:val="21"/>
                      <w:highlight w:val="none"/>
                    </w:rPr>
                    <w:t>20m</w:t>
                  </w:r>
                </w:p>
              </w:tc>
              <w:tc>
                <w:tcPr>
                  <w:tcW w:w="513" w:type="pct"/>
                  <w:vAlign w:val="center"/>
                </w:tcPr>
                <w:p w14:paraId="5895D9D8">
                  <w:pPr>
                    <w:adjustRightInd w:val="0"/>
                    <w:snapToGrid w:val="0"/>
                    <w:jc w:val="center"/>
                    <w:rPr>
                      <w:color w:val="auto"/>
                      <w:szCs w:val="21"/>
                      <w:highlight w:val="none"/>
                    </w:rPr>
                  </w:pPr>
                  <w:r>
                    <w:rPr>
                      <w:color w:val="auto"/>
                      <w:szCs w:val="21"/>
                      <w:highlight w:val="none"/>
                    </w:rPr>
                    <w:t>30m</w:t>
                  </w:r>
                </w:p>
              </w:tc>
              <w:tc>
                <w:tcPr>
                  <w:tcW w:w="428" w:type="pct"/>
                  <w:vAlign w:val="center"/>
                </w:tcPr>
                <w:p w14:paraId="07D314F4">
                  <w:pPr>
                    <w:adjustRightInd w:val="0"/>
                    <w:snapToGrid w:val="0"/>
                    <w:jc w:val="center"/>
                    <w:rPr>
                      <w:color w:val="auto"/>
                      <w:szCs w:val="21"/>
                      <w:highlight w:val="none"/>
                    </w:rPr>
                  </w:pPr>
                  <w:r>
                    <w:rPr>
                      <w:color w:val="auto"/>
                      <w:szCs w:val="21"/>
                      <w:highlight w:val="none"/>
                    </w:rPr>
                    <w:t>50m</w:t>
                  </w:r>
                </w:p>
              </w:tc>
              <w:tc>
                <w:tcPr>
                  <w:tcW w:w="428" w:type="pct"/>
                  <w:vAlign w:val="center"/>
                </w:tcPr>
                <w:p w14:paraId="47D7942E">
                  <w:pPr>
                    <w:adjustRightInd w:val="0"/>
                    <w:snapToGrid w:val="0"/>
                    <w:jc w:val="center"/>
                    <w:rPr>
                      <w:color w:val="auto"/>
                      <w:szCs w:val="21"/>
                      <w:highlight w:val="none"/>
                    </w:rPr>
                  </w:pPr>
                  <w:r>
                    <w:rPr>
                      <w:color w:val="auto"/>
                      <w:szCs w:val="21"/>
                      <w:highlight w:val="none"/>
                    </w:rPr>
                    <w:t>100m</w:t>
                  </w:r>
                </w:p>
              </w:tc>
              <w:tc>
                <w:tcPr>
                  <w:tcW w:w="428" w:type="pct"/>
                  <w:vAlign w:val="center"/>
                </w:tcPr>
                <w:p w14:paraId="345C83C0">
                  <w:pPr>
                    <w:adjustRightInd w:val="0"/>
                    <w:snapToGrid w:val="0"/>
                    <w:jc w:val="center"/>
                    <w:rPr>
                      <w:color w:val="auto"/>
                      <w:szCs w:val="21"/>
                      <w:highlight w:val="none"/>
                    </w:rPr>
                  </w:pPr>
                  <w:r>
                    <w:rPr>
                      <w:color w:val="auto"/>
                      <w:szCs w:val="21"/>
                      <w:highlight w:val="none"/>
                    </w:rPr>
                    <w:t>150m</w:t>
                  </w:r>
                </w:p>
              </w:tc>
              <w:tc>
                <w:tcPr>
                  <w:tcW w:w="440" w:type="pct"/>
                  <w:tcBorders>
                    <w:right w:val="single" w:color="auto" w:sz="4" w:space="0"/>
                  </w:tcBorders>
                  <w:vAlign w:val="center"/>
                </w:tcPr>
                <w:p w14:paraId="5C372AD3">
                  <w:pPr>
                    <w:adjustRightInd w:val="0"/>
                    <w:snapToGrid w:val="0"/>
                    <w:jc w:val="center"/>
                    <w:rPr>
                      <w:color w:val="auto"/>
                      <w:szCs w:val="21"/>
                      <w:highlight w:val="none"/>
                    </w:rPr>
                  </w:pPr>
                  <w:r>
                    <w:rPr>
                      <w:color w:val="auto"/>
                      <w:szCs w:val="21"/>
                      <w:highlight w:val="none"/>
                    </w:rPr>
                    <w:t>200</w:t>
                  </w:r>
                </w:p>
              </w:tc>
            </w:tr>
            <w:tr w14:paraId="2E4B97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569" w:type="pct"/>
                  <w:tcBorders>
                    <w:left w:val="single" w:color="auto" w:sz="4" w:space="0"/>
                  </w:tcBorders>
                  <w:vAlign w:val="center"/>
                </w:tcPr>
                <w:p w14:paraId="0CF5F39A">
                  <w:pPr>
                    <w:adjustRightInd w:val="0"/>
                    <w:snapToGrid w:val="0"/>
                    <w:jc w:val="center"/>
                    <w:rPr>
                      <w:color w:val="auto"/>
                      <w:szCs w:val="21"/>
                      <w:highlight w:val="none"/>
                    </w:rPr>
                  </w:pPr>
                  <w:r>
                    <w:rPr>
                      <w:color w:val="auto"/>
                      <w:szCs w:val="21"/>
                      <w:highlight w:val="none"/>
                    </w:rPr>
                    <w:t>基础施工阶段</w:t>
                  </w:r>
                </w:p>
              </w:tc>
              <w:tc>
                <w:tcPr>
                  <w:tcW w:w="923" w:type="pct"/>
                  <w:vAlign w:val="center"/>
                </w:tcPr>
                <w:p w14:paraId="528F14B7">
                  <w:pPr>
                    <w:adjustRightInd w:val="0"/>
                    <w:jc w:val="center"/>
                    <w:rPr>
                      <w:color w:val="auto"/>
                      <w:szCs w:val="21"/>
                      <w:highlight w:val="none"/>
                    </w:rPr>
                  </w:pPr>
                  <w:r>
                    <w:rPr>
                      <w:color w:val="auto"/>
                      <w:szCs w:val="21"/>
                      <w:highlight w:val="none"/>
                    </w:rPr>
                    <w:t>空压机</w:t>
                  </w:r>
                </w:p>
              </w:tc>
              <w:tc>
                <w:tcPr>
                  <w:tcW w:w="450" w:type="pct"/>
                  <w:vAlign w:val="center"/>
                </w:tcPr>
                <w:p w14:paraId="561A8C0B">
                  <w:pPr>
                    <w:tabs>
                      <w:tab w:val="left" w:pos="-4830"/>
                    </w:tabs>
                    <w:adjustRightInd w:val="0"/>
                    <w:jc w:val="center"/>
                    <w:rPr>
                      <w:color w:val="auto"/>
                      <w:szCs w:val="21"/>
                      <w:highlight w:val="none"/>
                    </w:rPr>
                  </w:pPr>
                  <w:r>
                    <w:rPr>
                      <w:color w:val="auto"/>
                      <w:szCs w:val="21"/>
                      <w:highlight w:val="none"/>
                    </w:rPr>
                    <w:t>90</w:t>
                  </w:r>
                </w:p>
              </w:tc>
              <w:tc>
                <w:tcPr>
                  <w:tcW w:w="430" w:type="pct"/>
                  <w:vAlign w:val="center"/>
                </w:tcPr>
                <w:p w14:paraId="537B5A7C">
                  <w:pPr>
                    <w:adjustRightInd w:val="0"/>
                    <w:jc w:val="center"/>
                    <w:rPr>
                      <w:color w:val="auto"/>
                      <w:szCs w:val="21"/>
                      <w:highlight w:val="none"/>
                    </w:rPr>
                  </w:pPr>
                  <w:r>
                    <w:rPr>
                      <w:color w:val="auto"/>
                      <w:szCs w:val="21"/>
                      <w:highlight w:val="none"/>
                    </w:rPr>
                    <w:t>70</w:t>
                  </w:r>
                </w:p>
              </w:tc>
              <w:tc>
                <w:tcPr>
                  <w:tcW w:w="388" w:type="pct"/>
                  <w:vAlign w:val="center"/>
                </w:tcPr>
                <w:p w14:paraId="3E4B34BE">
                  <w:pPr>
                    <w:adjustRightInd w:val="0"/>
                    <w:jc w:val="center"/>
                    <w:rPr>
                      <w:color w:val="auto"/>
                      <w:szCs w:val="21"/>
                      <w:highlight w:val="none"/>
                    </w:rPr>
                  </w:pPr>
                  <w:r>
                    <w:rPr>
                      <w:color w:val="auto"/>
                      <w:szCs w:val="21"/>
                      <w:highlight w:val="none"/>
                    </w:rPr>
                    <w:t>64</w:t>
                  </w:r>
                </w:p>
              </w:tc>
              <w:tc>
                <w:tcPr>
                  <w:tcW w:w="513" w:type="pct"/>
                  <w:vAlign w:val="center"/>
                </w:tcPr>
                <w:p w14:paraId="663333DD">
                  <w:pPr>
                    <w:adjustRightInd w:val="0"/>
                    <w:jc w:val="center"/>
                    <w:rPr>
                      <w:color w:val="auto"/>
                      <w:szCs w:val="21"/>
                      <w:highlight w:val="none"/>
                    </w:rPr>
                  </w:pPr>
                  <w:r>
                    <w:rPr>
                      <w:color w:val="auto"/>
                      <w:szCs w:val="21"/>
                      <w:highlight w:val="none"/>
                    </w:rPr>
                    <w:t>60.5</w:t>
                  </w:r>
                </w:p>
              </w:tc>
              <w:tc>
                <w:tcPr>
                  <w:tcW w:w="428" w:type="pct"/>
                  <w:vAlign w:val="center"/>
                </w:tcPr>
                <w:p w14:paraId="55599321">
                  <w:pPr>
                    <w:adjustRightInd w:val="0"/>
                    <w:jc w:val="center"/>
                    <w:rPr>
                      <w:color w:val="auto"/>
                      <w:szCs w:val="21"/>
                      <w:highlight w:val="none"/>
                    </w:rPr>
                  </w:pPr>
                  <w:r>
                    <w:rPr>
                      <w:color w:val="auto"/>
                      <w:szCs w:val="21"/>
                      <w:highlight w:val="none"/>
                    </w:rPr>
                    <w:t>56</w:t>
                  </w:r>
                </w:p>
              </w:tc>
              <w:tc>
                <w:tcPr>
                  <w:tcW w:w="428" w:type="pct"/>
                  <w:vAlign w:val="center"/>
                </w:tcPr>
                <w:p w14:paraId="686E3DC4">
                  <w:pPr>
                    <w:adjustRightInd w:val="0"/>
                    <w:jc w:val="center"/>
                    <w:rPr>
                      <w:color w:val="auto"/>
                      <w:szCs w:val="21"/>
                      <w:highlight w:val="none"/>
                    </w:rPr>
                  </w:pPr>
                  <w:r>
                    <w:rPr>
                      <w:color w:val="auto"/>
                      <w:szCs w:val="21"/>
                      <w:highlight w:val="none"/>
                    </w:rPr>
                    <w:t>50</w:t>
                  </w:r>
                </w:p>
              </w:tc>
              <w:tc>
                <w:tcPr>
                  <w:tcW w:w="428" w:type="pct"/>
                  <w:vAlign w:val="center"/>
                </w:tcPr>
                <w:p w14:paraId="68446DCE">
                  <w:pPr>
                    <w:adjustRightInd w:val="0"/>
                    <w:jc w:val="center"/>
                    <w:rPr>
                      <w:color w:val="auto"/>
                      <w:szCs w:val="21"/>
                      <w:highlight w:val="none"/>
                    </w:rPr>
                  </w:pPr>
                  <w:r>
                    <w:rPr>
                      <w:color w:val="auto"/>
                      <w:szCs w:val="21"/>
                      <w:highlight w:val="none"/>
                    </w:rPr>
                    <w:t>4</w:t>
                  </w:r>
                  <w:r>
                    <w:rPr>
                      <w:rFonts w:hint="eastAsia"/>
                      <w:color w:val="auto"/>
                      <w:szCs w:val="21"/>
                      <w:highlight w:val="none"/>
                    </w:rPr>
                    <w:t>4</w:t>
                  </w:r>
                  <w:r>
                    <w:rPr>
                      <w:color w:val="auto"/>
                      <w:szCs w:val="21"/>
                      <w:highlight w:val="none"/>
                    </w:rPr>
                    <w:t>.5</w:t>
                  </w:r>
                </w:p>
              </w:tc>
              <w:tc>
                <w:tcPr>
                  <w:tcW w:w="440" w:type="pct"/>
                  <w:tcBorders>
                    <w:right w:val="single" w:color="auto" w:sz="4" w:space="0"/>
                  </w:tcBorders>
                  <w:vAlign w:val="center"/>
                </w:tcPr>
                <w:p w14:paraId="24355D5E">
                  <w:pPr>
                    <w:adjustRightInd w:val="0"/>
                    <w:jc w:val="center"/>
                    <w:rPr>
                      <w:color w:val="auto"/>
                      <w:szCs w:val="21"/>
                      <w:highlight w:val="none"/>
                    </w:rPr>
                  </w:pPr>
                  <w:r>
                    <w:rPr>
                      <w:color w:val="auto"/>
                      <w:szCs w:val="21"/>
                      <w:highlight w:val="none"/>
                    </w:rPr>
                    <w:t>44</w:t>
                  </w:r>
                </w:p>
              </w:tc>
            </w:tr>
            <w:tr w14:paraId="170F27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restart"/>
                  <w:tcBorders>
                    <w:left w:val="single" w:color="auto" w:sz="4" w:space="0"/>
                  </w:tcBorders>
                  <w:vAlign w:val="center"/>
                </w:tcPr>
                <w:p w14:paraId="24F9EDA7">
                  <w:pPr>
                    <w:adjustRightInd w:val="0"/>
                    <w:snapToGrid w:val="0"/>
                    <w:jc w:val="center"/>
                    <w:rPr>
                      <w:color w:val="auto"/>
                      <w:szCs w:val="21"/>
                      <w:highlight w:val="none"/>
                    </w:rPr>
                  </w:pPr>
                  <w:r>
                    <w:rPr>
                      <w:color w:val="auto"/>
                      <w:szCs w:val="21"/>
                      <w:highlight w:val="none"/>
                    </w:rPr>
                    <w:t>土建阶段</w:t>
                  </w:r>
                </w:p>
              </w:tc>
              <w:tc>
                <w:tcPr>
                  <w:tcW w:w="923" w:type="pct"/>
                  <w:vAlign w:val="center"/>
                </w:tcPr>
                <w:p w14:paraId="231EDB9D">
                  <w:pPr>
                    <w:adjustRightInd w:val="0"/>
                    <w:jc w:val="center"/>
                    <w:rPr>
                      <w:color w:val="auto"/>
                      <w:szCs w:val="21"/>
                      <w:highlight w:val="none"/>
                    </w:rPr>
                  </w:pPr>
                  <w:r>
                    <w:rPr>
                      <w:color w:val="auto"/>
                      <w:szCs w:val="21"/>
                      <w:highlight w:val="none"/>
                    </w:rPr>
                    <w:t>推土机</w:t>
                  </w:r>
                </w:p>
              </w:tc>
              <w:tc>
                <w:tcPr>
                  <w:tcW w:w="450" w:type="pct"/>
                  <w:vAlign w:val="center"/>
                </w:tcPr>
                <w:p w14:paraId="71DBD57F">
                  <w:pPr>
                    <w:adjustRightInd w:val="0"/>
                    <w:jc w:val="center"/>
                    <w:rPr>
                      <w:color w:val="auto"/>
                      <w:szCs w:val="21"/>
                      <w:highlight w:val="none"/>
                    </w:rPr>
                  </w:pPr>
                  <w:r>
                    <w:rPr>
                      <w:color w:val="auto"/>
                      <w:szCs w:val="21"/>
                      <w:highlight w:val="none"/>
                    </w:rPr>
                    <w:t>90</w:t>
                  </w:r>
                </w:p>
              </w:tc>
              <w:tc>
                <w:tcPr>
                  <w:tcW w:w="430" w:type="pct"/>
                  <w:vAlign w:val="center"/>
                </w:tcPr>
                <w:p w14:paraId="199A6392">
                  <w:pPr>
                    <w:adjustRightInd w:val="0"/>
                    <w:jc w:val="center"/>
                    <w:rPr>
                      <w:color w:val="auto"/>
                      <w:szCs w:val="21"/>
                      <w:highlight w:val="none"/>
                    </w:rPr>
                  </w:pPr>
                  <w:r>
                    <w:rPr>
                      <w:color w:val="auto"/>
                      <w:szCs w:val="21"/>
                      <w:highlight w:val="none"/>
                    </w:rPr>
                    <w:t>70</w:t>
                  </w:r>
                </w:p>
              </w:tc>
              <w:tc>
                <w:tcPr>
                  <w:tcW w:w="388" w:type="pct"/>
                  <w:vAlign w:val="center"/>
                </w:tcPr>
                <w:p w14:paraId="52EAAA62">
                  <w:pPr>
                    <w:adjustRightInd w:val="0"/>
                    <w:jc w:val="center"/>
                    <w:rPr>
                      <w:color w:val="auto"/>
                      <w:szCs w:val="21"/>
                      <w:highlight w:val="none"/>
                    </w:rPr>
                  </w:pPr>
                  <w:r>
                    <w:rPr>
                      <w:color w:val="auto"/>
                      <w:szCs w:val="21"/>
                      <w:highlight w:val="none"/>
                    </w:rPr>
                    <w:t>64</w:t>
                  </w:r>
                </w:p>
              </w:tc>
              <w:tc>
                <w:tcPr>
                  <w:tcW w:w="513" w:type="pct"/>
                  <w:vAlign w:val="center"/>
                </w:tcPr>
                <w:p w14:paraId="0F976359">
                  <w:pPr>
                    <w:adjustRightInd w:val="0"/>
                    <w:jc w:val="center"/>
                    <w:rPr>
                      <w:color w:val="auto"/>
                      <w:szCs w:val="21"/>
                      <w:highlight w:val="none"/>
                    </w:rPr>
                  </w:pPr>
                  <w:r>
                    <w:rPr>
                      <w:color w:val="auto"/>
                      <w:szCs w:val="21"/>
                      <w:highlight w:val="none"/>
                    </w:rPr>
                    <w:t>60.5</w:t>
                  </w:r>
                </w:p>
              </w:tc>
              <w:tc>
                <w:tcPr>
                  <w:tcW w:w="428" w:type="pct"/>
                  <w:vAlign w:val="center"/>
                </w:tcPr>
                <w:p w14:paraId="3DCAF678">
                  <w:pPr>
                    <w:adjustRightInd w:val="0"/>
                    <w:jc w:val="center"/>
                    <w:rPr>
                      <w:color w:val="auto"/>
                      <w:szCs w:val="21"/>
                      <w:highlight w:val="none"/>
                    </w:rPr>
                  </w:pPr>
                  <w:r>
                    <w:rPr>
                      <w:color w:val="auto"/>
                      <w:szCs w:val="21"/>
                      <w:highlight w:val="none"/>
                    </w:rPr>
                    <w:t>56</w:t>
                  </w:r>
                </w:p>
              </w:tc>
              <w:tc>
                <w:tcPr>
                  <w:tcW w:w="428" w:type="pct"/>
                  <w:vAlign w:val="center"/>
                </w:tcPr>
                <w:p w14:paraId="2E5E28B8">
                  <w:pPr>
                    <w:adjustRightInd w:val="0"/>
                    <w:jc w:val="center"/>
                    <w:rPr>
                      <w:color w:val="auto"/>
                      <w:szCs w:val="21"/>
                      <w:highlight w:val="none"/>
                    </w:rPr>
                  </w:pPr>
                  <w:r>
                    <w:rPr>
                      <w:color w:val="auto"/>
                      <w:szCs w:val="21"/>
                      <w:highlight w:val="none"/>
                    </w:rPr>
                    <w:t>50</w:t>
                  </w:r>
                </w:p>
              </w:tc>
              <w:tc>
                <w:tcPr>
                  <w:tcW w:w="428" w:type="pct"/>
                  <w:vAlign w:val="center"/>
                </w:tcPr>
                <w:p w14:paraId="6D4CED7D">
                  <w:pPr>
                    <w:adjustRightInd w:val="0"/>
                    <w:jc w:val="center"/>
                    <w:rPr>
                      <w:color w:val="auto"/>
                      <w:szCs w:val="21"/>
                      <w:highlight w:val="none"/>
                    </w:rPr>
                  </w:pPr>
                  <w:r>
                    <w:rPr>
                      <w:color w:val="auto"/>
                      <w:szCs w:val="21"/>
                      <w:highlight w:val="none"/>
                    </w:rPr>
                    <w:t>44.5</w:t>
                  </w:r>
                </w:p>
              </w:tc>
              <w:tc>
                <w:tcPr>
                  <w:tcW w:w="440" w:type="pct"/>
                  <w:tcBorders>
                    <w:right w:val="single" w:color="auto" w:sz="4" w:space="0"/>
                  </w:tcBorders>
                  <w:vAlign w:val="center"/>
                </w:tcPr>
                <w:p w14:paraId="3B3FBBA9">
                  <w:pPr>
                    <w:adjustRightInd w:val="0"/>
                    <w:jc w:val="center"/>
                    <w:rPr>
                      <w:color w:val="auto"/>
                      <w:szCs w:val="21"/>
                      <w:highlight w:val="none"/>
                    </w:rPr>
                  </w:pPr>
                  <w:r>
                    <w:rPr>
                      <w:color w:val="auto"/>
                      <w:szCs w:val="21"/>
                      <w:highlight w:val="none"/>
                    </w:rPr>
                    <w:t>44</w:t>
                  </w:r>
                </w:p>
              </w:tc>
            </w:tr>
            <w:tr w14:paraId="22BB29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continue"/>
                  <w:tcBorders>
                    <w:left w:val="single" w:color="auto" w:sz="4" w:space="0"/>
                  </w:tcBorders>
                  <w:vAlign w:val="center"/>
                </w:tcPr>
                <w:p w14:paraId="3B7B674B">
                  <w:pPr>
                    <w:adjustRightInd w:val="0"/>
                    <w:snapToGrid w:val="0"/>
                    <w:jc w:val="center"/>
                    <w:rPr>
                      <w:color w:val="auto"/>
                      <w:szCs w:val="21"/>
                      <w:highlight w:val="none"/>
                    </w:rPr>
                  </w:pPr>
                </w:p>
              </w:tc>
              <w:tc>
                <w:tcPr>
                  <w:tcW w:w="923" w:type="pct"/>
                  <w:vAlign w:val="center"/>
                </w:tcPr>
                <w:p w14:paraId="08368AEE">
                  <w:pPr>
                    <w:adjustRightInd w:val="0"/>
                    <w:jc w:val="center"/>
                    <w:rPr>
                      <w:color w:val="auto"/>
                      <w:szCs w:val="21"/>
                      <w:highlight w:val="none"/>
                    </w:rPr>
                  </w:pPr>
                  <w:r>
                    <w:rPr>
                      <w:color w:val="auto"/>
                      <w:szCs w:val="21"/>
                      <w:highlight w:val="none"/>
                    </w:rPr>
                    <w:t>挖掘机</w:t>
                  </w:r>
                </w:p>
              </w:tc>
              <w:tc>
                <w:tcPr>
                  <w:tcW w:w="450" w:type="pct"/>
                  <w:vAlign w:val="center"/>
                </w:tcPr>
                <w:p w14:paraId="2F7C8868">
                  <w:pPr>
                    <w:adjustRightInd w:val="0"/>
                    <w:jc w:val="center"/>
                    <w:rPr>
                      <w:color w:val="auto"/>
                      <w:szCs w:val="21"/>
                      <w:highlight w:val="none"/>
                    </w:rPr>
                  </w:pPr>
                  <w:r>
                    <w:rPr>
                      <w:color w:val="auto"/>
                      <w:szCs w:val="21"/>
                      <w:highlight w:val="none"/>
                    </w:rPr>
                    <w:t>90</w:t>
                  </w:r>
                </w:p>
              </w:tc>
              <w:tc>
                <w:tcPr>
                  <w:tcW w:w="430" w:type="pct"/>
                  <w:vAlign w:val="center"/>
                </w:tcPr>
                <w:p w14:paraId="5789BD3F">
                  <w:pPr>
                    <w:adjustRightInd w:val="0"/>
                    <w:jc w:val="center"/>
                    <w:rPr>
                      <w:color w:val="auto"/>
                      <w:szCs w:val="21"/>
                      <w:highlight w:val="none"/>
                    </w:rPr>
                  </w:pPr>
                  <w:r>
                    <w:rPr>
                      <w:color w:val="auto"/>
                      <w:szCs w:val="21"/>
                      <w:highlight w:val="none"/>
                    </w:rPr>
                    <w:t>70</w:t>
                  </w:r>
                </w:p>
              </w:tc>
              <w:tc>
                <w:tcPr>
                  <w:tcW w:w="388" w:type="pct"/>
                  <w:vAlign w:val="center"/>
                </w:tcPr>
                <w:p w14:paraId="5A2DEDF4">
                  <w:pPr>
                    <w:adjustRightInd w:val="0"/>
                    <w:jc w:val="center"/>
                    <w:rPr>
                      <w:color w:val="auto"/>
                      <w:szCs w:val="21"/>
                      <w:highlight w:val="none"/>
                    </w:rPr>
                  </w:pPr>
                  <w:r>
                    <w:rPr>
                      <w:color w:val="auto"/>
                      <w:szCs w:val="21"/>
                      <w:highlight w:val="none"/>
                    </w:rPr>
                    <w:t>64</w:t>
                  </w:r>
                </w:p>
              </w:tc>
              <w:tc>
                <w:tcPr>
                  <w:tcW w:w="513" w:type="pct"/>
                  <w:vAlign w:val="center"/>
                </w:tcPr>
                <w:p w14:paraId="2F0EA234">
                  <w:pPr>
                    <w:adjustRightInd w:val="0"/>
                    <w:jc w:val="center"/>
                    <w:rPr>
                      <w:color w:val="auto"/>
                      <w:szCs w:val="21"/>
                      <w:highlight w:val="none"/>
                    </w:rPr>
                  </w:pPr>
                  <w:r>
                    <w:rPr>
                      <w:color w:val="auto"/>
                      <w:szCs w:val="21"/>
                      <w:highlight w:val="none"/>
                    </w:rPr>
                    <w:t>60.5</w:t>
                  </w:r>
                </w:p>
              </w:tc>
              <w:tc>
                <w:tcPr>
                  <w:tcW w:w="428" w:type="pct"/>
                  <w:vAlign w:val="center"/>
                </w:tcPr>
                <w:p w14:paraId="5F716255">
                  <w:pPr>
                    <w:adjustRightInd w:val="0"/>
                    <w:jc w:val="center"/>
                    <w:rPr>
                      <w:color w:val="auto"/>
                      <w:szCs w:val="21"/>
                      <w:highlight w:val="none"/>
                    </w:rPr>
                  </w:pPr>
                  <w:r>
                    <w:rPr>
                      <w:color w:val="auto"/>
                      <w:szCs w:val="21"/>
                      <w:highlight w:val="none"/>
                    </w:rPr>
                    <w:t>56</w:t>
                  </w:r>
                </w:p>
              </w:tc>
              <w:tc>
                <w:tcPr>
                  <w:tcW w:w="428" w:type="pct"/>
                  <w:vAlign w:val="center"/>
                </w:tcPr>
                <w:p w14:paraId="1BD62E9F">
                  <w:pPr>
                    <w:adjustRightInd w:val="0"/>
                    <w:jc w:val="center"/>
                    <w:rPr>
                      <w:color w:val="auto"/>
                      <w:szCs w:val="21"/>
                      <w:highlight w:val="none"/>
                    </w:rPr>
                  </w:pPr>
                  <w:r>
                    <w:rPr>
                      <w:color w:val="auto"/>
                      <w:szCs w:val="21"/>
                      <w:highlight w:val="none"/>
                    </w:rPr>
                    <w:t>50</w:t>
                  </w:r>
                </w:p>
              </w:tc>
              <w:tc>
                <w:tcPr>
                  <w:tcW w:w="428" w:type="pct"/>
                  <w:vAlign w:val="center"/>
                </w:tcPr>
                <w:p w14:paraId="02C75824">
                  <w:pPr>
                    <w:adjustRightInd w:val="0"/>
                    <w:jc w:val="center"/>
                    <w:rPr>
                      <w:color w:val="auto"/>
                      <w:szCs w:val="21"/>
                      <w:highlight w:val="none"/>
                    </w:rPr>
                  </w:pPr>
                  <w:r>
                    <w:rPr>
                      <w:color w:val="auto"/>
                      <w:szCs w:val="21"/>
                      <w:highlight w:val="none"/>
                    </w:rPr>
                    <w:t>44.5</w:t>
                  </w:r>
                </w:p>
              </w:tc>
              <w:tc>
                <w:tcPr>
                  <w:tcW w:w="440" w:type="pct"/>
                  <w:tcBorders>
                    <w:right w:val="single" w:color="auto" w:sz="4" w:space="0"/>
                  </w:tcBorders>
                  <w:vAlign w:val="center"/>
                </w:tcPr>
                <w:p w14:paraId="348D1068">
                  <w:pPr>
                    <w:adjustRightInd w:val="0"/>
                    <w:jc w:val="center"/>
                    <w:rPr>
                      <w:color w:val="auto"/>
                      <w:szCs w:val="21"/>
                      <w:highlight w:val="none"/>
                    </w:rPr>
                  </w:pPr>
                  <w:r>
                    <w:rPr>
                      <w:color w:val="auto"/>
                      <w:szCs w:val="21"/>
                      <w:highlight w:val="none"/>
                    </w:rPr>
                    <w:t>44</w:t>
                  </w:r>
                </w:p>
              </w:tc>
            </w:tr>
            <w:tr w14:paraId="287783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continue"/>
                  <w:tcBorders>
                    <w:left w:val="single" w:color="auto" w:sz="4" w:space="0"/>
                  </w:tcBorders>
                  <w:vAlign w:val="center"/>
                </w:tcPr>
                <w:p w14:paraId="0134A598">
                  <w:pPr>
                    <w:adjustRightInd w:val="0"/>
                    <w:snapToGrid w:val="0"/>
                    <w:jc w:val="center"/>
                    <w:rPr>
                      <w:color w:val="auto"/>
                      <w:szCs w:val="21"/>
                      <w:highlight w:val="none"/>
                    </w:rPr>
                  </w:pPr>
                </w:p>
              </w:tc>
              <w:tc>
                <w:tcPr>
                  <w:tcW w:w="923" w:type="pct"/>
                  <w:vAlign w:val="center"/>
                </w:tcPr>
                <w:p w14:paraId="5BC15643">
                  <w:pPr>
                    <w:adjustRightInd w:val="0"/>
                    <w:jc w:val="center"/>
                    <w:rPr>
                      <w:color w:val="auto"/>
                      <w:szCs w:val="21"/>
                      <w:highlight w:val="none"/>
                    </w:rPr>
                  </w:pPr>
                  <w:r>
                    <w:rPr>
                      <w:color w:val="auto"/>
                      <w:szCs w:val="21"/>
                      <w:highlight w:val="none"/>
                    </w:rPr>
                    <w:t>装载机</w:t>
                  </w:r>
                </w:p>
              </w:tc>
              <w:tc>
                <w:tcPr>
                  <w:tcW w:w="450" w:type="pct"/>
                  <w:vAlign w:val="center"/>
                </w:tcPr>
                <w:p w14:paraId="23174254">
                  <w:pPr>
                    <w:adjustRightInd w:val="0"/>
                    <w:jc w:val="center"/>
                    <w:rPr>
                      <w:color w:val="auto"/>
                      <w:szCs w:val="21"/>
                      <w:highlight w:val="none"/>
                    </w:rPr>
                  </w:pPr>
                  <w:r>
                    <w:rPr>
                      <w:color w:val="auto"/>
                      <w:szCs w:val="21"/>
                      <w:highlight w:val="none"/>
                    </w:rPr>
                    <w:t>90</w:t>
                  </w:r>
                </w:p>
              </w:tc>
              <w:tc>
                <w:tcPr>
                  <w:tcW w:w="430" w:type="pct"/>
                  <w:vAlign w:val="center"/>
                </w:tcPr>
                <w:p w14:paraId="4E58445E">
                  <w:pPr>
                    <w:adjustRightInd w:val="0"/>
                    <w:jc w:val="center"/>
                    <w:rPr>
                      <w:color w:val="auto"/>
                      <w:szCs w:val="21"/>
                      <w:highlight w:val="none"/>
                    </w:rPr>
                  </w:pPr>
                  <w:r>
                    <w:rPr>
                      <w:color w:val="auto"/>
                      <w:szCs w:val="21"/>
                      <w:highlight w:val="none"/>
                    </w:rPr>
                    <w:t>70</w:t>
                  </w:r>
                </w:p>
              </w:tc>
              <w:tc>
                <w:tcPr>
                  <w:tcW w:w="388" w:type="pct"/>
                  <w:vAlign w:val="center"/>
                </w:tcPr>
                <w:p w14:paraId="2B43984D">
                  <w:pPr>
                    <w:adjustRightInd w:val="0"/>
                    <w:jc w:val="center"/>
                    <w:rPr>
                      <w:color w:val="auto"/>
                      <w:szCs w:val="21"/>
                      <w:highlight w:val="none"/>
                    </w:rPr>
                  </w:pPr>
                  <w:r>
                    <w:rPr>
                      <w:color w:val="auto"/>
                      <w:szCs w:val="21"/>
                      <w:highlight w:val="none"/>
                    </w:rPr>
                    <w:t>64</w:t>
                  </w:r>
                </w:p>
              </w:tc>
              <w:tc>
                <w:tcPr>
                  <w:tcW w:w="513" w:type="pct"/>
                  <w:vAlign w:val="center"/>
                </w:tcPr>
                <w:p w14:paraId="5B3686C1">
                  <w:pPr>
                    <w:adjustRightInd w:val="0"/>
                    <w:jc w:val="center"/>
                    <w:rPr>
                      <w:color w:val="auto"/>
                      <w:szCs w:val="21"/>
                      <w:highlight w:val="none"/>
                    </w:rPr>
                  </w:pPr>
                  <w:r>
                    <w:rPr>
                      <w:color w:val="auto"/>
                      <w:szCs w:val="21"/>
                      <w:highlight w:val="none"/>
                    </w:rPr>
                    <w:t>60.5</w:t>
                  </w:r>
                </w:p>
              </w:tc>
              <w:tc>
                <w:tcPr>
                  <w:tcW w:w="428" w:type="pct"/>
                  <w:vAlign w:val="center"/>
                </w:tcPr>
                <w:p w14:paraId="55DC9093">
                  <w:pPr>
                    <w:adjustRightInd w:val="0"/>
                    <w:jc w:val="center"/>
                    <w:rPr>
                      <w:color w:val="auto"/>
                      <w:szCs w:val="21"/>
                      <w:highlight w:val="none"/>
                    </w:rPr>
                  </w:pPr>
                  <w:r>
                    <w:rPr>
                      <w:color w:val="auto"/>
                      <w:szCs w:val="21"/>
                      <w:highlight w:val="none"/>
                    </w:rPr>
                    <w:t>56</w:t>
                  </w:r>
                </w:p>
              </w:tc>
              <w:tc>
                <w:tcPr>
                  <w:tcW w:w="428" w:type="pct"/>
                  <w:vAlign w:val="center"/>
                </w:tcPr>
                <w:p w14:paraId="09A337EA">
                  <w:pPr>
                    <w:adjustRightInd w:val="0"/>
                    <w:jc w:val="center"/>
                    <w:rPr>
                      <w:color w:val="auto"/>
                      <w:szCs w:val="21"/>
                      <w:highlight w:val="none"/>
                    </w:rPr>
                  </w:pPr>
                  <w:r>
                    <w:rPr>
                      <w:color w:val="auto"/>
                      <w:szCs w:val="21"/>
                      <w:highlight w:val="none"/>
                    </w:rPr>
                    <w:t>50</w:t>
                  </w:r>
                </w:p>
              </w:tc>
              <w:tc>
                <w:tcPr>
                  <w:tcW w:w="428" w:type="pct"/>
                  <w:vAlign w:val="center"/>
                </w:tcPr>
                <w:p w14:paraId="55A4BDAF">
                  <w:pPr>
                    <w:adjustRightInd w:val="0"/>
                    <w:jc w:val="center"/>
                    <w:rPr>
                      <w:color w:val="auto"/>
                      <w:szCs w:val="21"/>
                      <w:highlight w:val="none"/>
                    </w:rPr>
                  </w:pPr>
                  <w:r>
                    <w:rPr>
                      <w:color w:val="auto"/>
                      <w:szCs w:val="21"/>
                      <w:highlight w:val="none"/>
                    </w:rPr>
                    <w:t>44.5</w:t>
                  </w:r>
                </w:p>
              </w:tc>
              <w:tc>
                <w:tcPr>
                  <w:tcW w:w="440" w:type="pct"/>
                  <w:tcBorders>
                    <w:right w:val="single" w:color="auto" w:sz="4" w:space="0"/>
                  </w:tcBorders>
                  <w:vAlign w:val="center"/>
                </w:tcPr>
                <w:p w14:paraId="2C0DCCD3">
                  <w:pPr>
                    <w:adjustRightInd w:val="0"/>
                    <w:jc w:val="center"/>
                    <w:rPr>
                      <w:color w:val="auto"/>
                      <w:szCs w:val="21"/>
                      <w:highlight w:val="none"/>
                    </w:rPr>
                  </w:pPr>
                  <w:r>
                    <w:rPr>
                      <w:color w:val="auto"/>
                      <w:szCs w:val="21"/>
                      <w:highlight w:val="none"/>
                    </w:rPr>
                    <w:t>44</w:t>
                  </w:r>
                </w:p>
              </w:tc>
            </w:tr>
            <w:tr w14:paraId="44DE0E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continue"/>
                  <w:tcBorders>
                    <w:left w:val="single" w:color="auto" w:sz="4" w:space="0"/>
                  </w:tcBorders>
                  <w:vAlign w:val="center"/>
                </w:tcPr>
                <w:p w14:paraId="0C0A5429">
                  <w:pPr>
                    <w:adjustRightInd w:val="0"/>
                    <w:snapToGrid w:val="0"/>
                    <w:jc w:val="center"/>
                    <w:rPr>
                      <w:color w:val="auto"/>
                      <w:szCs w:val="21"/>
                      <w:highlight w:val="none"/>
                    </w:rPr>
                  </w:pPr>
                </w:p>
              </w:tc>
              <w:tc>
                <w:tcPr>
                  <w:tcW w:w="923" w:type="pct"/>
                  <w:vAlign w:val="center"/>
                </w:tcPr>
                <w:p w14:paraId="034B5615">
                  <w:pPr>
                    <w:adjustRightInd w:val="0"/>
                    <w:jc w:val="center"/>
                    <w:rPr>
                      <w:color w:val="auto"/>
                      <w:szCs w:val="21"/>
                      <w:highlight w:val="none"/>
                    </w:rPr>
                  </w:pPr>
                  <w:r>
                    <w:rPr>
                      <w:color w:val="auto"/>
                      <w:szCs w:val="21"/>
                      <w:highlight w:val="none"/>
                    </w:rPr>
                    <w:t>各种车辆</w:t>
                  </w:r>
                </w:p>
              </w:tc>
              <w:tc>
                <w:tcPr>
                  <w:tcW w:w="450" w:type="pct"/>
                  <w:vAlign w:val="center"/>
                </w:tcPr>
                <w:p w14:paraId="7C32050B">
                  <w:pPr>
                    <w:adjustRightInd w:val="0"/>
                    <w:jc w:val="center"/>
                    <w:rPr>
                      <w:color w:val="auto"/>
                      <w:szCs w:val="21"/>
                      <w:highlight w:val="none"/>
                    </w:rPr>
                  </w:pPr>
                  <w:r>
                    <w:rPr>
                      <w:color w:val="auto"/>
                      <w:szCs w:val="21"/>
                      <w:highlight w:val="none"/>
                    </w:rPr>
                    <w:t>85</w:t>
                  </w:r>
                </w:p>
              </w:tc>
              <w:tc>
                <w:tcPr>
                  <w:tcW w:w="430" w:type="pct"/>
                  <w:vAlign w:val="center"/>
                </w:tcPr>
                <w:p w14:paraId="25F877A7">
                  <w:pPr>
                    <w:adjustRightInd w:val="0"/>
                    <w:jc w:val="center"/>
                    <w:rPr>
                      <w:color w:val="auto"/>
                      <w:szCs w:val="21"/>
                      <w:highlight w:val="none"/>
                    </w:rPr>
                  </w:pPr>
                  <w:r>
                    <w:rPr>
                      <w:color w:val="auto"/>
                      <w:szCs w:val="21"/>
                      <w:highlight w:val="none"/>
                    </w:rPr>
                    <w:t>65</w:t>
                  </w:r>
                </w:p>
              </w:tc>
              <w:tc>
                <w:tcPr>
                  <w:tcW w:w="388" w:type="pct"/>
                  <w:vAlign w:val="center"/>
                </w:tcPr>
                <w:p w14:paraId="4813076D">
                  <w:pPr>
                    <w:adjustRightInd w:val="0"/>
                    <w:jc w:val="center"/>
                    <w:rPr>
                      <w:color w:val="auto"/>
                      <w:szCs w:val="21"/>
                      <w:highlight w:val="none"/>
                    </w:rPr>
                  </w:pPr>
                  <w:r>
                    <w:rPr>
                      <w:color w:val="auto"/>
                      <w:szCs w:val="21"/>
                      <w:highlight w:val="none"/>
                    </w:rPr>
                    <w:t>59</w:t>
                  </w:r>
                </w:p>
              </w:tc>
              <w:tc>
                <w:tcPr>
                  <w:tcW w:w="513" w:type="pct"/>
                  <w:vAlign w:val="center"/>
                </w:tcPr>
                <w:p w14:paraId="1D10BE8F">
                  <w:pPr>
                    <w:adjustRightInd w:val="0"/>
                    <w:jc w:val="center"/>
                    <w:rPr>
                      <w:color w:val="auto"/>
                      <w:szCs w:val="21"/>
                      <w:highlight w:val="none"/>
                    </w:rPr>
                  </w:pPr>
                  <w:r>
                    <w:rPr>
                      <w:color w:val="auto"/>
                      <w:szCs w:val="21"/>
                      <w:highlight w:val="none"/>
                    </w:rPr>
                    <w:t>55.5</w:t>
                  </w:r>
                </w:p>
              </w:tc>
              <w:tc>
                <w:tcPr>
                  <w:tcW w:w="428" w:type="pct"/>
                  <w:vAlign w:val="center"/>
                </w:tcPr>
                <w:p w14:paraId="266B4540">
                  <w:pPr>
                    <w:adjustRightInd w:val="0"/>
                    <w:jc w:val="center"/>
                    <w:rPr>
                      <w:color w:val="auto"/>
                      <w:szCs w:val="21"/>
                      <w:highlight w:val="none"/>
                    </w:rPr>
                  </w:pPr>
                  <w:r>
                    <w:rPr>
                      <w:color w:val="auto"/>
                      <w:szCs w:val="21"/>
                      <w:highlight w:val="none"/>
                    </w:rPr>
                    <w:t>51</w:t>
                  </w:r>
                </w:p>
              </w:tc>
              <w:tc>
                <w:tcPr>
                  <w:tcW w:w="428" w:type="pct"/>
                  <w:vAlign w:val="center"/>
                </w:tcPr>
                <w:p w14:paraId="7C4C5ECB">
                  <w:pPr>
                    <w:adjustRightInd w:val="0"/>
                    <w:jc w:val="center"/>
                    <w:rPr>
                      <w:color w:val="auto"/>
                      <w:szCs w:val="21"/>
                      <w:highlight w:val="none"/>
                    </w:rPr>
                  </w:pPr>
                  <w:r>
                    <w:rPr>
                      <w:color w:val="auto"/>
                      <w:szCs w:val="21"/>
                      <w:highlight w:val="none"/>
                    </w:rPr>
                    <w:t>45</w:t>
                  </w:r>
                </w:p>
              </w:tc>
              <w:tc>
                <w:tcPr>
                  <w:tcW w:w="428" w:type="pct"/>
                  <w:vAlign w:val="center"/>
                </w:tcPr>
                <w:p w14:paraId="18DD9AF1">
                  <w:pPr>
                    <w:adjustRightInd w:val="0"/>
                    <w:jc w:val="center"/>
                    <w:rPr>
                      <w:color w:val="auto"/>
                      <w:szCs w:val="21"/>
                      <w:highlight w:val="none"/>
                    </w:rPr>
                  </w:pPr>
                  <w:r>
                    <w:rPr>
                      <w:color w:val="auto"/>
                      <w:szCs w:val="21"/>
                      <w:highlight w:val="none"/>
                    </w:rPr>
                    <w:t>39.5</w:t>
                  </w:r>
                </w:p>
              </w:tc>
              <w:tc>
                <w:tcPr>
                  <w:tcW w:w="440" w:type="pct"/>
                  <w:tcBorders>
                    <w:right w:val="single" w:color="auto" w:sz="4" w:space="0"/>
                  </w:tcBorders>
                  <w:vAlign w:val="center"/>
                </w:tcPr>
                <w:p w14:paraId="088DD982">
                  <w:pPr>
                    <w:adjustRightInd w:val="0"/>
                    <w:jc w:val="center"/>
                    <w:rPr>
                      <w:color w:val="auto"/>
                      <w:szCs w:val="21"/>
                      <w:highlight w:val="none"/>
                    </w:rPr>
                  </w:pPr>
                  <w:r>
                    <w:rPr>
                      <w:color w:val="auto"/>
                      <w:szCs w:val="21"/>
                      <w:highlight w:val="none"/>
                    </w:rPr>
                    <w:t>39</w:t>
                  </w:r>
                </w:p>
              </w:tc>
            </w:tr>
            <w:tr w14:paraId="2EB225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continue"/>
                  <w:tcBorders>
                    <w:left w:val="single" w:color="auto" w:sz="4" w:space="0"/>
                  </w:tcBorders>
                  <w:vAlign w:val="center"/>
                </w:tcPr>
                <w:p w14:paraId="15DBEF92">
                  <w:pPr>
                    <w:adjustRightInd w:val="0"/>
                    <w:snapToGrid w:val="0"/>
                    <w:jc w:val="center"/>
                    <w:rPr>
                      <w:color w:val="auto"/>
                      <w:szCs w:val="21"/>
                      <w:highlight w:val="none"/>
                    </w:rPr>
                  </w:pPr>
                </w:p>
              </w:tc>
              <w:tc>
                <w:tcPr>
                  <w:tcW w:w="923" w:type="pct"/>
                  <w:vAlign w:val="center"/>
                </w:tcPr>
                <w:p w14:paraId="31827F91">
                  <w:pPr>
                    <w:adjustRightInd w:val="0"/>
                    <w:jc w:val="center"/>
                    <w:rPr>
                      <w:color w:val="auto"/>
                      <w:szCs w:val="21"/>
                      <w:highlight w:val="none"/>
                    </w:rPr>
                  </w:pPr>
                  <w:r>
                    <w:rPr>
                      <w:color w:val="auto"/>
                      <w:szCs w:val="21"/>
                      <w:highlight w:val="none"/>
                    </w:rPr>
                    <w:t>同时施工</w:t>
                  </w:r>
                </w:p>
              </w:tc>
              <w:tc>
                <w:tcPr>
                  <w:tcW w:w="450" w:type="pct"/>
                  <w:vAlign w:val="center"/>
                </w:tcPr>
                <w:p w14:paraId="7664BB1C">
                  <w:pPr>
                    <w:adjustRightInd w:val="0"/>
                    <w:jc w:val="center"/>
                    <w:rPr>
                      <w:color w:val="auto"/>
                      <w:szCs w:val="21"/>
                      <w:highlight w:val="none"/>
                    </w:rPr>
                  </w:pPr>
                  <w:r>
                    <w:rPr>
                      <w:color w:val="auto"/>
                      <w:szCs w:val="21"/>
                      <w:highlight w:val="none"/>
                    </w:rPr>
                    <w:t>95.2</w:t>
                  </w:r>
                </w:p>
              </w:tc>
              <w:tc>
                <w:tcPr>
                  <w:tcW w:w="430" w:type="pct"/>
                  <w:vAlign w:val="center"/>
                </w:tcPr>
                <w:p w14:paraId="116B0E6C">
                  <w:pPr>
                    <w:adjustRightInd w:val="0"/>
                    <w:jc w:val="center"/>
                    <w:rPr>
                      <w:color w:val="auto"/>
                      <w:szCs w:val="21"/>
                      <w:highlight w:val="none"/>
                    </w:rPr>
                  </w:pPr>
                  <w:r>
                    <w:rPr>
                      <w:color w:val="auto"/>
                      <w:szCs w:val="21"/>
                      <w:highlight w:val="none"/>
                    </w:rPr>
                    <w:t>75.2</w:t>
                  </w:r>
                </w:p>
              </w:tc>
              <w:tc>
                <w:tcPr>
                  <w:tcW w:w="388" w:type="pct"/>
                  <w:vAlign w:val="center"/>
                </w:tcPr>
                <w:p w14:paraId="5314F26A">
                  <w:pPr>
                    <w:adjustRightInd w:val="0"/>
                    <w:jc w:val="center"/>
                    <w:rPr>
                      <w:color w:val="auto"/>
                      <w:szCs w:val="21"/>
                      <w:highlight w:val="none"/>
                    </w:rPr>
                  </w:pPr>
                  <w:r>
                    <w:rPr>
                      <w:color w:val="auto"/>
                      <w:szCs w:val="21"/>
                      <w:highlight w:val="none"/>
                    </w:rPr>
                    <w:t>69.2</w:t>
                  </w:r>
                </w:p>
              </w:tc>
              <w:tc>
                <w:tcPr>
                  <w:tcW w:w="513" w:type="pct"/>
                  <w:vAlign w:val="center"/>
                </w:tcPr>
                <w:p w14:paraId="65A4BAA7">
                  <w:pPr>
                    <w:adjustRightInd w:val="0"/>
                    <w:jc w:val="center"/>
                    <w:rPr>
                      <w:color w:val="auto"/>
                      <w:szCs w:val="21"/>
                      <w:highlight w:val="none"/>
                    </w:rPr>
                  </w:pPr>
                  <w:r>
                    <w:rPr>
                      <w:color w:val="auto"/>
                      <w:szCs w:val="21"/>
                      <w:highlight w:val="none"/>
                    </w:rPr>
                    <w:t>65.7</w:t>
                  </w:r>
                </w:p>
              </w:tc>
              <w:tc>
                <w:tcPr>
                  <w:tcW w:w="428" w:type="pct"/>
                  <w:vAlign w:val="center"/>
                </w:tcPr>
                <w:p w14:paraId="7B9972F4">
                  <w:pPr>
                    <w:adjustRightInd w:val="0"/>
                    <w:jc w:val="center"/>
                    <w:rPr>
                      <w:color w:val="auto"/>
                      <w:szCs w:val="21"/>
                      <w:highlight w:val="none"/>
                    </w:rPr>
                  </w:pPr>
                  <w:r>
                    <w:rPr>
                      <w:color w:val="auto"/>
                      <w:szCs w:val="21"/>
                      <w:highlight w:val="none"/>
                    </w:rPr>
                    <w:t>61.2</w:t>
                  </w:r>
                </w:p>
              </w:tc>
              <w:tc>
                <w:tcPr>
                  <w:tcW w:w="428" w:type="pct"/>
                  <w:vAlign w:val="center"/>
                </w:tcPr>
                <w:p w14:paraId="48DBF61F">
                  <w:pPr>
                    <w:adjustRightInd w:val="0"/>
                    <w:jc w:val="center"/>
                    <w:rPr>
                      <w:color w:val="auto"/>
                      <w:szCs w:val="21"/>
                      <w:highlight w:val="none"/>
                    </w:rPr>
                  </w:pPr>
                  <w:r>
                    <w:rPr>
                      <w:color w:val="auto"/>
                      <w:szCs w:val="21"/>
                      <w:highlight w:val="none"/>
                    </w:rPr>
                    <w:t>55.2</w:t>
                  </w:r>
                </w:p>
              </w:tc>
              <w:tc>
                <w:tcPr>
                  <w:tcW w:w="428" w:type="pct"/>
                  <w:vAlign w:val="center"/>
                </w:tcPr>
                <w:p w14:paraId="397DEA4A">
                  <w:pPr>
                    <w:adjustRightInd w:val="0"/>
                    <w:jc w:val="center"/>
                    <w:rPr>
                      <w:color w:val="auto"/>
                      <w:szCs w:val="21"/>
                      <w:highlight w:val="none"/>
                    </w:rPr>
                  </w:pPr>
                  <w:r>
                    <w:rPr>
                      <w:color w:val="auto"/>
                      <w:szCs w:val="21"/>
                      <w:highlight w:val="none"/>
                    </w:rPr>
                    <w:t>49.7</w:t>
                  </w:r>
                </w:p>
              </w:tc>
              <w:tc>
                <w:tcPr>
                  <w:tcW w:w="440" w:type="pct"/>
                  <w:tcBorders>
                    <w:right w:val="single" w:color="auto" w:sz="4" w:space="0"/>
                  </w:tcBorders>
                  <w:vAlign w:val="center"/>
                </w:tcPr>
                <w:p w14:paraId="2E91E95B">
                  <w:pPr>
                    <w:adjustRightInd w:val="0"/>
                    <w:jc w:val="center"/>
                    <w:rPr>
                      <w:color w:val="auto"/>
                      <w:szCs w:val="21"/>
                      <w:highlight w:val="none"/>
                    </w:rPr>
                  </w:pPr>
                  <w:r>
                    <w:rPr>
                      <w:rFonts w:hint="eastAsia"/>
                      <w:color w:val="auto"/>
                      <w:szCs w:val="21"/>
                      <w:highlight w:val="none"/>
                    </w:rPr>
                    <w:t>49.2</w:t>
                  </w:r>
                </w:p>
              </w:tc>
            </w:tr>
            <w:tr w14:paraId="4BB1A2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569" w:type="pct"/>
                  <w:vMerge w:val="restart"/>
                  <w:tcBorders>
                    <w:left w:val="single" w:color="auto" w:sz="4" w:space="0"/>
                  </w:tcBorders>
                  <w:vAlign w:val="center"/>
                </w:tcPr>
                <w:p w14:paraId="034400CD">
                  <w:pPr>
                    <w:adjustRightInd w:val="0"/>
                    <w:snapToGrid w:val="0"/>
                    <w:jc w:val="center"/>
                    <w:rPr>
                      <w:color w:val="auto"/>
                      <w:szCs w:val="21"/>
                      <w:highlight w:val="none"/>
                    </w:rPr>
                  </w:pPr>
                  <w:r>
                    <w:rPr>
                      <w:color w:val="auto"/>
                      <w:szCs w:val="21"/>
                      <w:highlight w:val="none"/>
                    </w:rPr>
                    <w:t>结构施工阶段</w:t>
                  </w:r>
                </w:p>
              </w:tc>
              <w:tc>
                <w:tcPr>
                  <w:tcW w:w="923" w:type="pct"/>
                  <w:vAlign w:val="center"/>
                </w:tcPr>
                <w:p w14:paraId="62DF57DE">
                  <w:pPr>
                    <w:adjustRightInd w:val="0"/>
                    <w:jc w:val="center"/>
                    <w:rPr>
                      <w:color w:val="auto"/>
                      <w:szCs w:val="21"/>
                      <w:highlight w:val="none"/>
                    </w:rPr>
                  </w:pPr>
                  <w:r>
                    <w:rPr>
                      <w:color w:val="auto"/>
                      <w:szCs w:val="21"/>
                      <w:highlight w:val="none"/>
                    </w:rPr>
                    <w:t>混凝土搅拌机</w:t>
                  </w:r>
                </w:p>
              </w:tc>
              <w:tc>
                <w:tcPr>
                  <w:tcW w:w="450" w:type="pct"/>
                  <w:vAlign w:val="center"/>
                </w:tcPr>
                <w:p w14:paraId="2D3ABD9D">
                  <w:pPr>
                    <w:adjustRightInd w:val="0"/>
                    <w:jc w:val="center"/>
                    <w:rPr>
                      <w:color w:val="auto"/>
                      <w:szCs w:val="21"/>
                      <w:highlight w:val="none"/>
                    </w:rPr>
                  </w:pPr>
                  <w:r>
                    <w:rPr>
                      <w:color w:val="auto"/>
                      <w:szCs w:val="21"/>
                      <w:highlight w:val="none"/>
                    </w:rPr>
                    <w:t>85.0</w:t>
                  </w:r>
                </w:p>
              </w:tc>
              <w:tc>
                <w:tcPr>
                  <w:tcW w:w="430" w:type="pct"/>
                  <w:vAlign w:val="center"/>
                </w:tcPr>
                <w:p w14:paraId="4188F1F9">
                  <w:pPr>
                    <w:tabs>
                      <w:tab w:val="left" w:pos="-4830"/>
                      <w:tab w:val="left" w:pos="210"/>
                    </w:tabs>
                    <w:jc w:val="center"/>
                    <w:textAlignment w:val="baseline"/>
                    <w:rPr>
                      <w:color w:val="auto"/>
                      <w:szCs w:val="21"/>
                      <w:highlight w:val="none"/>
                    </w:rPr>
                  </w:pPr>
                  <w:r>
                    <w:rPr>
                      <w:color w:val="auto"/>
                      <w:szCs w:val="21"/>
                      <w:highlight w:val="none"/>
                    </w:rPr>
                    <w:t>65</w:t>
                  </w:r>
                </w:p>
              </w:tc>
              <w:tc>
                <w:tcPr>
                  <w:tcW w:w="388" w:type="pct"/>
                  <w:vAlign w:val="center"/>
                </w:tcPr>
                <w:p w14:paraId="3DB7B14D">
                  <w:pPr>
                    <w:tabs>
                      <w:tab w:val="left" w:pos="-4830"/>
                      <w:tab w:val="left" w:pos="210"/>
                    </w:tabs>
                    <w:jc w:val="center"/>
                    <w:textAlignment w:val="baseline"/>
                    <w:rPr>
                      <w:color w:val="auto"/>
                      <w:szCs w:val="21"/>
                      <w:highlight w:val="none"/>
                    </w:rPr>
                  </w:pPr>
                  <w:r>
                    <w:rPr>
                      <w:color w:val="auto"/>
                      <w:szCs w:val="21"/>
                      <w:highlight w:val="none"/>
                    </w:rPr>
                    <w:t>59</w:t>
                  </w:r>
                </w:p>
              </w:tc>
              <w:tc>
                <w:tcPr>
                  <w:tcW w:w="513" w:type="pct"/>
                  <w:vAlign w:val="center"/>
                </w:tcPr>
                <w:p w14:paraId="4B19BAA0">
                  <w:pPr>
                    <w:tabs>
                      <w:tab w:val="left" w:pos="-4830"/>
                      <w:tab w:val="left" w:pos="210"/>
                    </w:tabs>
                    <w:jc w:val="center"/>
                    <w:textAlignment w:val="baseline"/>
                    <w:rPr>
                      <w:color w:val="auto"/>
                      <w:szCs w:val="21"/>
                      <w:highlight w:val="none"/>
                    </w:rPr>
                  </w:pPr>
                  <w:r>
                    <w:rPr>
                      <w:color w:val="auto"/>
                      <w:szCs w:val="21"/>
                      <w:highlight w:val="none"/>
                    </w:rPr>
                    <w:t>55.5</w:t>
                  </w:r>
                </w:p>
              </w:tc>
              <w:tc>
                <w:tcPr>
                  <w:tcW w:w="428" w:type="pct"/>
                  <w:vAlign w:val="center"/>
                </w:tcPr>
                <w:p w14:paraId="35197C4B">
                  <w:pPr>
                    <w:tabs>
                      <w:tab w:val="left" w:pos="-4830"/>
                      <w:tab w:val="left" w:pos="210"/>
                    </w:tabs>
                    <w:jc w:val="center"/>
                    <w:textAlignment w:val="baseline"/>
                    <w:rPr>
                      <w:color w:val="auto"/>
                      <w:szCs w:val="21"/>
                      <w:highlight w:val="none"/>
                    </w:rPr>
                  </w:pPr>
                  <w:r>
                    <w:rPr>
                      <w:color w:val="auto"/>
                      <w:szCs w:val="21"/>
                      <w:highlight w:val="none"/>
                    </w:rPr>
                    <w:t>51</w:t>
                  </w:r>
                </w:p>
              </w:tc>
              <w:tc>
                <w:tcPr>
                  <w:tcW w:w="428" w:type="pct"/>
                  <w:vAlign w:val="center"/>
                </w:tcPr>
                <w:p w14:paraId="2DC21FDD">
                  <w:pPr>
                    <w:tabs>
                      <w:tab w:val="left" w:pos="-4830"/>
                      <w:tab w:val="left" w:pos="210"/>
                    </w:tabs>
                    <w:jc w:val="center"/>
                    <w:textAlignment w:val="baseline"/>
                    <w:rPr>
                      <w:color w:val="auto"/>
                      <w:szCs w:val="21"/>
                      <w:highlight w:val="none"/>
                    </w:rPr>
                  </w:pPr>
                  <w:r>
                    <w:rPr>
                      <w:color w:val="auto"/>
                      <w:szCs w:val="21"/>
                      <w:highlight w:val="none"/>
                    </w:rPr>
                    <w:t>4</w:t>
                  </w:r>
                </w:p>
              </w:tc>
              <w:tc>
                <w:tcPr>
                  <w:tcW w:w="428" w:type="pct"/>
                  <w:vAlign w:val="center"/>
                </w:tcPr>
                <w:p w14:paraId="0B4D3A3B">
                  <w:pPr>
                    <w:tabs>
                      <w:tab w:val="left" w:pos="-4830"/>
                      <w:tab w:val="left" w:pos="210"/>
                    </w:tabs>
                    <w:jc w:val="center"/>
                    <w:textAlignment w:val="baseline"/>
                    <w:rPr>
                      <w:color w:val="auto"/>
                      <w:szCs w:val="21"/>
                      <w:highlight w:val="none"/>
                    </w:rPr>
                  </w:pPr>
                  <w:r>
                    <w:rPr>
                      <w:color w:val="auto"/>
                      <w:szCs w:val="21"/>
                      <w:highlight w:val="none"/>
                    </w:rPr>
                    <w:t>39.5</w:t>
                  </w:r>
                </w:p>
              </w:tc>
              <w:tc>
                <w:tcPr>
                  <w:tcW w:w="440" w:type="pct"/>
                  <w:tcBorders>
                    <w:right w:val="single" w:color="auto" w:sz="4" w:space="0"/>
                  </w:tcBorders>
                  <w:vAlign w:val="center"/>
                </w:tcPr>
                <w:p w14:paraId="2CBF8DDA">
                  <w:pPr>
                    <w:tabs>
                      <w:tab w:val="left" w:pos="-4830"/>
                      <w:tab w:val="left" w:pos="210"/>
                    </w:tabs>
                    <w:jc w:val="center"/>
                    <w:textAlignment w:val="baseline"/>
                    <w:rPr>
                      <w:color w:val="auto"/>
                      <w:szCs w:val="21"/>
                      <w:highlight w:val="none"/>
                    </w:rPr>
                  </w:pPr>
                  <w:r>
                    <w:rPr>
                      <w:color w:val="auto"/>
                      <w:szCs w:val="21"/>
                      <w:highlight w:val="none"/>
                    </w:rPr>
                    <w:t>39</w:t>
                  </w:r>
                </w:p>
              </w:tc>
            </w:tr>
            <w:tr w14:paraId="446D50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continue"/>
                  <w:tcBorders>
                    <w:left w:val="single" w:color="auto" w:sz="4" w:space="0"/>
                  </w:tcBorders>
                  <w:vAlign w:val="center"/>
                </w:tcPr>
                <w:p w14:paraId="78ACA0CA">
                  <w:pPr>
                    <w:adjustRightInd w:val="0"/>
                    <w:snapToGrid w:val="0"/>
                    <w:jc w:val="center"/>
                    <w:rPr>
                      <w:color w:val="auto"/>
                      <w:szCs w:val="21"/>
                      <w:highlight w:val="none"/>
                    </w:rPr>
                  </w:pPr>
                </w:p>
              </w:tc>
              <w:tc>
                <w:tcPr>
                  <w:tcW w:w="923" w:type="pct"/>
                  <w:vAlign w:val="center"/>
                </w:tcPr>
                <w:p w14:paraId="11A15B66">
                  <w:pPr>
                    <w:adjustRightInd w:val="0"/>
                    <w:jc w:val="center"/>
                    <w:rPr>
                      <w:color w:val="auto"/>
                      <w:szCs w:val="21"/>
                      <w:highlight w:val="none"/>
                    </w:rPr>
                  </w:pPr>
                  <w:r>
                    <w:rPr>
                      <w:color w:val="auto"/>
                      <w:szCs w:val="21"/>
                      <w:highlight w:val="none"/>
                    </w:rPr>
                    <w:t>振捣器</w:t>
                  </w:r>
                </w:p>
              </w:tc>
              <w:tc>
                <w:tcPr>
                  <w:tcW w:w="450" w:type="pct"/>
                  <w:vAlign w:val="center"/>
                </w:tcPr>
                <w:p w14:paraId="763C0ED3">
                  <w:pPr>
                    <w:tabs>
                      <w:tab w:val="left" w:pos="-4830"/>
                    </w:tabs>
                    <w:adjustRightInd w:val="0"/>
                    <w:jc w:val="center"/>
                    <w:rPr>
                      <w:color w:val="auto"/>
                      <w:szCs w:val="21"/>
                      <w:highlight w:val="none"/>
                    </w:rPr>
                  </w:pPr>
                  <w:r>
                    <w:rPr>
                      <w:color w:val="auto"/>
                      <w:szCs w:val="21"/>
                      <w:highlight w:val="none"/>
                    </w:rPr>
                    <w:t>95.0</w:t>
                  </w:r>
                </w:p>
              </w:tc>
              <w:tc>
                <w:tcPr>
                  <w:tcW w:w="430" w:type="pct"/>
                  <w:vAlign w:val="center"/>
                </w:tcPr>
                <w:p w14:paraId="7911AC62">
                  <w:pPr>
                    <w:adjustRightInd w:val="0"/>
                    <w:jc w:val="center"/>
                    <w:rPr>
                      <w:color w:val="auto"/>
                      <w:szCs w:val="21"/>
                      <w:highlight w:val="none"/>
                    </w:rPr>
                  </w:pPr>
                  <w:r>
                    <w:rPr>
                      <w:color w:val="auto"/>
                      <w:szCs w:val="21"/>
                      <w:highlight w:val="none"/>
                    </w:rPr>
                    <w:t>7.0</w:t>
                  </w:r>
                </w:p>
              </w:tc>
              <w:tc>
                <w:tcPr>
                  <w:tcW w:w="388" w:type="pct"/>
                  <w:vAlign w:val="center"/>
                </w:tcPr>
                <w:p w14:paraId="360F35FF">
                  <w:pPr>
                    <w:adjustRightInd w:val="0"/>
                    <w:jc w:val="center"/>
                    <w:rPr>
                      <w:color w:val="auto"/>
                      <w:szCs w:val="21"/>
                      <w:highlight w:val="none"/>
                    </w:rPr>
                  </w:pPr>
                  <w:r>
                    <w:rPr>
                      <w:color w:val="auto"/>
                      <w:szCs w:val="21"/>
                      <w:highlight w:val="none"/>
                    </w:rPr>
                    <w:t>69</w:t>
                  </w:r>
                </w:p>
              </w:tc>
              <w:tc>
                <w:tcPr>
                  <w:tcW w:w="513" w:type="pct"/>
                  <w:vAlign w:val="center"/>
                </w:tcPr>
                <w:p w14:paraId="00973E00">
                  <w:pPr>
                    <w:adjustRightInd w:val="0"/>
                    <w:jc w:val="center"/>
                    <w:rPr>
                      <w:color w:val="auto"/>
                      <w:szCs w:val="21"/>
                      <w:highlight w:val="none"/>
                    </w:rPr>
                  </w:pPr>
                  <w:r>
                    <w:rPr>
                      <w:color w:val="auto"/>
                      <w:szCs w:val="21"/>
                      <w:highlight w:val="none"/>
                    </w:rPr>
                    <w:t>65.5</w:t>
                  </w:r>
                </w:p>
              </w:tc>
              <w:tc>
                <w:tcPr>
                  <w:tcW w:w="428" w:type="pct"/>
                  <w:vAlign w:val="center"/>
                </w:tcPr>
                <w:p w14:paraId="4532289E">
                  <w:pPr>
                    <w:adjustRightInd w:val="0"/>
                    <w:jc w:val="center"/>
                    <w:rPr>
                      <w:color w:val="auto"/>
                      <w:szCs w:val="21"/>
                      <w:highlight w:val="none"/>
                    </w:rPr>
                  </w:pPr>
                  <w:r>
                    <w:rPr>
                      <w:color w:val="auto"/>
                      <w:szCs w:val="21"/>
                      <w:highlight w:val="none"/>
                    </w:rPr>
                    <w:t>61</w:t>
                  </w:r>
                </w:p>
              </w:tc>
              <w:tc>
                <w:tcPr>
                  <w:tcW w:w="428" w:type="pct"/>
                  <w:vAlign w:val="center"/>
                </w:tcPr>
                <w:p w14:paraId="304D0C18">
                  <w:pPr>
                    <w:adjustRightInd w:val="0"/>
                    <w:jc w:val="center"/>
                    <w:rPr>
                      <w:color w:val="auto"/>
                      <w:szCs w:val="21"/>
                      <w:highlight w:val="none"/>
                    </w:rPr>
                  </w:pPr>
                  <w:r>
                    <w:rPr>
                      <w:color w:val="auto"/>
                      <w:szCs w:val="21"/>
                      <w:highlight w:val="none"/>
                    </w:rPr>
                    <w:t>55</w:t>
                  </w:r>
                </w:p>
              </w:tc>
              <w:tc>
                <w:tcPr>
                  <w:tcW w:w="428" w:type="pct"/>
                  <w:vAlign w:val="center"/>
                </w:tcPr>
                <w:p w14:paraId="16D5B9BB">
                  <w:pPr>
                    <w:adjustRightInd w:val="0"/>
                    <w:jc w:val="center"/>
                    <w:rPr>
                      <w:color w:val="auto"/>
                      <w:szCs w:val="21"/>
                      <w:highlight w:val="none"/>
                    </w:rPr>
                  </w:pPr>
                  <w:r>
                    <w:rPr>
                      <w:color w:val="auto"/>
                      <w:szCs w:val="21"/>
                      <w:highlight w:val="none"/>
                    </w:rPr>
                    <w:t>49.5</w:t>
                  </w:r>
                </w:p>
              </w:tc>
              <w:tc>
                <w:tcPr>
                  <w:tcW w:w="440" w:type="pct"/>
                  <w:tcBorders>
                    <w:right w:val="single" w:color="auto" w:sz="4" w:space="0"/>
                  </w:tcBorders>
                  <w:vAlign w:val="center"/>
                </w:tcPr>
                <w:p w14:paraId="2042F993">
                  <w:pPr>
                    <w:adjustRightInd w:val="0"/>
                    <w:jc w:val="center"/>
                    <w:rPr>
                      <w:color w:val="auto"/>
                      <w:szCs w:val="21"/>
                      <w:highlight w:val="none"/>
                    </w:rPr>
                  </w:pPr>
                  <w:r>
                    <w:rPr>
                      <w:color w:val="auto"/>
                      <w:szCs w:val="21"/>
                      <w:highlight w:val="none"/>
                    </w:rPr>
                    <w:t>49</w:t>
                  </w:r>
                </w:p>
              </w:tc>
            </w:tr>
            <w:tr w14:paraId="32E929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continue"/>
                  <w:tcBorders>
                    <w:left w:val="single" w:color="auto" w:sz="4" w:space="0"/>
                  </w:tcBorders>
                  <w:vAlign w:val="center"/>
                </w:tcPr>
                <w:p w14:paraId="30B7E406">
                  <w:pPr>
                    <w:adjustRightInd w:val="0"/>
                    <w:snapToGrid w:val="0"/>
                    <w:jc w:val="center"/>
                    <w:rPr>
                      <w:color w:val="auto"/>
                      <w:szCs w:val="21"/>
                      <w:highlight w:val="none"/>
                    </w:rPr>
                  </w:pPr>
                </w:p>
              </w:tc>
              <w:tc>
                <w:tcPr>
                  <w:tcW w:w="923" w:type="pct"/>
                  <w:vAlign w:val="center"/>
                </w:tcPr>
                <w:p w14:paraId="19B399DE">
                  <w:pPr>
                    <w:adjustRightInd w:val="0"/>
                    <w:jc w:val="center"/>
                    <w:rPr>
                      <w:color w:val="auto"/>
                      <w:szCs w:val="21"/>
                      <w:highlight w:val="none"/>
                    </w:rPr>
                  </w:pPr>
                  <w:r>
                    <w:rPr>
                      <w:color w:val="auto"/>
                      <w:szCs w:val="21"/>
                      <w:highlight w:val="none"/>
                    </w:rPr>
                    <w:t>同时施工</w:t>
                  </w:r>
                </w:p>
              </w:tc>
              <w:tc>
                <w:tcPr>
                  <w:tcW w:w="450" w:type="pct"/>
                  <w:vAlign w:val="center"/>
                </w:tcPr>
                <w:p w14:paraId="1A228B67">
                  <w:pPr>
                    <w:adjustRightInd w:val="0"/>
                    <w:jc w:val="center"/>
                    <w:rPr>
                      <w:color w:val="auto"/>
                      <w:szCs w:val="21"/>
                      <w:highlight w:val="none"/>
                    </w:rPr>
                  </w:pPr>
                  <w:r>
                    <w:rPr>
                      <w:color w:val="auto"/>
                      <w:szCs w:val="21"/>
                      <w:highlight w:val="none"/>
                    </w:rPr>
                    <w:t>95.4</w:t>
                  </w:r>
                </w:p>
              </w:tc>
              <w:tc>
                <w:tcPr>
                  <w:tcW w:w="430" w:type="pct"/>
                  <w:vAlign w:val="center"/>
                </w:tcPr>
                <w:p w14:paraId="3A4AB946">
                  <w:pPr>
                    <w:adjustRightInd w:val="0"/>
                    <w:jc w:val="center"/>
                    <w:rPr>
                      <w:color w:val="auto"/>
                      <w:szCs w:val="21"/>
                      <w:highlight w:val="none"/>
                    </w:rPr>
                  </w:pPr>
                  <w:r>
                    <w:rPr>
                      <w:color w:val="auto"/>
                      <w:szCs w:val="21"/>
                      <w:highlight w:val="none"/>
                    </w:rPr>
                    <w:t>75.4</w:t>
                  </w:r>
                </w:p>
              </w:tc>
              <w:tc>
                <w:tcPr>
                  <w:tcW w:w="388" w:type="pct"/>
                  <w:vAlign w:val="center"/>
                </w:tcPr>
                <w:p w14:paraId="5FB27783">
                  <w:pPr>
                    <w:adjustRightInd w:val="0"/>
                    <w:jc w:val="center"/>
                    <w:rPr>
                      <w:color w:val="auto"/>
                      <w:szCs w:val="21"/>
                      <w:highlight w:val="none"/>
                    </w:rPr>
                  </w:pPr>
                  <w:r>
                    <w:rPr>
                      <w:color w:val="auto"/>
                      <w:szCs w:val="21"/>
                      <w:highlight w:val="none"/>
                    </w:rPr>
                    <w:t>69.4</w:t>
                  </w:r>
                </w:p>
              </w:tc>
              <w:tc>
                <w:tcPr>
                  <w:tcW w:w="513" w:type="pct"/>
                  <w:vAlign w:val="center"/>
                </w:tcPr>
                <w:p w14:paraId="5C9FC88F">
                  <w:pPr>
                    <w:adjustRightInd w:val="0"/>
                    <w:jc w:val="center"/>
                    <w:rPr>
                      <w:color w:val="auto"/>
                      <w:szCs w:val="21"/>
                      <w:highlight w:val="none"/>
                    </w:rPr>
                  </w:pPr>
                  <w:r>
                    <w:rPr>
                      <w:color w:val="auto"/>
                      <w:szCs w:val="21"/>
                      <w:highlight w:val="none"/>
                    </w:rPr>
                    <w:t>65.9</w:t>
                  </w:r>
                </w:p>
              </w:tc>
              <w:tc>
                <w:tcPr>
                  <w:tcW w:w="428" w:type="pct"/>
                  <w:vAlign w:val="center"/>
                </w:tcPr>
                <w:p w14:paraId="78DE0C55">
                  <w:pPr>
                    <w:adjustRightInd w:val="0"/>
                    <w:jc w:val="center"/>
                    <w:rPr>
                      <w:color w:val="auto"/>
                      <w:szCs w:val="21"/>
                      <w:highlight w:val="none"/>
                    </w:rPr>
                  </w:pPr>
                  <w:r>
                    <w:rPr>
                      <w:color w:val="auto"/>
                      <w:szCs w:val="21"/>
                      <w:highlight w:val="none"/>
                    </w:rPr>
                    <w:t>61.4</w:t>
                  </w:r>
                </w:p>
              </w:tc>
              <w:tc>
                <w:tcPr>
                  <w:tcW w:w="428" w:type="pct"/>
                  <w:vAlign w:val="center"/>
                </w:tcPr>
                <w:p w14:paraId="798C18C7">
                  <w:pPr>
                    <w:adjustRightInd w:val="0"/>
                    <w:jc w:val="center"/>
                    <w:rPr>
                      <w:color w:val="auto"/>
                      <w:szCs w:val="21"/>
                      <w:highlight w:val="none"/>
                    </w:rPr>
                  </w:pPr>
                  <w:r>
                    <w:rPr>
                      <w:color w:val="auto"/>
                      <w:szCs w:val="21"/>
                      <w:highlight w:val="none"/>
                    </w:rPr>
                    <w:t>55.4</w:t>
                  </w:r>
                </w:p>
              </w:tc>
              <w:tc>
                <w:tcPr>
                  <w:tcW w:w="428" w:type="pct"/>
                  <w:vAlign w:val="center"/>
                </w:tcPr>
                <w:p w14:paraId="0E9F8CE5">
                  <w:pPr>
                    <w:adjustRightInd w:val="0"/>
                    <w:jc w:val="center"/>
                    <w:rPr>
                      <w:color w:val="auto"/>
                      <w:szCs w:val="21"/>
                      <w:highlight w:val="none"/>
                    </w:rPr>
                  </w:pPr>
                  <w:r>
                    <w:rPr>
                      <w:color w:val="auto"/>
                      <w:szCs w:val="21"/>
                      <w:highlight w:val="none"/>
                    </w:rPr>
                    <w:t>49.9</w:t>
                  </w:r>
                </w:p>
              </w:tc>
              <w:tc>
                <w:tcPr>
                  <w:tcW w:w="440" w:type="pct"/>
                  <w:tcBorders>
                    <w:right w:val="single" w:color="auto" w:sz="4" w:space="0"/>
                  </w:tcBorders>
                  <w:vAlign w:val="center"/>
                </w:tcPr>
                <w:p w14:paraId="19ECF7BF">
                  <w:pPr>
                    <w:adjustRightInd w:val="0"/>
                    <w:jc w:val="center"/>
                    <w:rPr>
                      <w:color w:val="auto"/>
                      <w:szCs w:val="21"/>
                      <w:highlight w:val="none"/>
                    </w:rPr>
                  </w:pPr>
                  <w:r>
                    <w:rPr>
                      <w:color w:val="auto"/>
                      <w:szCs w:val="21"/>
                      <w:highlight w:val="none"/>
                    </w:rPr>
                    <w:t>49.4</w:t>
                  </w:r>
                </w:p>
              </w:tc>
            </w:tr>
            <w:tr w14:paraId="508D49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restart"/>
                  <w:tcBorders>
                    <w:left w:val="single" w:color="auto" w:sz="4" w:space="0"/>
                  </w:tcBorders>
                  <w:vAlign w:val="center"/>
                </w:tcPr>
                <w:p w14:paraId="35FB9876">
                  <w:pPr>
                    <w:adjustRightInd w:val="0"/>
                    <w:snapToGrid w:val="0"/>
                    <w:jc w:val="center"/>
                    <w:rPr>
                      <w:color w:val="auto"/>
                      <w:szCs w:val="21"/>
                      <w:highlight w:val="none"/>
                    </w:rPr>
                  </w:pPr>
                  <w:r>
                    <w:rPr>
                      <w:color w:val="auto"/>
                      <w:szCs w:val="21"/>
                      <w:highlight w:val="none"/>
                    </w:rPr>
                    <w:t>设备安装调试阶段</w:t>
                  </w:r>
                </w:p>
              </w:tc>
              <w:tc>
                <w:tcPr>
                  <w:tcW w:w="923" w:type="pct"/>
                  <w:vAlign w:val="center"/>
                </w:tcPr>
                <w:p w14:paraId="1014B565">
                  <w:pPr>
                    <w:adjustRightInd w:val="0"/>
                    <w:jc w:val="center"/>
                    <w:rPr>
                      <w:color w:val="auto"/>
                      <w:szCs w:val="21"/>
                      <w:highlight w:val="none"/>
                    </w:rPr>
                  </w:pPr>
                  <w:r>
                    <w:rPr>
                      <w:color w:val="auto"/>
                      <w:szCs w:val="21"/>
                      <w:highlight w:val="none"/>
                    </w:rPr>
                    <w:t>电锯、电刨</w:t>
                  </w:r>
                </w:p>
              </w:tc>
              <w:tc>
                <w:tcPr>
                  <w:tcW w:w="450" w:type="pct"/>
                  <w:vAlign w:val="center"/>
                </w:tcPr>
                <w:p w14:paraId="057FA4F5">
                  <w:pPr>
                    <w:tabs>
                      <w:tab w:val="left" w:pos="-4830"/>
                      <w:tab w:val="left" w:pos="210"/>
                    </w:tabs>
                    <w:jc w:val="center"/>
                    <w:textAlignment w:val="baseline"/>
                    <w:rPr>
                      <w:color w:val="auto"/>
                      <w:szCs w:val="21"/>
                      <w:highlight w:val="none"/>
                    </w:rPr>
                  </w:pPr>
                  <w:r>
                    <w:rPr>
                      <w:color w:val="auto"/>
                      <w:szCs w:val="21"/>
                      <w:highlight w:val="none"/>
                    </w:rPr>
                    <w:t>100</w:t>
                  </w:r>
                </w:p>
              </w:tc>
              <w:tc>
                <w:tcPr>
                  <w:tcW w:w="430" w:type="pct"/>
                  <w:vAlign w:val="center"/>
                </w:tcPr>
                <w:p w14:paraId="0CE80680">
                  <w:pPr>
                    <w:tabs>
                      <w:tab w:val="left" w:pos="-4830"/>
                      <w:tab w:val="left" w:pos="210"/>
                    </w:tabs>
                    <w:jc w:val="center"/>
                    <w:textAlignment w:val="baseline"/>
                    <w:rPr>
                      <w:color w:val="auto"/>
                      <w:szCs w:val="21"/>
                      <w:highlight w:val="none"/>
                    </w:rPr>
                  </w:pPr>
                  <w:r>
                    <w:rPr>
                      <w:color w:val="auto"/>
                      <w:szCs w:val="21"/>
                      <w:highlight w:val="none"/>
                    </w:rPr>
                    <w:t>78</w:t>
                  </w:r>
                </w:p>
              </w:tc>
              <w:tc>
                <w:tcPr>
                  <w:tcW w:w="388" w:type="pct"/>
                  <w:vAlign w:val="center"/>
                </w:tcPr>
                <w:p w14:paraId="3C4E1885">
                  <w:pPr>
                    <w:tabs>
                      <w:tab w:val="left" w:pos="-4830"/>
                      <w:tab w:val="left" w:pos="210"/>
                    </w:tabs>
                    <w:jc w:val="center"/>
                    <w:textAlignment w:val="baseline"/>
                    <w:rPr>
                      <w:color w:val="auto"/>
                      <w:szCs w:val="21"/>
                      <w:highlight w:val="none"/>
                    </w:rPr>
                  </w:pPr>
                  <w:r>
                    <w:rPr>
                      <w:color w:val="auto"/>
                      <w:szCs w:val="21"/>
                      <w:highlight w:val="none"/>
                    </w:rPr>
                    <w:t>72</w:t>
                  </w:r>
                </w:p>
              </w:tc>
              <w:tc>
                <w:tcPr>
                  <w:tcW w:w="513" w:type="pct"/>
                  <w:vAlign w:val="center"/>
                </w:tcPr>
                <w:p w14:paraId="1B0F6CC0">
                  <w:pPr>
                    <w:tabs>
                      <w:tab w:val="left" w:pos="-4830"/>
                      <w:tab w:val="left" w:pos="210"/>
                    </w:tabs>
                    <w:jc w:val="center"/>
                    <w:textAlignment w:val="baseline"/>
                    <w:rPr>
                      <w:color w:val="auto"/>
                      <w:szCs w:val="21"/>
                      <w:highlight w:val="none"/>
                    </w:rPr>
                  </w:pPr>
                  <w:r>
                    <w:rPr>
                      <w:color w:val="auto"/>
                      <w:szCs w:val="21"/>
                      <w:highlight w:val="none"/>
                    </w:rPr>
                    <w:t>68.5</w:t>
                  </w:r>
                </w:p>
              </w:tc>
              <w:tc>
                <w:tcPr>
                  <w:tcW w:w="428" w:type="pct"/>
                  <w:vAlign w:val="center"/>
                </w:tcPr>
                <w:p w14:paraId="39CBD1B3">
                  <w:pPr>
                    <w:tabs>
                      <w:tab w:val="left" w:pos="-4830"/>
                      <w:tab w:val="left" w:pos="210"/>
                    </w:tabs>
                    <w:jc w:val="center"/>
                    <w:textAlignment w:val="baseline"/>
                    <w:rPr>
                      <w:color w:val="auto"/>
                      <w:szCs w:val="21"/>
                      <w:highlight w:val="none"/>
                    </w:rPr>
                  </w:pPr>
                  <w:r>
                    <w:rPr>
                      <w:color w:val="auto"/>
                      <w:szCs w:val="21"/>
                      <w:highlight w:val="none"/>
                    </w:rPr>
                    <w:t>64</w:t>
                  </w:r>
                </w:p>
              </w:tc>
              <w:tc>
                <w:tcPr>
                  <w:tcW w:w="428" w:type="pct"/>
                  <w:vAlign w:val="center"/>
                </w:tcPr>
                <w:p w14:paraId="5B389299">
                  <w:pPr>
                    <w:tabs>
                      <w:tab w:val="left" w:pos="-4830"/>
                      <w:tab w:val="left" w:pos="210"/>
                    </w:tabs>
                    <w:jc w:val="center"/>
                    <w:textAlignment w:val="baseline"/>
                    <w:rPr>
                      <w:color w:val="auto"/>
                      <w:szCs w:val="21"/>
                      <w:highlight w:val="none"/>
                    </w:rPr>
                  </w:pPr>
                  <w:r>
                    <w:rPr>
                      <w:color w:val="auto"/>
                      <w:szCs w:val="21"/>
                      <w:highlight w:val="none"/>
                    </w:rPr>
                    <w:t>58</w:t>
                  </w:r>
                </w:p>
              </w:tc>
              <w:tc>
                <w:tcPr>
                  <w:tcW w:w="428" w:type="pct"/>
                  <w:vAlign w:val="center"/>
                </w:tcPr>
                <w:p w14:paraId="245CD7DE">
                  <w:pPr>
                    <w:tabs>
                      <w:tab w:val="left" w:pos="-4830"/>
                      <w:tab w:val="left" w:pos="210"/>
                    </w:tabs>
                    <w:jc w:val="center"/>
                    <w:textAlignment w:val="baseline"/>
                    <w:rPr>
                      <w:color w:val="auto"/>
                      <w:szCs w:val="21"/>
                      <w:highlight w:val="none"/>
                    </w:rPr>
                  </w:pPr>
                  <w:r>
                    <w:rPr>
                      <w:color w:val="auto"/>
                      <w:szCs w:val="21"/>
                      <w:highlight w:val="none"/>
                    </w:rPr>
                    <w:t>54.5</w:t>
                  </w:r>
                </w:p>
              </w:tc>
              <w:tc>
                <w:tcPr>
                  <w:tcW w:w="440" w:type="pct"/>
                  <w:tcBorders>
                    <w:right w:val="single" w:color="auto" w:sz="4" w:space="0"/>
                  </w:tcBorders>
                  <w:vAlign w:val="center"/>
                </w:tcPr>
                <w:p w14:paraId="18D222C9">
                  <w:pPr>
                    <w:tabs>
                      <w:tab w:val="left" w:pos="-4830"/>
                      <w:tab w:val="left" w:pos="210"/>
                    </w:tabs>
                    <w:jc w:val="center"/>
                    <w:textAlignment w:val="baseline"/>
                    <w:rPr>
                      <w:color w:val="auto"/>
                      <w:szCs w:val="21"/>
                      <w:highlight w:val="none"/>
                    </w:rPr>
                  </w:pPr>
                  <w:r>
                    <w:rPr>
                      <w:color w:val="auto"/>
                      <w:szCs w:val="21"/>
                      <w:highlight w:val="none"/>
                    </w:rPr>
                    <w:t>52</w:t>
                  </w:r>
                </w:p>
              </w:tc>
            </w:tr>
            <w:tr w14:paraId="220FB8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69" w:type="pct"/>
                  <w:vMerge w:val="continue"/>
                  <w:tcBorders>
                    <w:left w:val="single" w:color="auto" w:sz="4" w:space="0"/>
                  </w:tcBorders>
                  <w:vAlign w:val="center"/>
                </w:tcPr>
                <w:p w14:paraId="5740A425">
                  <w:pPr>
                    <w:adjustRightInd w:val="0"/>
                    <w:snapToGrid w:val="0"/>
                    <w:jc w:val="center"/>
                    <w:rPr>
                      <w:color w:val="auto"/>
                      <w:szCs w:val="21"/>
                      <w:highlight w:val="none"/>
                    </w:rPr>
                  </w:pPr>
                </w:p>
              </w:tc>
              <w:tc>
                <w:tcPr>
                  <w:tcW w:w="923" w:type="pct"/>
                  <w:vAlign w:val="center"/>
                </w:tcPr>
                <w:p w14:paraId="65E6159A">
                  <w:pPr>
                    <w:adjustRightInd w:val="0"/>
                    <w:jc w:val="center"/>
                    <w:rPr>
                      <w:color w:val="auto"/>
                      <w:szCs w:val="21"/>
                      <w:highlight w:val="none"/>
                    </w:rPr>
                  </w:pPr>
                  <w:r>
                    <w:rPr>
                      <w:color w:val="auto"/>
                      <w:szCs w:val="21"/>
                      <w:highlight w:val="none"/>
                    </w:rPr>
                    <w:t>起重机</w:t>
                  </w:r>
                </w:p>
              </w:tc>
              <w:tc>
                <w:tcPr>
                  <w:tcW w:w="450" w:type="pct"/>
                  <w:vAlign w:val="center"/>
                </w:tcPr>
                <w:p w14:paraId="46D79FF1">
                  <w:pPr>
                    <w:adjustRightInd w:val="0"/>
                    <w:jc w:val="center"/>
                    <w:rPr>
                      <w:color w:val="auto"/>
                      <w:szCs w:val="21"/>
                      <w:highlight w:val="none"/>
                    </w:rPr>
                  </w:pPr>
                  <w:r>
                    <w:rPr>
                      <w:color w:val="auto"/>
                      <w:szCs w:val="21"/>
                      <w:highlight w:val="none"/>
                    </w:rPr>
                    <w:t>85</w:t>
                  </w:r>
                </w:p>
              </w:tc>
              <w:tc>
                <w:tcPr>
                  <w:tcW w:w="430" w:type="pct"/>
                  <w:vAlign w:val="center"/>
                </w:tcPr>
                <w:p w14:paraId="591FC913">
                  <w:pPr>
                    <w:adjustRightInd w:val="0"/>
                    <w:jc w:val="center"/>
                    <w:rPr>
                      <w:color w:val="auto"/>
                      <w:szCs w:val="21"/>
                      <w:highlight w:val="none"/>
                    </w:rPr>
                  </w:pPr>
                  <w:r>
                    <w:rPr>
                      <w:color w:val="auto"/>
                      <w:szCs w:val="21"/>
                      <w:highlight w:val="none"/>
                    </w:rPr>
                    <w:t>65</w:t>
                  </w:r>
                </w:p>
              </w:tc>
              <w:tc>
                <w:tcPr>
                  <w:tcW w:w="388" w:type="pct"/>
                  <w:vAlign w:val="center"/>
                </w:tcPr>
                <w:p w14:paraId="3371C6A7">
                  <w:pPr>
                    <w:adjustRightInd w:val="0"/>
                    <w:jc w:val="center"/>
                    <w:rPr>
                      <w:color w:val="auto"/>
                      <w:szCs w:val="21"/>
                      <w:highlight w:val="none"/>
                    </w:rPr>
                  </w:pPr>
                  <w:r>
                    <w:rPr>
                      <w:color w:val="auto"/>
                      <w:szCs w:val="21"/>
                      <w:highlight w:val="none"/>
                    </w:rPr>
                    <w:t>57</w:t>
                  </w:r>
                </w:p>
              </w:tc>
              <w:tc>
                <w:tcPr>
                  <w:tcW w:w="513" w:type="pct"/>
                  <w:vAlign w:val="center"/>
                </w:tcPr>
                <w:p w14:paraId="2EDECBF6">
                  <w:pPr>
                    <w:adjustRightInd w:val="0"/>
                    <w:jc w:val="center"/>
                    <w:rPr>
                      <w:color w:val="auto"/>
                      <w:szCs w:val="21"/>
                      <w:highlight w:val="none"/>
                    </w:rPr>
                  </w:pPr>
                  <w:r>
                    <w:rPr>
                      <w:color w:val="auto"/>
                      <w:szCs w:val="21"/>
                      <w:highlight w:val="none"/>
                    </w:rPr>
                    <w:t>53.5</w:t>
                  </w:r>
                </w:p>
              </w:tc>
              <w:tc>
                <w:tcPr>
                  <w:tcW w:w="428" w:type="pct"/>
                  <w:vAlign w:val="center"/>
                </w:tcPr>
                <w:p w14:paraId="3443674C">
                  <w:pPr>
                    <w:adjustRightInd w:val="0"/>
                    <w:jc w:val="center"/>
                    <w:rPr>
                      <w:color w:val="auto"/>
                      <w:szCs w:val="21"/>
                      <w:highlight w:val="none"/>
                    </w:rPr>
                  </w:pPr>
                  <w:r>
                    <w:rPr>
                      <w:color w:val="auto"/>
                      <w:szCs w:val="21"/>
                      <w:highlight w:val="none"/>
                    </w:rPr>
                    <w:t>49</w:t>
                  </w:r>
                </w:p>
              </w:tc>
              <w:tc>
                <w:tcPr>
                  <w:tcW w:w="428" w:type="pct"/>
                  <w:vAlign w:val="center"/>
                </w:tcPr>
                <w:p w14:paraId="18DE9AAA">
                  <w:pPr>
                    <w:adjustRightInd w:val="0"/>
                    <w:jc w:val="center"/>
                    <w:rPr>
                      <w:color w:val="auto"/>
                      <w:szCs w:val="21"/>
                      <w:highlight w:val="none"/>
                    </w:rPr>
                  </w:pPr>
                  <w:r>
                    <w:rPr>
                      <w:color w:val="auto"/>
                      <w:szCs w:val="21"/>
                      <w:highlight w:val="none"/>
                    </w:rPr>
                    <w:t>43</w:t>
                  </w:r>
                </w:p>
              </w:tc>
              <w:tc>
                <w:tcPr>
                  <w:tcW w:w="428" w:type="pct"/>
                  <w:vAlign w:val="center"/>
                </w:tcPr>
                <w:p w14:paraId="2EE02D3F">
                  <w:pPr>
                    <w:adjustRightInd w:val="0"/>
                    <w:jc w:val="center"/>
                    <w:rPr>
                      <w:color w:val="auto"/>
                      <w:szCs w:val="21"/>
                      <w:highlight w:val="none"/>
                    </w:rPr>
                  </w:pPr>
                  <w:r>
                    <w:rPr>
                      <w:color w:val="auto"/>
                      <w:szCs w:val="21"/>
                      <w:highlight w:val="none"/>
                    </w:rPr>
                    <w:t>39.5</w:t>
                  </w:r>
                </w:p>
              </w:tc>
              <w:tc>
                <w:tcPr>
                  <w:tcW w:w="440" w:type="pct"/>
                  <w:tcBorders>
                    <w:right w:val="single" w:color="auto" w:sz="4" w:space="0"/>
                  </w:tcBorders>
                  <w:vAlign w:val="center"/>
                </w:tcPr>
                <w:p w14:paraId="69349A48">
                  <w:pPr>
                    <w:adjustRightInd w:val="0"/>
                    <w:jc w:val="center"/>
                    <w:rPr>
                      <w:color w:val="auto"/>
                      <w:szCs w:val="21"/>
                      <w:highlight w:val="none"/>
                    </w:rPr>
                  </w:pPr>
                  <w:r>
                    <w:rPr>
                      <w:color w:val="auto"/>
                      <w:szCs w:val="21"/>
                      <w:highlight w:val="none"/>
                    </w:rPr>
                    <w:t>3</w:t>
                  </w:r>
                  <w:r>
                    <w:rPr>
                      <w:rFonts w:hint="eastAsia"/>
                      <w:color w:val="auto"/>
                      <w:szCs w:val="21"/>
                      <w:highlight w:val="none"/>
                    </w:rPr>
                    <w:t>9</w:t>
                  </w:r>
                </w:p>
              </w:tc>
            </w:tr>
            <w:tr w14:paraId="2C5CE7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569" w:type="pct"/>
                  <w:vMerge w:val="continue"/>
                  <w:tcBorders>
                    <w:left w:val="single" w:color="auto" w:sz="4" w:space="0"/>
                  </w:tcBorders>
                  <w:vAlign w:val="center"/>
                </w:tcPr>
                <w:p w14:paraId="50274DB0">
                  <w:pPr>
                    <w:adjustRightInd w:val="0"/>
                    <w:snapToGrid w:val="0"/>
                    <w:jc w:val="center"/>
                    <w:rPr>
                      <w:color w:val="auto"/>
                      <w:szCs w:val="21"/>
                      <w:highlight w:val="none"/>
                    </w:rPr>
                  </w:pPr>
                </w:p>
              </w:tc>
              <w:tc>
                <w:tcPr>
                  <w:tcW w:w="923" w:type="pct"/>
                  <w:vAlign w:val="center"/>
                </w:tcPr>
                <w:p w14:paraId="0EDC44B0">
                  <w:pPr>
                    <w:adjustRightInd w:val="0"/>
                    <w:jc w:val="center"/>
                    <w:rPr>
                      <w:color w:val="auto"/>
                      <w:szCs w:val="21"/>
                      <w:highlight w:val="none"/>
                    </w:rPr>
                  </w:pPr>
                  <w:r>
                    <w:rPr>
                      <w:color w:val="auto"/>
                      <w:szCs w:val="21"/>
                      <w:highlight w:val="none"/>
                    </w:rPr>
                    <w:t>吊车、升降机</w:t>
                  </w:r>
                </w:p>
              </w:tc>
              <w:tc>
                <w:tcPr>
                  <w:tcW w:w="450" w:type="pct"/>
                  <w:vAlign w:val="center"/>
                </w:tcPr>
                <w:p w14:paraId="3343CF0F">
                  <w:pPr>
                    <w:adjustRightInd w:val="0"/>
                    <w:jc w:val="center"/>
                    <w:rPr>
                      <w:color w:val="auto"/>
                      <w:szCs w:val="21"/>
                      <w:highlight w:val="none"/>
                    </w:rPr>
                  </w:pPr>
                  <w:r>
                    <w:rPr>
                      <w:color w:val="auto"/>
                      <w:szCs w:val="21"/>
                      <w:highlight w:val="none"/>
                    </w:rPr>
                    <w:t>85</w:t>
                  </w:r>
                </w:p>
              </w:tc>
              <w:tc>
                <w:tcPr>
                  <w:tcW w:w="430" w:type="pct"/>
                  <w:vAlign w:val="center"/>
                </w:tcPr>
                <w:p w14:paraId="4B6B31FD">
                  <w:pPr>
                    <w:adjustRightInd w:val="0"/>
                    <w:jc w:val="center"/>
                    <w:rPr>
                      <w:color w:val="auto"/>
                      <w:szCs w:val="21"/>
                      <w:highlight w:val="none"/>
                    </w:rPr>
                  </w:pPr>
                  <w:r>
                    <w:rPr>
                      <w:color w:val="auto"/>
                      <w:szCs w:val="21"/>
                      <w:highlight w:val="none"/>
                    </w:rPr>
                    <w:t>65</w:t>
                  </w:r>
                </w:p>
              </w:tc>
              <w:tc>
                <w:tcPr>
                  <w:tcW w:w="388" w:type="pct"/>
                  <w:vAlign w:val="center"/>
                </w:tcPr>
                <w:p w14:paraId="6A6991F2">
                  <w:pPr>
                    <w:adjustRightInd w:val="0"/>
                    <w:jc w:val="center"/>
                    <w:rPr>
                      <w:color w:val="auto"/>
                      <w:szCs w:val="21"/>
                      <w:highlight w:val="none"/>
                    </w:rPr>
                  </w:pPr>
                  <w:r>
                    <w:rPr>
                      <w:color w:val="auto"/>
                      <w:szCs w:val="21"/>
                      <w:highlight w:val="none"/>
                    </w:rPr>
                    <w:t>57</w:t>
                  </w:r>
                </w:p>
              </w:tc>
              <w:tc>
                <w:tcPr>
                  <w:tcW w:w="513" w:type="pct"/>
                  <w:vAlign w:val="center"/>
                </w:tcPr>
                <w:p w14:paraId="6F10E55A">
                  <w:pPr>
                    <w:adjustRightInd w:val="0"/>
                    <w:jc w:val="center"/>
                    <w:rPr>
                      <w:color w:val="auto"/>
                      <w:szCs w:val="21"/>
                      <w:highlight w:val="none"/>
                    </w:rPr>
                  </w:pPr>
                  <w:r>
                    <w:rPr>
                      <w:color w:val="auto"/>
                      <w:szCs w:val="21"/>
                      <w:highlight w:val="none"/>
                    </w:rPr>
                    <w:t>53.5</w:t>
                  </w:r>
                </w:p>
              </w:tc>
              <w:tc>
                <w:tcPr>
                  <w:tcW w:w="428" w:type="pct"/>
                  <w:vAlign w:val="center"/>
                </w:tcPr>
                <w:p w14:paraId="763B91DF">
                  <w:pPr>
                    <w:adjustRightInd w:val="0"/>
                    <w:jc w:val="center"/>
                    <w:rPr>
                      <w:color w:val="auto"/>
                      <w:szCs w:val="21"/>
                      <w:highlight w:val="none"/>
                    </w:rPr>
                  </w:pPr>
                  <w:r>
                    <w:rPr>
                      <w:color w:val="auto"/>
                      <w:szCs w:val="21"/>
                      <w:highlight w:val="none"/>
                    </w:rPr>
                    <w:t>49</w:t>
                  </w:r>
                </w:p>
              </w:tc>
              <w:tc>
                <w:tcPr>
                  <w:tcW w:w="428" w:type="pct"/>
                  <w:vAlign w:val="center"/>
                </w:tcPr>
                <w:p w14:paraId="665812AB">
                  <w:pPr>
                    <w:adjustRightInd w:val="0"/>
                    <w:jc w:val="center"/>
                    <w:rPr>
                      <w:color w:val="auto"/>
                      <w:szCs w:val="21"/>
                      <w:highlight w:val="none"/>
                    </w:rPr>
                  </w:pPr>
                  <w:r>
                    <w:rPr>
                      <w:color w:val="auto"/>
                      <w:szCs w:val="21"/>
                      <w:highlight w:val="none"/>
                    </w:rPr>
                    <w:t>43</w:t>
                  </w:r>
                </w:p>
              </w:tc>
              <w:tc>
                <w:tcPr>
                  <w:tcW w:w="428" w:type="pct"/>
                  <w:vAlign w:val="center"/>
                </w:tcPr>
                <w:p w14:paraId="5BD1114C">
                  <w:pPr>
                    <w:adjustRightInd w:val="0"/>
                    <w:jc w:val="center"/>
                    <w:rPr>
                      <w:color w:val="auto"/>
                      <w:szCs w:val="21"/>
                      <w:highlight w:val="none"/>
                    </w:rPr>
                  </w:pPr>
                  <w:r>
                    <w:rPr>
                      <w:color w:val="auto"/>
                      <w:szCs w:val="21"/>
                      <w:highlight w:val="none"/>
                    </w:rPr>
                    <w:t>39.5</w:t>
                  </w:r>
                </w:p>
              </w:tc>
              <w:tc>
                <w:tcPr>
                  <w:tcW w:w="440" w:type="pct"/>
                  <w:tcBorders>
                    <w:right w:val="single" w:color="auto" w:sz="4" w:space="0"/>
                  </w:tcBorders>
                  <w:vAlign w:val="center"/>
                </w:tcPr>
                <w:p w14:paraId="7E916F04">
                  <w:pPr>
                    <w:adjustRightInd w:val="0"/>
                    <w:jc w:val="center"/>
                    <w:rPr>
                      <w:color w:val="auto"/>
                      <w:szCs w:val="21"/>
                      <w:highlight w:val="none"/>
                    </w:rPr>
                  </w:pPr>
                  <w:r>
                    <w:rPr>
                      <w:color w:val="auto"/>
                      <w:szCs w:val="21"/>
                      <w:highlight w:val="none"/>
                    </w:rPr>
                    <w:t>3</w:t>
                  </w:r>
                  <w:r>
                    <w:rPr>
                      <w:rFonts w:hint="eastAsia"/>
                      <w:color w:val="auto"/>
                      <w:szCs w:val="21"/>
                      <w:highlight w:val="none"/>
                    </w:rPr>
                    <w:t>9</w:t>
                  </w:r>
                </w:p>
              </w:tc>
            </w:tr>
            <w:tr w14:paraId="0344F5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569" w:type="pct"/>
                  <w:vMerge w:val="continue"/>
                  <w:tcBorders>
                    <w:left w:val="single" w:color="auto" w:sz="4" w:space="0"/>
                    <w:bottom w:val="single" w:color="auto" w:sz="4" w:space="0"/>
                  </w:tcBorders>
                  <w:vAlign w:val="center"/>
                </w:tcPr>
                <w:p w14:paraId="032C4394">
                  <w:pPr>
                    <w:adjustRightInd w:val="0"/>
                    <w:snapToGrid w:val="0"/>
                    <w:jc w:val="center"/>
                    <w:rPr>
                      <w:color w:val="auto"/>
                      <w:szCs w:val="21"/>
                      <w:highlight w:val="none"/>
                    </w:rPr>
                  </w:pPr>
                </w:p>
              </w:tc>
              <w:tc>
                <w:tcPr>
                  <w:tcW w:w="923" w:type="pct"/>
                  <w:tcBorders>
                    <w:bottom w:val="single" w:color="auto" w:sz="4" w:space="0"/>
                  </w:tcBorders>
                  <w:vAlign w:val="center"/>
                </w:tcPr>
                <w:p w14:paraId="54292416">
                  <w:pPr>
                    <w:adjustRightInd w:val="0"/>
                    <w:jc w:val="center"/>
                    <w:rPr>
                      <w:color w:val="auto"/>
                      <w:szCs w:val="21"/>
                      <w:highlight w:val="none"/>
                    </w:rPr>
                  </w:pPr>
                  <w:r>
                    <w:rPr>
                      <w:color w:val="auto"/>
                      <w:szCs w:val="21"/>
                      <w:highlight w:val="none"/>
                    </w:rPr>
                    <w:t>同时施工</w:t>
                  </w:r>
                </w:p>
              </w:tc>
              <w:tc>
                <w:tcPr>
                  <w:tcW w:w="450" w:type="pct"/>
                  <w:tcBorders>
                    <w:bottom w:val="single" w:color="auto" w:sz="4" w:space="0"/>
                  </w:tcBorders>
                  <w:vAlign w:val="center"/>
                </w:tcPr>
                <w:p w14:paraId="495A36FC">
                  <w:pPr>
                    <w:adjustRightInd w:val="0"/>
                    <w:jc w:val="center"/>
                    <w:rPr>
                      <w:color w:val="auto"/>
                      <w:szCs w:val="21"/>
                      <w:highlight w:val="none"/>
                    </w:rPr>
                  </w:pPr>
                  <w:r>
                    <w:rPr>
                      <w:color w:val="auto"/>
                      <w:szCs w:val="21"/>
                      <w:highlight w:val="none"/>
                    </w:rPr>
                    <w:t>100.3</w:t>
                  </w:r>
                </w:p>
              </w:tc>
              <w:tc>
                <w:tcPr>
                  <w:tcW w:w="430" w:type="pct"/>
                  <w:tcBorders>
                    <w:bottom w:val="single" w:color="auto" w:sz="4" w:space="0"/>
                  </w:tcBorders>
                  <w:vAlign w:val="center"/>
                </w:tcPr>
                <w:p w14:paraId="24FC4DF8">
                  <w:pPr>
                    <w:adjustRightInd w:val="0"/>
                    <w:jc w:val="center"/>
                    <w:rPr>
                      <w:color w:val="auto"/>
                      <w:szCs w:val="21"/>
                      <w:highlight w:val="none"/>
                    </w:rPr>
                  </w:pPr>
                  <w:r>
                    <w:rPr>
                      <w:color w:val="auto"/>
                      <w:szCs w:val="21"/>
                      <w:highlight w:val="none"/>
                    </w:rPr>
                    <w:t>78.3</w:t>
                  </w:r>
                </w:p>
              </w:tc>
              <w:tc>
                <w:tcPr>
                  <w:tcW w:w="388" w:type="pct"/>
                  <w:tcBorders>
                    <w:bottom w:val="single" w:color="auto" w:sz="4" w:space="0"/>
                  </w:tcBorders>
                  <w:vAlign w:val="center"/>
                </w:tcPr>
                <w:p w14:paraId="7E47F68F">
                  <w:pPr>
                    <w:adjustRightInd w:val="0"/>
                    <w:jc w:val="center"/>
                    <w:rPr>
                      <w:color w:val="auto"/>
                      <w:szCs w:val="21"/>
                      <w:highlight w:val="none"/>
                    </w:rPr>
                  </w:pPr>
                  <w:r>
                    <w:rPr>
                      <w:color w:val="auto"/>
                      <w:szCs w:val="21"/>
                      <w:highlight w:val="none"/>
                    </w:rPr>
                    <w:t>72.3</w:t>
                  </w:r>
                </w:p>
              </w:tc>
              <w:tc>
                <w:tcPr>
                  <w:tcW w:w="513" w:type="pct"/>
                  <w:tcBorders>
                    <w:bottom w:val="single" w:color="auto" w:sz="4" w:space="0"/>
                  </w:tcBorders>
                  <w:vAlign w:val="center"/>
                </w:tcPr>
                <w:p w14:paraId="29CAD97E">
                  <w:pPr>
                    <w:adjustRightInd w:val="0"/>
                    <w:jc w:val="center"/>
                    <w:rPr>
                      <w:color w:val="auto"/>
                      <w:szCs w:val="21"/>
                      <w:highlight w:val="none"/>
                    </w:rPr>
                  </w:pPr>
                  <w:r>
                    <w:rPr>
                      <w:color w:val="auto"/>
                      <w:szCs w:val="21"/>
                      <w:highlight w:val="none"/>
                    </w:rPr>
                    <w:t>68.8</w:t>
                  </w:r>
                </w:p>
              </w:tc>
              <w:tc>
                <w:tcPr>
                  <w:tcW w:w="428" w:type="pct"/>
                  <w:tcBorders>
                    <w:bottom w:val="single" w:color="auto" w:sz="4" w:space="0"/>
                  </w:tcBorders>
                  <w:vAlign w:val="center"/>
                </w:tcPr>
                <w:p w14:paraId="66066EE5">
                  <w:pPr>
                    <w:adjustRightInd w:val="0"/>
                    <w:jc w:val="center"/>
                    <w:rPr>
                      <w:color w:val="auto"/>
                      <w:szCs w:val="21"/>
                      <w:highlight w:val="none"/>
                    </w:rPr>
                  </w:pPr>
                  <w:r>
                    <w:rPr>
                      <w:color w:val="auto"/>
                      <w:szCs w:val="21"/>
                      <w:highlight w:val="none"/>
                    </w:rPr>
                    <w:t>64.3</w:t>
                  </w:r>
                </w:p>
              </w:tc>
              <w:tc>
                <w:tcPr>
                  <w:tcW w:w="428" w:type="pct"/>
                  <w:tcBorders>
                    <w:bottom w:val="single" w:color="auto" w:sz="4" w:space="0"/>
                  </w:tcBorders>
                  <w:vAlign w:val="center"/>
                </w:tcPr>
                <w:p w14:paraId="1FD922E8">
                  <w:pPr>
                    <w:adjustRightInd w:val="0"/>
                    <w:jc w:val="center"/>
                    <w:rPr>
                      <w:color w:val="auto"/>
                      <w:szCs w:val="21"/>
                      <w:highlight w:val="none"/>
                    </w:rPr>
                  </w:pPr>
                  <w:r>
                    <w:rPr>
                      <w:color w:val="auto"/>
                      <w:szCs w:val="21"/>
                      <w:highlight w:val="none"/>
                    </w:rPr>
                    <w:t>58.3</w:t>
                  </w:r>
                </w:p>
              </w:tc>
              <w:tc>
                <w:tcPr>
                  <w:tcW w:w="428" w:type="pct"/>
                  <w:tcBorders>
                    <w:bottom w:val="single" w:color="auto" w:sz="4" w:space="0"/>
                  </w:tcBorders>
                  <w:vAlign w:val="center"/>
                </w:tcPr>
                <w:p w14:paraId="681CDE58">
                  <w:pPr>
                    <w:adjustRightInd w:val="0"/>
                    <w:jc w:val="center"/>
                    <w:rPr>
                      <w:color w:val="auto"/>
                      <w:szCs w:val="21"/>
                      <w:highlight w:val="none"/>
                    </w:rPr>
                  </w:pPr>
                  <w:r>
                    <w:rPr>
                      <w:color w:val="auto"/>
                      <w:szCs w:val="21"/>
                      <w:highlight w:val="none"/>
                    </w:rPr>
                    <w:t>54.8</w:t>
                  </w:r>
                </w:p>
              </w:tc>
              <w:tc>
                <w:tcPr>
                  <w:tcW w:w="440" w:type="pct"/>
                  <w:tcBorders>
                    <w:bottom w:val="single" w:color="auto" w:sz="4" w:space="0"/>
                    <w:right w:val="single" w:color="auto" w:sz="4" w:space="0"/>
                  </w:tcBorders>
                  <w:vAlign w:val="center"/>
                </w:tcPr>
                <w:p w14:paraId="368ABB6C">
                  <w:pPr>
                    <w:adjustRightInd w:val="0"/>
                    <w:jc w:val="center"/>
                    <w:rPr>
                      <w:color w:val="auto"/>
                      <w:szCs w:val="21"/>
                      <w:highlight w:val="none"/>
                    </w:rPr>
                  </w:pPr>
                  <w:r>
                    <w:rPr>
                      <w:color w:val="auto"/>
                      <w:szCs w:val="21"/>
                      <w:highlight w:val="none"/>
                    </w:rPr>
                    <w:t>52.3</w:t>
                  </w:r>
                </w:p>
              </w:tc>
            </w:tr>
          </w:tbl>
          <w:p w14:paraId="06EF8B3C">
            <w:pPr>
              <w:keepNext w:val="0"/>
              <w:keepLines w:val="0"/>
              <w:pageBreakBefore w:val="0"/>
              <w:widowControl w:val="0"/>
              <w:tabs>
                <w:tab w:val="left" w:pos="-4830"/>
                <w:tab w:val="left" w:pos="210"/>
              </w:tabs>
              <w:kinsoku/>
              <w:wordWrap/>
              <w:overflowPunct/>
              <w:topLinePunct w:val="0"/>
              <w:autoSpaceDE/>
              <w:autoSpaceDN/>
              <w:bidi w:val="0"/>
              <w:adjustRightInd w:val="0"/>
              <w:snapToGrid w:val="0"/>
              <w:spacing w:line="360" w:lineRule="auto"/>
              <w:ind w:firstLine="480" w:firstLineChars="200"/>
              <w:textAlignment w:val="baseline"/>
              <w:rPr>
                <w:rFonts w:hint="default" w:eastAsia="宋体"/>
                <w:bCs/>
                <w:color w:val="auto"/>
                <w:sz w:val="24"/>
                <w:highlight w:val="none"/>
                <w:lang w:val="en-US" w:eastAsia="zh-CN"/>
              </w:rPr>
            </w:pPr>
            <w:r>
              <w:rPr>
                <w:rFonts w:hint="eastAsia"/>
                <w:bCs/>
                <w:color w:val="auto"/>
                <w:sz w:val="24"/>
                <w:highlight w:val="none"/>
                <w:lang w:eastAsia="zh-CN"/>
              </w:rPr>
              <w:t>（</w:t>
            </w:r>
            <w:r>
              <w:rPr>
                <w:rFonts w:hint="eastAsia"/>
                <w:bCs/>
                <w:color w:val="auto"/>
                <w:sz w:val="24"/>
                <w:highlight w:val="none"/>
                <w:lang w:val="en-US" w:eastAsia="zh-CN"/>
              </w:rPr>
              <w:t>4</w:t>
            </w:r>
            <w:r>
              <w:rPr>
                <w:rFonts w:hint="eastAsia"/>
                <w:bCs/>
                <w:color w:val="auto"/>
                <w:sz w:val="24"/>
                <w:highlight w:val="none"/>
                <w:lang w:eastAsia="zh-CN"/>
              </w:rPr>
              <w:t>）</w:t>
            </w:r>
            <w:r>
              <w:rPr>
                <w:rFonts w:hint="eastAsia"/>
                <w:bCs/>
                <w:color w:val="auto"/>
                <w:sz w:val="24"/>
                <w:highlight w:val="none"/>
                <w:lang w:val="en-US" w:eastAsia="zh-CN"/>
              </w:rPr>
              <w:t>施工噪声影响预测</w:t>
            </w:r>
          </w:p>
          <w:p w14:paraId="07978675">
            <w:pPr>
              <w:keepNext w:val="0"/>
              <w:keepLines w:val="0"/>
              <w:pageBreakBefore w:val="0"/>
              <w:widowControl w:val="0"/>
              <w:tabs>
                <w:tab w:val="left" w:pos="-4830"/>
                <w:tab w:val="left" w:pos="210"/>
              </w:tabs>
              <w:kinsoku/>
              <w:wordWrap/>
              <w:overflowPunct/>
              <w:topLinePunct w:val="0"/>
              <w:autoSpaceDE/>
              <w:autoSpaceDN/>
              <w:bidi w:val="0"/>
              <w:adjustRightInd w:val="0"/>
              <w:snapToGrid w:val="0"/>
              <w:spacing w:line="360" w:lineRule="auto"/>
              <w:ind w:firstLine="480" w:firstLineChars="200"/>
              <w:textAlignment w:val="baseline"/>
              <w:rPr>
                <w:snapToGrid w:val="0"/>
                <w:color w:val="auto"/>
                <w:kern w:val="0"/>
                <w:sz w:val="24"/>
                <w:szCs w:val="20"/>
                <w:highlight w:val="none"/>
              </w:rPr>
            </w:pPr>
            <w:r>
              <w:rPr>
                <w:bCs/>
                <w:color w:val="auto"/>
                <w:sz w:val="24"/>
                <w:highlight w:val="none"/>
              </w:rPr>
              <w:t>由上表可以看出，施工期噪声源经30m和150m的衰减后，可分别满足《建筑施工场界环境噪声排放标准》（GB 12523-20</w:t>
            </w:r>
            <w:r>
              <w:rPr>
                <w:rFonts w:hint="eastAsia"/>
                <w:bCs/>
                <w:color w:val="auto"/>
                <w:sz w:val="24"/>
                <w:highlight w:val="none"/>
                <w:lang w:val="en-US" w:eastAsia="zh-CN"/>
              </w:rPr>
              <w:t>25</w:t>
            </w:r>
            <w:r>
              <w:rPr>
                <w:bCs/>
                <w:color w:val="auto"/>
                <w:sz w:val="24"/>
                <w:highlight w:val="none"/>
              </w:rPr>
              <w:t>）昼间和夜间标准。</w:t>
            </w:r>
          </w:p>
          <w:p w14:paraId="5B0DF213">
            <w:pPr>
              <w:keepNext w:val="0"/>
              <w:keepLines w:val="0"/>
              <w:pageBreakBefore w:val="0"/>
              <w:widowControl w:val="0"/>
              <w:shd w:val="clear" w:color="auto" w:fill="FFFFFF"/>
              <w:kinsoku/>
              <w:wordWrap/>
              <w:overflowPunct/>
              <w:topLinePunct w:val="0"/>
              <w:autoSpaceDE/>
              <w:autoSpaceDN/>
              <w:bidi w:val="0"/>
              <w:adjustRightInd w:val="0"/>
              <w:snapToGrid w:val="0"/>
              <w:spacing w:line="360" w:lineRule="auto"/>
              <w:ind w:firstLine="480" w:firstLineChars="200"/>
              <w:rPr>
                <w:snapToGrid w:val="0"/>
                <w:color w:val="auto"/>
                <w:kern w:val="0"/>
                <w:sz w:val="24"/>
                <w:szCs w:val="20"/>
                <w:highlight w:val="none"/>
              </w:rPr>
            </w:pPr>
            <w:r>
              <w:rPr>
                <w:snapToGrid w:val="0"/>
                <w:color w:val="auto"/>
                <w:kern w:val="0"/>
                <w:sz w:val="24"/>
                <w:szCs w:val="20"/>
                <w:highlight w:val="none"/>
              </w:rPr>
              <w:t>在施工期的场地平整、挖土填方、钢结构及设备安装等几个阶段中，主要噪声源有混凝土搅拌机及交通运输噪声等，施工设备运行时会产生较高的噪声。</w:t>
            </w:r>
          </w:p>
          <w:p w14:paraId="410C9CE2">
            <w:pPr>
              <w:keepNext w:val="0"/>
              <w:keepLines w:val="0"/>
              <w:pageBreakBefore w:val="0"/>
              <w:widowControl w:val="0"/>
              <w:shd w:val="clear" w:color="auto" w:fill="FFFFFF"/>
              <w:kinsoku/>
              <w:wordWrap/>
              <w:overflowPunct/>
              <w:topLinePunct w:val="0"/>
              <w:autoSpaceDE/>
              <w:autoSpaceDN/>
              <w:bidi w:val="0"/>
              <w:adjustRightInd w:val="0"/>
              <w:snapToGrid w:val="0"/>
              <w:spacing w:line="360" w:lineRule="auto"/>
              <w:ind w:firstLine="480" w:firstLineChars="200"/>
              <w:rPr>
                <w:snapToGrid w:val="0"/>
                <w:color w:val="auto"/>
                <w:kern w:val="0"/>
                <w:sz w:val="24"/>
                <w:szCs w:val="20"/>
                <w:highlight w:val="none"/>
              </w:rPr>
            </w:pPr>
            <w:r>
              <w:rPr>
                <w:snapToGrid w:val="0"/>
                <w:color w:val="auto"/>
                <w:kern w:val="0"/>
                <w:sz w:val="24"/>
                <w:szCs w:val="20"/>
                <w:highlight w:val="none"/>
              </w:rPr>
              <w:t>施工场地在厂区</w:t>
            </w:r>
            <w:r>
              <w:rPr>
                <w:rFonts w:hint="eastAsia"/>
                <w:snapToGrid w:val="0"/>
                <w:color w:val="auto"/>
                <w:kern w:val="0"/>
                <w:sz w:val="24"/>
                <w:szCs w:val="20"/>
                <w:highlight w:val="none"/>
              </w:rPr>
              <w:t>内</w:t>
            </w:r>
            <w:r>
              <w:rPr>
                <w:snapToGrid w:val="0"/>
                <w:color w:val="auto"/>
                <w:kern w:val="0"/>
                <w:sz w:val="24"/>
                <w:szCs w:val="20"/>
                <w:highlight w:val="none"/>
              </w:rPr>
              <w:t>，以最大限度避免施工噪声对</w:t>
            </w:r>
            <w:r>
              <w:rPr>
                <w:rFonts w:hint="eastAsia"/>
                <w:snapToGrid w:val="0"/>
                <w:color w:val="auto"/>
                <w:kern w:val="0"/>
                <w:sz w:val="24"/>
                <w:szCs w:val="20"/>
                <w:highlight w:val="none"/>
              </w:rPr>
              <w:t>周围</w:t>
            </w:r>
            <w:r>
              <w:rPr>
                <w:snapToGrid w:val="0"/>
                <w:color w:val="auto"/>
                <w:kern w:val="0"/>
                <w:sz w:val="24"/>
                <w:szCs w:val="20"/>
                <w:highlight w:val="none"/>
              </w:rPr>
              <w:t>的影响</w:t>
            </w:r>
            <w:r>
              <w:rPr>
                <w:rFonts w:hint="eastAsia"/>
                <w:snapToGrid w:val="0"/>
                <w:color w:val="auto"/>
                <w:kern w:val="0"/>
                <w:sz w:val="24"/>
                <w:szCs w:val="20"/>
                <w:highlight w:val="none"/>
              </w:rPr>
              <w:t>，</w:t>
            </w:r>
            <w:r>
              <w:rPr>
                <w:snapToGrid w:val="0"/>
                <w:color w:val="auto"/>
                <w:kern w:val="0"/>
                <w:sz w:val="24"/>
                <w:szCs w:val="20"/>
                <w:highlight w:val="none"/>
              </w:rPr>
              <w:t>随着施工完毕，噪声影响将会消失。</w:t>
            </w:r>
          </w:p>
          <w:p w14:paraId="1BEB5A6D">
            <w:pPr>
              <w:keepNext w:val="0"/>
              <w:keepLines w:val="0"/>
              <w:pageBreakBefore w:val="0"/>
              <w:widowControl w:val="0"/>
              <w:shd w:val="clear" w:color="auto" w:fill="FFFFFF"/>
              <w:kinsoku/>
              <w:wordWrap/>
              <w:overflowPunct/>
              <w:topLinePunct w:val="0"/>
              <w:autoSpaceDE/>
              <w:autoSpaceDN/>
              <w:bidi w:val="0"/>
              <w:adjustRightInd w:val="0"/>
              <w:snapToGrid w:val="0"/>
              <w:spacing w:line="360" w:lineRule="auto"/>
              <w:ind w:firstLine="480" w:firstLineChars="200"/>
              <w:rPr>
                <w:snapToGrid w:val="0"/>
                <w:color w:val="auto"/>
                <w:kern w:val="0"/>
                <w:sz w:val="24"/>
                <w:szCs w:val="20"/>
                <w:highlight w:val="none"/>
              </w:rPr>
            </w:pPr>
            <w:r>
              <w:rPr>
                <w:rFonts w:hint="eastAsia"/>
                <w:snapToGrid w:val="0"/>
                <w:color w:val="auto"/>
                <w:kern w:val="0"/>
                <w:sz w:val="24"/>
                <w:szCs w:val="20"/>
                <w:highlight w:val="none"/>
              </w:rPr>
              <w:t>由表4-</w:t>
            </w:r>
            <w:r>
              <w:rPr>
                <w:rFonts w:hint="eastAsia"/>
                <w:snapToGrid w:val="0"/>
                <w:color w:val="auto"/>
                <w:kern w:val="0"/>
                <w:sz w:val="24"/>
                <w:szCs w:val="20"/>
                <w:highlight w:val="none"/>
                <w:lang w:val="en-US" w:eastAsia="zh-CN"/>
              </w:rPr>
              <w:t>2</w:t>
            </w:r>
            <w:r>
              <w:rPr>
                <w:rFonts w:hint="eastAsia"/>
                <w:snapToGrid w:val="0"/>
                <w:color w:val="auto"/>
                <w:kern w:val="0"/>
                <w:sz w:val="24"/>
                <w:szCs w:val="20"/>
                <w:highlight w:val="none"/>
              </w:rPr>
              <w:t>可以看出施工期噪声源经200m的衰减后，各种施工设备同时运行时，施工噪声最大可达到52.3dB(A)。本项目</w:t>
            </w:r>
            <w:r>
              <w:rPr>
                <w:rFonts w:hint="eastAsia"/>
                <w:snapToGrid w:val="0"/>
                <w:color w:val="auto"/>
                <w:kern w:val="0"/>
                <w:sz w:val="24"/>
                <w:szCs w:val="20"/>
                <w:highlight w:val="none"/>
                <w:lang w:val="en-US" w:eastAsia="zh-CN"/>
              </w:rPr>
              <w:t>周围200m内没有声环境敏感目标，</w:t>
            </w:r>
            <w:r>
              <w:rPr>
                <w:rFonts w:hint="eastAsia"/>
                <w:snapToGrid w:val="0"/>
                <w:color w:val="auto"/>
                <w:kern w:val="0"/>
                <w:sz w:val="24"/>
                <w:szCs w:val="20"/>
                <w:highlight w:val="none"/>
              </w:rPr>
              <w:t>因此</w:t>
            </w:r>
            <w:r>
              <w:rPr>
                <w:rFonts w:hint="eastAsia"/>
                <w:snapToGrid w:val="0"/>
                <w:color w:val="auto"/>
                <w:kern w:val="0"/>
                <w:sz w:val="24"/>
                <w:szCs w:val="20"/>
                <w:highlight w:val="none"/>
                <w:lang w:val="en-US" w:eastAsia="zh-CN"/>
              </w:rPr>
              <w:t>工程</w:t>
            </w:r>
            <w:r>
              <w:rPr>
                <w:rFonts w:hint="eastAsia"/>
                <w:snapToGrid w:val="0"/>
                <w:color w:val="auto"/>
                <w:kern w:val="0"/>
                <w:sz w:val="24"/>
                <w:szCs w:val="20"/>
                <w:highlight w:val="none"/>
              </w:rPr>
              <w:t>施工过程对项目周边影响较小。</w:t>
            </w:r>
          </w:p>
          <w:p w14:paraId="70D9A77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eastAsia"/>
                <w:snapToGrid w:val="0"/>
                <w:color w:val="auto"/>
                <w:kern w:val="0"/>
                <w:sz w:val="24"/>
                <w:szCs w:val="20"/>
                <w:highlight w:val="none"/>
              </w:rPr>
              <w:t>施工时应合理安排作业，尽量减少或避免各类施工设备同时施工的时间，夜间停止施工，从而减少施工噪声对周边环境敏感目标的影响。本项目建设内容较少，随着施工完毕，噪声影响将会消失。</w:t>
            </w:r>
          </w:p>
          <w:p w14:paraId="0CEFE3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本工程施工期噪声的环境影响，可采取以下控制措施：</w:t>
            </w:r>
          </w:p>
          <w:p w14:paraId="7E3C63F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（1）设备选型上应优选低噪声设备，对动力机械设备进行定期的维修、养护。</w:t>
            </w:r>
          </w:p>
          <w:p w14:paraId="60E45FE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（2）合理布局施工现场，避免在同一地点安排大量动力机械设备同时施工，以免局部声级过高。</w:t>
            </w:r>
          </w:p>
          <w:p w14:paraId="72FBC77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（3）尽量压缩施工区域汽车数量与行车密度，控制汽车鸣笛；运输车辆的进出应规定进、出路线，行驶道路保持平坦，减少车辆的颠簸噪声和产生振动。</w:t>
            </w:r>
          </w:p>
          <w:p w14:paraId="4FB7CF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pacing w:val="0"/>
                <w:sz w:val="24"/>
                <w:szCs w:val="24"/>
                <w:lang w:eastAsia="zh-CN"/>
              </w:rPr>
            </w:pPr>
            <w:r>
              <w:rPr>
                <w:rFonts w:hint="default" w:ascii="Times New Roman" w:hAnsi="Times New Roman" w:eastAsia="宋体" w:cs="Times New Roman"/>
                <w:bCs/>
                <w:color w:val="auto"/>
                <w:spacing w:val="0"/>
                <w:sz w:val="24"/>
                <w:szCs w:val="24"/>
                <w:lang w:eastAsia="zh-CN"/>
              </w:rPr>
              <w:t>（4）禁止夜间</w:t>
            </w:r>
            <w:r>
              <w:rPr>
                <w:rFonts w:hint="default" w:ascii="Times New Roman" w:hAnsi="Times New Roman" w:eastAsia="宋体" w:cs="Times New Roman"/>
                <w:bCs/>
                <w:color w:val="auto"/>
                <w:spacing w:val="0"/>
                <w:sz w:val="24"/>
                <w:szCs w:val="24"/>
                <w:lang w:val="en-US" w:eastAsia="zh-CN"/>
              </w:rPr>
              <w:t>高噪声设备</w:t>
            </w:r>
            <w:r>
              <w:rPr>
                <w:rFonts w:hint="default" w:ascii="Times New Roman" w:hAnsi="Times New Roman" w:eastAsia="宋体" w:cs="Times New Roman"/>
                <w:bCs/>
                <w:color w:val="auto"/>
                <w:spacing w:val="0"/>
                <w:sz w:val="24"/>
                <w:szCs w:val="24"/>
                <w:lang w:eastAsia="zh-CN"/>
              </w:rPr>
              <w:t>施工；厂界周边设立围墙以减少噪声源的影响范围。</w:t>
            </w:r>
          </w:p>
          <w:p w14:paraId="7AC6E43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pacing w:val="0"/>
                <w:sz w:val="24"/>
                <w:szCs w:val="24"/>
              </w:rPr>
            </w:pPr>
            <w:r>
              <w:rPr>
                <w:rFonts w:hint="default" w:ascii="Times New Roman" w:hAnsi="Times New Roman" w:eastAsia="宋体" w:cs="Times New Roman"/>
                <w:bCs/>
                <w:color w:val="auto"/>
                <w:spacing w:val="0"/>
                <w:sz w:val="24"/>
                <w:szCs w:val="24"/>
                <w:lang w:eastAsia="zh-CN"/>
              </w:rPr>
              <w:t>以上措施均具有较好的应用效果，通过对噪声的控制，厂界噪声可以达到《建筑施工场界环境噪声排放标准》（GB12523-20</w:t>
            </w:r>
            <w:r>
              <w:rPr>
                <w:rFonts w:hint="eastAsia" w:cs="Times New Roman"/>
                <w:bCs/>
                <w:color w:val="auto"/>
                <w:spacing w:val="0"/>
                <w:sz w:val="24"/>
                <w:szCs w:val="24"/>
                <w:lang w:val="en-US" w:eastAsia="zh-CN"/>
              </w:rPr>
              <w:t>25</w:t>
            </w:r>
            <w:r>
              <w:rPr>
                <w:rFonts w:hint="default" w:ascii="Times New Roman" w:hAnsi="Times New Roman" w:eastAsia="宋体" w:cs="Times New Roman"/>
                <w:bCs/>
                <w:color w:val="auto"/>
                <w:spacing w:val="0"/>
                <w:sz w:val="24"/>
                <w:szCs w:val="24"/>
                <w:lang w:eastAsia="zh-CN"/>
              </w:rPr>
              <w:t>）中相关限值，施工期噪声对周围声环境的影响不大。</w:t>
            </w:r>
          </w:p>
          <w:p w14:paraId="5B18FCA7">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auto"/>
                <w:spacing w:val="0"/>
                <w:sz w:val="24"/>
                <w:szCs w:val="24"/>
              </w:rPr>
            </w:pPr>
            <w:r>
              <w:rPr>
                <w:rFonts w:hint="default" w:ascii="Times New Roman" w:hAnsi="Times New Roman" w:cs="Times New Roman"/>
                <w:b/>
                <w:bCs/>
                <w:color w:val="auto"/>
                <w:spacing w:val="0"/>
                <w:sz w:val="24"/>
                <w:szCs w:val="24"/>
                <w:lang w:val="en-US" w:eastAsia="zh-CN"/>
              </w:rPr>
              <w:t>4、</w:t>
            </w:r>
            <w:r>
              <w:rPr>
                <w:rFonts w:hint="default" w:ascii="Times New Roman" w:hAnsi="Times New Roman" w:cs="Times New Roman"/>
                <w:b/>
                <w:bCs/>
                <w:color w:val="auto"/>
                <w:spacing w:val="0"/>
                <w:sz w:val="24"/>
                <w:szCs w:val="24"/>
              </w:rPr>
              <w:t>固体废物</w:t>
            </w:r>
          </w:p>
          <w:p w14:paraId="2030F2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pacing w:val="0"/>
                <w:sz w:val="24"/>
                <w:szCs w:val="24"/>
                <w:lang w:val="en-US" w:eastAsia="zh-CN"/>
              </w:rPr>
            </w:pPr>
            <w:r>
              <w:rPr>
                <w:rFonts w:hint="eastAsia" w:ascii="Times New Roman" w:hAnsi="Times New Roman" w:eastAsia="宋体" w:cs="Times New Roman"/>
                <w:bCs/>
                <w:color w:val="auto"/>
                <w:spacing w:val="0"/>
                <w:sz w:val="24"/>
                <w:szCs w:val="24"/>
                <w:lang w:val="en-US" w:eastAsia="zh-CN"/>
              </w:rPr>
              <w:t>施工期间固体废弃物主要为施工人员的生活垃圾、施工过程中产生的施工垃圾等。生活垃圾产生量按每人</w:t>
            </w:r>
            <w:r>
              <w:rPr>
                <w:rFonts w:hint="default" w:ascii="Times New Roman" w:hAnsi="Times New Roman" w:eastAsia="宋体" w:cs="Times New Roman"/>
                <w:bCs/>
                <w:color w:val="auto"/>
                <w:spacing w:val="0"/>
                <w:sz w:val="24"/>
                <w:szCs w:val="24"/>
                <w:lang w:val="en-US" w:eastAsia="zh-CN"/>
              </w:rPr>
              <w:t>0.5kg/d</w:t>
            </w:r>
            <w:r>
              <w:rPr>
                <w:rFonts w:hint="eastAsia" w:ascii="Times New Roman" w:hAnsi="Times New Roman" w:eastAsia="宋体" w:cs="Times New Roman"/>
                <w:bCs/>
                <w:color w:val="auto"/>
                <w:spacing w:val="0"/>
                <w:sz w:val="24"/>
                <w:szCs w:val="24"/>
                <w:lang w:val="en-US" w:eastAsia="zh-CN"/>
              </w:rPr>
              <w:t>计，则施工人员生活垃圾量约为</w:t>
            </w:r>
            <w:r>
              <w:rPr>
                <w:rFonts w:hint="default" w:ascii="Times New Roman" w:hAnsi="Times New Roman" w:eastAsia="宋体" w:cs="Times New Roman"/>
                <w:bCs/>
                <w:color w:val="auto"/>
                <w:spacing w:val="0"/>
                <w:sz w:val="24"/>
                <w:szCs w:val="24"/>
                <w:lang w:val="en-US" w:eastAsia="zh-CN"/>
              </w:rPr>
              <w:t>15kg/d</w:t>
            </w:r>
            <w:r>
              <w:rPr>
                <w:rFonts w:hint="eastAsia" w:ascii="Times New Roman" w:hAnsi="Times New Roman" w:eastAsia="宋体" w:cs="Times New Roman"/>
                <w:bCs/>
                <w:color w:val="auto"/>
                <w:spacing w:val="0"/>
                <w:sz w:val="24"/>
                <w:szCs w:val="24"/>
                <w:lang w:val="en-US" w:eastAsia="zh-CN"/>
              </w:rPr>
              <w:t>，定点收集后由环卫部门运送至附近垃圾收集点。</w:t>
            </w:r>
          </w:p>
          <w:p w14:paraId="40EE399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pacing w:val="0"/>
                <w:sz w:val="24"/>
                <w:szCs w:val="24"/>
                <w:lang w:val="en-US" w:eastAsia="zh-CN"/>
              </w:rPr>
            </w:pPr>
            <w:r>
              <w:rPr>
                <w:rFonts w:hint="eastAsia" w:ascii="Times New Roman" w:hAnsi="Times New Roman" w:eastAsia="宋体" w:cs="Times New Roman"/>
                <w:bCs/>
                <w:color w:val="auto"/>
                <w:spacing w:val="0"/>
                <w:sz w:val="24"/>
                <w:szCs w:val="24"/>
                <w:lang w:val="en-US" w:eastAsia="zh-CN"/>
              </w:rPr>
              <w:t>建筑垃圾属一般固体废弃物，收集后交由有资质的单位进行处理或再利用。</w:t>
            </w:r>
          </w:p>
          <w:p w14:paraId="4570754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pacing w:val="0"/>
                <w:sz w:val="24"/>
                <w:szCs w:val="24"/>
                <w:lang w:val="en-US" w:eastAsia="zh-CN"/>
              </w:rPr>
            </w:pPr>
            <w:r>
              <w:rPr>
                <w:rFonts w:hint="eastAsia" w:ascii="Times New Roman" w:hAnsi="Times New Roman" w:eastAsia="宋体" w:cs="Times New Roman"/>
                <w:bCs/>
                <w:color w:val="auto"/>
                <w:spacing w:val="0"/>
                <w:sz w:val="24"/>
                <w:szCs w:val="24"/>
                <w:lang w:val="en-US" w:eastAsia="zh-CN"/>
              </w:rPr>
              <w:t>根据本项目设计资料，施工期挖方量全部用于回填，土石方平衡，不产生弃土，无外运土方。</w:t>
            </w:r>
          </w:p>
          <w:p w14:paraId="06F8EC9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pacing w:val="0"/>
                <w:sz w:val="24"/>
                <w:szCs w:val="24"/>
                <w:lang w:val="en-US" w:eastAsia="zh-CN"/>
              </w:rPr>
            </w:pPr>
            <w:r>
              <w:rPr>
                <w:rFonts w:hint="eastAsia" w:ascii="Times New Roman" w:hAnsi="Times New Roman" w:eastAsia="宋体" w:cs="Times New Roman"/>
                <w:bCs/>
                <w:color w:val="auto"/>
                <w:spacing w:val="0"/>
                <w:sz w:val="24"/>
                <w:szCs w:val="24"/>
                <w:lang w:val="en-US" w:eastAsia="zh-CN"/>
              </w:rPr>
              <w:t>施工期间的生活垃圾、建筑垃圾若不妥善处置则会污染环境而且破坏景观，还可能产生水土流失等生态环境影响。施工过程中的建筑垃圾和生活垃圾应分别收集堆放；生活垃圾分类收集后由环卫部门运送至附近垃圾收集点；施工垃圾（混凝土碎块、废弃钢筋、施工下脚料等）收集后交由有资质的单位进行处理或再利用。施工单位需加强管理，在采取相应环保措施的基础上，施工固废对周围环境影响很小。</w:t>
            </w:r>
          </w:p>
          <w:p w14:paraId="23D4A158">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5、防沙治沙治理措施</w:t>
            </w:r>
          </w:p>
          <w:p w14:paraId="3B576FE5">
            <w:pPr>
              <w:pStyle w:val="58"/>
              <w:bidi w:val="0"/>
              <w:rPr>
                <w:rFonts w:hint="default" w:ascii="Times New Roman" w:hAnsi="Times New Roman" w:eastAsia="宋体" w:cs="Times New Roman"/>
                <w:bCs/>
                <w:color w:val="auto"/>
                <w:spacing w:val="-10"/>
                <w:szCs w:val="21"/>
                <w:lang w:val="en-US" w:eastAsia="zh-CN"/>
              </w:rPr>
            </w:pPr>
            <w:r>
              <w:rPr>
                <w:rFonts w:hint="default" w:ascii="Times New Roman" w:hAnsi="Times New Roman" w:eastAsia="宋体" w:cs="Times New Roman"/>
                <w:color w:val="auto"/>
                <w:sz w:val="24"/>
                <w:szCs w:val="24"/>
                <w:lang w:val="en-US" w:eastAsia="zh-CN"/>
              </w:rPr>
              <w:t>根据《中华人民共和国防沙治沙法》（2018年10月26日修订）防沙治沙的要求，在施工期内，必须采取措施，严格控制裸露地面以及粗放式施工和地面开挖等可能造成土壤沙化的施工作业，减少土壤沙化趋势。</w:t>
            </w:r>
            <w:r>
              <w:rPr>
                <w:rFonts w:hint="default" w:ascii="Times New Roman" w:hAnsi="Times New Roman" w:cs="Times New Roman"/>
                <w:color w:val="auto"/>
                <w:sz w:val="24"/>
              </w:rPr>
              <w:t>工程建成后，对道路两侧环境绿化措施实施，项目占地的生态影响可得到一定补偿</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可有效控制项目建设区域土壤沙化的影响。</w:t>
            </w:r>
          </w:p>
        </w:tc>
      </w:tr>
      <w:tr w14:paraId="272AB9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81" w:hRule="atLeast"/>
          <w:jc w:val="center"/>
        </w:trPr>
        <w:tc>
          <w:tcPr>
            <w:tcW w:w="545" w:type="dxa"/>
            <w:tcBorders>
              <w:bottom w:val="single" w:color="auto" w:sz="4" w:space="0"/>
            </w:tcBorders>
            <w:noWrap w:val="0"/>
            <w:tcMar>
              <w:left w:w="28" w:type="dxa"/>
              <w:right w:w="28" w:type="dxa"/>
            </w:tcMar>
            <w:vAlign w:val="center"/>
          </w:tcPr>
          <w:p w14:paraId="2ABE1BAF">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运营</w:t>
            </w:r>
          </w:p>
          <w:p w14:paraId="62F2C9CB">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期环</w:t>
            </w:r>
          </w:p>
          <w:p w14:paraId="51FAEF50">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境影</w:t>
            </w:r>
          </w:p>
          <w:p w14:paraId="3F1E442B">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响和</w:t>
            </w:r>
          </w:p>
          <w:p w14:paraId="0C8EDB44">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保护</w:t>
            </w:r>
          </w:p>
          <w:p w14:paraId="5D14119A">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 w:val="24"/>
                <w:szCs w:val="24"/>
              </w:rPr>
              <w:t>措施</w:t>
            </w:r>
          </w:p>
        </w:tc>
        <w:tc>
          <w:tcPr>
            <w:tcW w:w="8436" w:type="dxa"/>
            <w:tcBorders>
              <w:bottom w:val="single" w:color="auto" w:sz="4" w:space="0"/>
            </w:tcBorders>
            <w:noWrap w:val="0"/>
            <w:vAlign w:val="center"/>
          </w:tcPr>
          <w:p w14:paraId="4D8FD6E7">
            <w:pPr>
              <w:spacing w:line="360" w:lineRule="auto"/>
              <w:ind w:firstLine="482" w:firstLineChars="200"/>
              <w:rPr>
                <w:rFonts w:hint="default" w:ascii="Times New Roman" w:hAnsi="Times New Roman" w:eastAsia="宋体" w:cs="Times New Roman"/>
                <w:b/>
                <w:bCs/>
                <w:caps w:val="0"/>
                <w:color w:val="auto"/>
                <w:sz w:val="24"/>
                <w:szCs w:val="24"/>
                <w:lang w:val="en-US"/>
              </w:rPr>
            </w:pPr>
            <w:r>
              <w:rPr>
                <w:rFonts w:hint="default" w:ascii="Times New Roman" w:hAnsi="Times New Roman" w:cs="Times New Roman"/>
                <w:b/>
                <w:bCs/>
                <w:caps w:val="0"/>
                <w:color w:val="auto"/>
                <w:sz w:val="24"/>
                <w:szCs w:val="24"/>
                <w:lang w:val="en-US" w:eastAsia="zh-CN"/>
              </w:rPr>
              <w:t>6</w:t>
            </w:r>
            <w:r>
              <w:rPr>
                <w:rFonts w:hint="default" w:ascii="Times New Roman" w:hAnsi="Times New Roman" w:eastAsia="宋体" w:cs="Times New Roman"/>
                <w:b/>
                <w:bCs/>
                <w:caps w:val="0"/>
                <w:color w:val="auto"/>
                <w:sz w:val="24"/>
                <w:szCs w:val="24"/>
                <w:lang w:eastAsia="zh-CN"/>
              </w:rPr>
              <w:t>、</w:t>
            </w:r>
            <w:r>
              <w:rPr>
                <w:rFonts w:hint="default" w:ascii="Times New Roman" w:hAnsi="Times New Roman" w:cs="Times New Roman"/>
                <w:b/>
                <w:bCs/>
                <w:caps w:val="0"/>
                <w:color w:val="auto"/>
                <w:sz w:val="24"/>
                <w:szCs w:val="24"/>
                <w:lang w:val="en-US" w:eastAsia="zh-CN"/>
              </w:rPr>
              <w:t>运营期大气环境影响分析</w:t>
            </w:r>
          </w:p>
          <w:p w14:paraId="3205E5CD">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aps w:val="0"/>
                <w:color w:val="auto"/>
                <w:sz w:val="24"/>
                <w:szCs w:val="24"/>
                <w:lang w:val="en-US" w:eastAsia="zh-CN"/>
              </w:rPr>
            </w:pPr>
            <w:r>
              <w:rPr>
                <w:rFonts w:hint="default" w:ascii="Times New Roman" w:hAnsi="Times New Roman" w:cs="Times New Roman"/>
                <w:b/>
                <w:bCs/>
                <w:caps w:val="0"/>
                <w:color w:val="auto"/>
                <w:sz w:val="24"/>
                <w:szCs w:val="24"/>
                <w:lang w:val="en-US" w:eastAsia="zh-CN"/>
              </w:rPr>
              <w:t>6</w:t>
            </w:r>
            <w:r>
              <w:rPr>
                <w:rFonts w:hint="default" w:ascii="Times New Roman" w:hAnsi="Times New Roman" w:eastAsia="宋体" w:cs="Times New Roman"/>
                <w:b/>
                <w:bCs/>
                <w:caps w:val="0"/>
                <w:color w:val="auto"/>
                <w:sz w:val="24"/>
                <w:szCs w:val="24"/>
                <w:lang w:val="en-US" w:eastAsia="zh-CN"/>
              </w:rPr>
              <w:t>.1</w:t>
            </w:r>
            <w:r>
              <w:rPr>
                <w:rFonts w:hint="default" w:ascii="Times New Roman" w:hAnsi="Times New Roman" w:eastAsia="宋体" w:cs="Times New Roman"/>
                <w:b/>
                <w:bCs/>
                <w:color w:val="auto"/>
                <w:kern w:val="0"/>
                <w:sz w:val="24"/>
                <w:szCs w:val="24"/>
                <w:lang w:val="en-US" w:eastAsia="zh-CN" w:bidi="ar"/>
              </w:rPr>
              <w:t>废气产排分析</w:t>
            </w:r>
          </w:p>
          <w:p w14:paraId="62EDFA83">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6.1.1 气体灌（充）装生产区废气</w:t>
            </w:r>
          </w:p>
          <w:p w14:paraId="6B4E3AD5">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kern w:val="0"/>
                <w:sz w:val="24"/>
                <w:szCs w:val="24"/>
                <w:lang w:val="en-US" w:eastAsia="zh-CN" w:bidi="ar"/>
              </w:rPr>
            </w:pPr>
            <w:r>
              <w:rPr>
                <w:rFonts w:hint="default" w:ascii="Times New Roman" w:hAnsi="Times New Roman" w:cs="Times New Roman"/>
                <w:b w:val="0"/>
                <w:bCs w:val="0"/>
                <w:color w:val="auto"/>
                <w:kern w:val="0"/>
                <w:sz w:val="24"/>
                <w:szCs w:val="24"/>
                <w:lang w:val="en-US" w:eastAsia="zh-CN" w:bidi="ar"/>
              </w:rPr>
              <w:t>本项目气体灌（充）装生产区运营期废气主要为</w:t>
            </w:r>
            <w:r>
              <w:rPr>
                <w:rFonts w:hint="default" w:ascii="Times New Roman" w:hAnsi="Times New Roman" w:eastAsia="宋体" w:cs="Times New Roman"/>
                <w:b w:val="0"/>
                <w:bCs w:val="0"/>
                <w:color w:val="auto"/>
                <w:kern w:val="0"/>
                <w:sz w:val="24"/>
                <w:szCs w:val="24"/>
                <w:lang w:val="en-US" w:eastAsia="zh-CN" w:bidi="ar"/>
              </w:rPr>
              <w:t>液化石油气</w:t>
            </w:r>
            <w:r>
              <w:rPr>
                <w:rFonts w:hint="default" w:ascii="Times New Roman" w:hAnsi="Times New Roman" w:cs="Times New Roman"/>
                <w:b w:val="0"/>
                <w:bCs w:val="0"/>
                <w:color w:val="auto"/>
                <w:kern w:val="0"/>
                <w:sz w:val="24"/>
                <w:szCs w:val="24"/>
                <w:lang w:val="en-US" w:eastAsia="zh-CN" w:bidi="ar"/>
              </w:rPr>
              <w:t>、丙烷</w:t>
            </w:r>
            <w:r>
              <w:rPr>
                <w:rFonts w:hint="default" w:ascii="Times New Roman" w:hAnsi="Times New Roman" w:eastAsia="宋体" w:cs="Times New Roman"/>
                <w:b w:val="0"/>
                <w:bCs w:val="0"/>
                <w:color w:val="auto"/>
                <w:kern w:val="0"/>
                <w:sz w:val="24"/>
                <w:szCs w:val="24"/>
                <w:lang w:val="en-US" w:eastAsia="zh-CN" w:bidi="ar"/>
              </w:rPr>
              <w:t>槽车卸车废气、储罐呼吸气废气</w:t>
            </w:r>
            <w:r>
              <w:rPr>
                <w:rFonts w:hint="default" w:ascii="Times New Roman" w:hAnsi="Times New Roman" w:cs="Times New Roman"/>
                <w:b w:val="0"/>
                <w:bCs w:val="0"/>
                <w:color w:val="auto"/>
                <w:kern w:val="0"/>
                <w:sz w:val="24"/>
                <w:szCs w:val="24"/>
                <w:lang w:val="en-US" w:eastAsia="zh-CN" w:bidi="ar"/>
              </w:rPr>
              <w:t>以及灌装废气，主要污染物为非甲烷总烃、臭气浓度</w:t>
            </w:r>
            <w:r>
              <w:rPr>
                <w:rFonts w:hint="default" w:ascii="Times New Roman" w:hAnsi="Times New Roman" w:eastAsia="宋体" w:cs="Times New Roman"/>
                <w:b w:val="0"/>
                <w:bCs w:val="0"/>
                <w:color w:val="auto"/>
                <w:kern w:val="0"/>
                <w:sz w:val="24"/>
                <w:szCs w:val="24"/>
                <w:lang w:val="en-US" w:eastAsia="zh-CN" w:bidi="ar"/>
              </w:rPr>
              <w:t>。</w:t>
            </w:r>
            <w:r>
              <w:rPr>
                <w:rFonts w:hint="default" w:ascii="Times New Roman" w:hAnsi="Times New Roman" w:cs="Times New Roman"/>
                <w:b w:val="0"/>
                <w:bCs w:val="0"/>
                <w:color w:val="auto"/>
                <w:kern w:val="0"/>
                <w:sz w:val="24"/>
                <w:szCs w:val="24"/>
                <w:lang w:val="en-US" w:eastAsia="zh-CN" w:bidi="ar"/>
              </w:rPr>
              <w:t>其他工业气体及医用氧气充装过程中不产生及排放废气污染物。</w:t>
            </w:r>
          </w:p>
          <w:p w14:paraId="329BD82D">
            <w:pPr>
              <w:keepNext w:val="0"/>
              <w:keepLines w:val="0"/>
              <w:pageBreakBefore w:val="0"/>
              <w:widowControl/>
              <w:numPr>
                <w:ilvl w:val="0"/>
                <w:numId w:val="14"/>
              </w:numPr>
              <w:suppressLineNumbers w:val="0"/>
              <w:kinsoku/>
              <w:wordWrap/>
              <w:overflowPunct/>
              <w:topLinePunct w:val="0"/>
              <w:autoSpaceDE/>
              <w:autoSpaceDN/>
              <w:bidi w:val="0"/>
              <w:adjustRightInd/>
              <w:snapToGrid/>
              <w:spacing w:line="360" w:lineRule="auto"/>
              <w:ind w:left="-62" w:leftChars="0" w:firstLine="482" w:firstLineChars="0"/>
              <w:jc w:val="left"/>
              <w:textAlignment w:val="auto"/>
              <w:rPr>
                <w:rFonts w:hint="default" w:ascii="Times New Roman" w:hAnsi="Times New Roman" w:cs="Times New Roman"/>
                <w:b/>
                <w:bCs/>
                <w:color w:val="auto"/>
                <w:lang w:val="en-US" w:eastAsia="zh-CN"/>
              </w:rPr>
            </w:pPr>
            <w:r>
              <w:rPr>
                <w:rFonts w:hint="default" w:ascii="Times New Roman" w:hAnsi="Times New Roman" w:eastAsia="宋体" w:cs="Times New Roman"/>
                <w:b/>
                <w:bCs/>
                <w:color w:val="auto"/>
                <w:kern w:val="0"/>
                <w:sz w:val="24"/>
                <w:szCs w:val="24"/>
                <w:lang w:val="en-US" w:eastAsia="zh-CN" w:bidi="ar"/>
              </w:rPr>
              <w:t>槽车卸车废气</w:t>
            </w:r>
          </w:p>
          <w:p w14:paraId="4715515B">
            <w:pPr>
              <w:spacing w:line="360" w:lineRule="auto"/>
              <w:ind w:firstLine="480" w:firstLineChars="200"/>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本项目液化石油气</w:t>
            </w:r>
            <w:r>
              <w:rPr>
                <w:rFonts w:hint="default" w:ascii="Times New Roman" w:hAnsi="Times New Roman" w:cs="Times New Roman"/>
                <w:color w:val="auto"/>
                <w:kern w:val="0"/>
                <w:sz w:val="24"/>
                <w:szCs w:val="22"/>
                <w:lang w:eastAsia="zh-CN"/>
              </w:rPr>
              <w:t>、</w:t>
            </w:r>
            <w:r>
              <w:rPr>
                <w:rFonts w:hint="default" w:ascii="Times New Roman" w:hAnsi="Times New Roman" w:cs="Times New Roman"/>
                <w:color w:val="auto"/>
                <w:kern w:val="0"/>
                <w:sz w:val="24"/>
                <w:szCs w:val="22"/>
                <w:lang w:val="en-US" w:eastAsia="zh-CN"/>
              </w:rPr>
              <w:t>丙烷</w:t>
            </w:r>
            <w:r>
              <w:rPr>
                <w:rFonts w:hint="default" w:ascii="Times New Roman" w:hAnsi="Times New Roman" w:cs="Times New Roman"/>
                <w:color w:val="auto"/>
                <w:kern w:val="0"/>
                <w:sz w:val="24"/>
                <w:szCs w:val="22"/>
              </w:rPr>
              <w:t>由槽车运至站区后，在装卸区通过液化石油气专用软管连接槽车和装卸台柱，启动压缩机把储罐内气体压入槽车内，槽车内液化石油气因压差而送至站内</w:t>
            </w:r>
            <w:r>
              <w:rPr>
                <w:rFonts w:hint="default" w:ascii="Times New Roman" w:hAnsi="Times New Roman" w:cs="Times New Roman"/>
                <w:color w:val="auto"/>
                <w:kern w:val="0"/>
                <w:sz w:val="24"/>
                <w:szCs w:val="22"/>
                <w:lang w:val="en-US" w:eastAsia="zh-CN"/>
              </w:rPr>
              <w:t>气体</w:t>
            </w:r>
            <w:r>
              <w:rPr>
                <w:rFonts w:hint="default" w:ascii="Times New Roman" w:hAnsi="Times New Roman" w:cs="Times New Roman"/>
                <w:color w:val="auto"/>
                <w:kern w:val="0"/>
                <w:sz w:val="24"/>
                <w:szCs w:val="22"/>
              </w:rPr>
              <w:t>储罐储存。采取的装卸方式为压缩机装卸法，其原理为利用压缩机抽吸和加压输出气体的性能，将需要灌装的储罐中的气相液化石油</w:t>
            </w:r>
            <w:r>
              <w:rPr>
                <w:rFonts w:hint="default" w:ascii="Times New Roman" w:hAnsi="Times New Roman" w:cs="Times New Roman"/>
                <w:color w:val="auto"/>
                <w:kern w:val="0"/>
                <w:sz w:val="24"/>
                <w:szCs w:val="22"/>
                <w:lang w:eastAsia="zh-CN"/>
              </w:rPr>
              <w:t>、</w:t>
            </w:r>
            <w:r>
              <w:rPr>
                <w:rFonts w:hint="default" w:ascii="Times New Roman" w:hAnsi="Times New Roman" w:cs="Times New Roman"/>
                <w:color w:val="auto"/>
                <w:kern w:val="0"/>
                <w:sz w:val="24"/>
                <w:szCs w:val="22"/>
                <w:lang w:val="en-US" w:eastAsia="zh-CN"/>
              </w:rPr>
              <w:t>丙烷</w:t>
            </w:r>
            <w:r>
              <w:rPr>
                <w:rFonts w:hint="default" w:ascii="Times New Roman" w:hAnsi="Times New Roman" w:cs="Times New Roman"/>
                <w:color w:val="auto"/>
                <w:kern w:val="0"/>
                <w:sz w:val="24"/>
                <w:szCs w:val="22"/>
              </w:rPr>
              <w:t>气通入压缩机的入口，经压缩升压后输送到准备卸液的槽车中，从而降低储罐的压力，提高槽罐车中的压力，使二者之间形成装卸所需的压差（0.2~0.3MPa），液态液化石油气</w:t>
            </w:r>
            <w:r>
              <w:rPr>
                <w:rFonts w:hint="default" w:ascii="Times New Roman" w:hAnsi="Times New Roman" w:cs="Times New Roman"/>
                <w:color w:val="auto"/>
                <w:kern w:val="0"/>
                <w:sz w:val="24"/>
                <w:szCs w:val="22"/>
                <w:lang w:eastAsia="zh-CN"/>
              </w:rPr>
              <w:t>、</w:t>
            </w:r>
            <w:r>
              <w:rPr>
                <w:rFonts w:hint="default" w:ascii="Times New Roman" w:hAnsi="Times New Roman" w:cs="Times New Roman"/>
                <w:color w:val="auto"/>
                <w:kern w:val="0"/>
                <w:sz w:val="24"/>
                <w:szCs w:val="22"/>
                <w:lang w:val="en-US" w:eastAsia="zh-CN"/>
              </w:rPr>
              <w:t>丙烷</w:t>
            </w:r>
            <w:r>
              <w:rPr>
                <w:rFonts w:hint="default" w:ascii="Times New Roman" w:hAnsi="Times New Roman" w:cs="Times New Roman"/>
                <w:color w:val="auto"/>
                <w:kern w:val="0"/>
                <w:sz w:val="24"/>
                <w:szCs w:val="22"/>
              </w:rPr>
              <w:t>便在压力差的作用下流进储罐，以达到装卸的目的。液化石油气</w:t>
            </w:r>
            <w:r>
              <w:rPr>
                <w:rFonts w:hint="default" w:ascii="Times New Roman" w:hAnsi="Times New Roman" w:cs="Times New Roman"/>
                <w:color w:val="auto"/>
                <w:kern w:val="0"/>
                <w:sz w:val="24"/>
                <w:szCs w:val="22"/>
                <w:lang w:eastAsia="zh-CN"/>
              </w:rPr>
              <w:t>、</w:t>
            </w:r>
            <w:r>
              <w:rPr>
                <w:rFonts w:hint="default" w:ascii="Times New Roman" w:hAnsi="Times New Roman" w:cs="Times New Roman"/>
                <w:color w:val="auto"/>
                <w:kern w:val="0"/>
                <w:sz w:val="24"/>
                <w:szCs w:val="22"/>
                <w:lang w:val="en-US" w:eastAsia="zh-CN"/>
              </w:rPr>
              <w:t>丙烷</w:t>
            </w:r>
            <w:r>
              <w:rPr>
                <w:rFonts w:hint="default" w:ascii="Times New Roman" w:hAnsi="Times New Roman" w:cs="Times New Roman"/>
                <w:color w:val="auto"/>
                <w:kern w:val="0"/>
                <w:sz w:val="24"/>
                <w:szCs w:val="22"/>
              </w:rPr>
              <w:t>装卸完毕后，要用压缩机将被卸空的槽罐车中的部分气态液化石油气</w:t>
            </w:r>
            <w:r>
              <w:rPr>
                <w:rFonts w:hint="default" w:ascii="Times New Roman" w:hAnsi="Times New Roman" w:cs="Times New Roman"/>
                <w:color w:val="auto"/>
                <w:kern w:val="0"/>
                <w:sz w:val="24"/>
                <w:szCs w:val="22"/>
                <w:lang w:eastAsia="zh-CN"/>
              </w:rPr>
              <w:t>、</w:t>
            </w:r>
            <w:r>
              <w:rPr>
                <w:rFonts w:hint="default" w:ascii="Times New Roman" w:hAnsi="Times New Roman" w:cs="Times New Roman"/>
                <w:color w:val="auto"/>
                <w:kern w:val="0"/>
                <w:sz w:val="24"/>
                <w:szCs w:val="22"/>
                <w:lang w:val="en-US" w:eastAsia="zh-CN"/>
              </w:rPr>
              <w:t>丙烷</w:t>
            </w:r>
            <w:r>
              <w:rPr>
                <w:rFonts w:hint="default" w:ascii="Times New Roman" w:hAnsi="Times New Roman" w:cs="Times New Roman"/>
                <w:color w:val="auto"/>
                <w:kern w:val="0"/>
                <w:sz w:val="24"/>
                <w:szCs w:val="22"/>
              </w:rPr>
              <w:t>抽回储罐。装卸废气产生环节为槽车将液体转存于液化气储罐的过程中及储罐泄压时产生的少量非甲烷总烃，其均为无组织排放。</w:t>
            </w:r>
          </w:p>
          <w:p w14:paraId="36AEAC63">
            <w:pPr>
              <w:spacing w:line="360" w:lineRule="auto"/>
              <w:ind w:firstLine="480" w:firstLineChars="200"/>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参考《易挥发有机气体的计算（固定顶储罐、浮顶罐呼吸损耗计算方法）》，计算公式估算其工作排放量：</w:t>
            </w:r>
          </w:p>
          <w:p w14:paraId="0CD95DD2">
            <w:pPr>
              <w:spacing w:line="360" w:lineRule="auto"/>
              <w:ind w:firstLine="480" w:firstLineChars="200"/>
              <w:jc w:val="center"/>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LW=4.188×10</w:t>
            </w:r>
            <w:r>
              <w:rPr>
                <w:rFonts w:hint="default" w:ascii="Times New Roman" w:hAnsi="Times New Roman" w:cs="Times New Roman"/>
                <w:color w:val="auto"/>
                <w:kern w:val="0"/>
                <w:sz w:val="24"/>
                <w:szCs w:val="22"/>
                <w:vertAlign w:val="superscript"/>
              </w:rPr>
              <w:t>-7</w:t>
            </w:r>
            <w:r>
              <w:rPr>
                <w:rFonts w:hint="default" w:ascii="Times New Roman" w:hAnsi="Times New Roman" w:cs="Times New Roman"/>
                <w:color w:val="auto"/>
                <w:kern w:val="0"/>
                <w:sz w:val="24"/>
                <w:szCs w:val="22"/>
              </w:rPr>
              <w:t>×M×P×KN×KC</w:t>
            </w:r>
          </w:p>
          <w:p w14:paraId="5B55B00B">
            <w:pPr>
              <w:spacing w:line="360" w:lineRule="auto"/>
              <w:ind w:firstLine="480" w:firstLineChars="200"/>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式中：LW—工作损失（kg/m</w:t>
            </w:r>
            <w:r>
              <w:rPr>
                <w:rFonts w:hint="default" w:ascii="Times New Roman" w:hAnsi="Times New Roman" w:cs="Times New Roman"/>
                <w:color w:val="auto"/>
                <w:kern w:val="0"/>
                <w:sz w:val="24"/>
                <w:szCs w:val="22"/>
                <w:vertAlign w:val="superscript"/>
              </w:rPr>
              <w:t>3</w:t>
            </w:r>
            <w:r>
              <w:rPr>
                <w:rFonts w:hint="default" w:ascii="Times New Roman" w:hAnsi="Times New Roman" w:cs="Times New Roman"/>
                <w:color w:val="auto"/>
                <w:kern w:val="0"/>
                <w:sz w:val="24"/>
                <w:szCs w:val="22"/>
              </w:rPr>
              <w:t>投入量）；</w:t>
            </w:r>
          </w:p>
          <w:p w14:paraId="76ABC04A">
            <w:pPr>
              <w:spacing w:line="360" w:lineRule="auto"/>
              <w:ind w:firstLine="480" w:firstLineChars="200"/>
              <w:rPr>
                <w:rFonts w:hint="default" w:ascii="Times New Roman" w:hAnsi="Times New Roman" w:eastAsia="宋体" w:cs="Times New Roman"/>
                <w:color w:val="auto"/>
                <w:kern w:val="0"/>
                <w:sz w:val="24"/>
                <w:szCs w:val="22"/>
                <w:lang w:val="en-US" w:eastAsia="zh-CN"/>
              </w:rPr>
            </w:pPr>
            <w:r>
              <w:rPr>
                <w:rFonts w:hint="default" w:ascii="Times New Roman" w:hAnsi="Times New Roman" w:cs="Times New Roman"/>
                <w:color w:val="auto"/>
                <w:kern w:val="0"/>
                <w:sz w:val="24"/>
                <w:szCs w:val="22"/>
              </w:rPr>
              <w:t>M—项目液化石油气主要成分是丙烷和丁烷，其分子量M=44.5；</w:t>
            </w:r>
            <w:r>
              <w:rPr>
                <w:rFonts w:hint="default" w:ascii="Times New Roman" w:hAnsi="Times New Roman" w:cs="Times New Roman"/>
                <w:color w:val="auto"/>
                <w:kern w:val="0"/>
                <w:sz w:val="24"/>
                <w:szCs w:val="22"/>
                <w:lang w:val="en-US" w:eastAsia="zh-CN"/>
              </w:rPr>
              <w:t>丙烷分子量</w:t>
            </w:r>
            <w:r>
              <w:rPr>
                <w:rFonts w:hint="default" w:ascii="Times New Roman" w:hAnsi="Times New Roman" w:cs="Times New Roman"/>
                <w:color w:val="auto"/>
                <w:kern w:val="0"/>
                <w:sz w:val="24"/>
                <w:szCs w:val="22"/>
              </w:rPr>
              <w:t>44.</w:t>
            </w:r>
            <w:r>
              <w:rPr>
                <w:rFonts w:hint="default" w:ascii="Times New Roman" w:hAnsi="Times New Roman" w:cs="Times New Roman"/>
                <w:color w:val="auto"/>
                <w:kern w:val="0"/>
                <w:sz w:val="24"/>
                <w:szCs w:val="22"/>
                <w:lang w:val="en-US" w:eastAsia="zh-CN"/>
              </w:rPr>
              <w:t>1；</w:t>
            </w:r>
          </w:p>
          <w:p w14:paraId="2C102CCB">
            <w:pPr>
              <w:spacing w:line="360" w:lineRule="auto"/>
              <w:ind w:firstLine="480" w:firstLineChars="200"/>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P—项目安全阀定压1.05P操作。取P=1050</w:t>
            </w:r>
            <w:r>
              <w:rPr>
                <w:rFonts w:hint="default" w:ascii="Times New Roman" w:hAnsi="Times New Roman" w:cs="Times New Roman"/>
                <w:color w:val="auto"/>
                <w:kern w:val="0"/>
                <w:sz w:val="24"/>
                <w:szCs w:val="22"/>
                <w:lang w:val="en-US" w:eastAsia="zh-CN"/>
              </w:rPr>
              <w:t>0</w:t>
            </w:r>
            <w:r>
              <w:rPr>
                <w:rFonts w:hint="default" w:ascii="Times New Roman" w:hAnsi="Times New Roman" w:cs="Times New Roman"/>
                <w:color w:val="auto"/>
                <w:kern w:val="0"/>
                <w:sz w:val="24"/>
                <w:szCs w:val="22"/>
              </w:rPr>
              <w:t>Pa；</w:t>
            </w:r>
          </w:p>
          <w:p w14:paraId="5AFCF1C2">
            <w:pPr>
              <w:spacing w:line="360" w:lineRule="auto"/>
              <w:ind w:firstLine="480" w:firstLineChars="200"/>
              <w:rPr>
                <w:rFonts w:hint="default" w:ascii="Times New Roman" w:hAnsi="Times New Roman" w:eastAsia="宋体" w:cs="Times New Roman"/>
                <w:color w:val="auto"/>
                <w:kern w:val="0"/>
                <w:sz w:val="24"/>
                <w:szCs w:val="22"/>
                <w:lang w:val="en-US" w:eastAsia="zh-CN"/>
              </w:rPr>
            </w:pPr>
            <w:r>
              <w:rPr>
                <w:rFonts w:hint="default" w:ascii="Times New Roman" w:hAnsi="Times New Roman" w:cs="Times New Roman"/>
                <w:color w:val="auto"/>
                <w:kern w:val="0"/>
                <w:sz w:val="24"/>
                <w:szCs w:val="22"/>
              </w:rPr>
              <w:t>KN—周转因子（</w:t>
            </w:r>
            <w:r>
              <w:rPr>
                <w:rFonts w:hint="default" w:ascii="Times New Roman" w:hAnsi="Times New Roman" w:cs="Times New Roman"/>
                <w:color w:val="auto"/>
                <w:kern w:val="0"/>
                <w:sz w:val="24"/>
                <w:szCs w:val="22"/>
                <w:lang w:val="en-US" w:eastAsia="zh-CN"/>
              </w:rPr>
              <w:t>无量纲</w:t>
            </w:r>
            <w:r>
              <w:rPr>
                <w:rFonts w:hint="default" w:ascii="Times New Roman" w:hAnsi="Times New Roman" w:cs="Times New Roman"/>
                <w:color w:val="auto"/>
                <w:kern w:val="0"/>
                <w:sz w:val="24"/>
                <w:szCs w:val="22"/>
              </w:rPr>
              <w:t>），取值按年周转次数（K）确定；（K≤36，KN=1；36≤K≤220，KN=11.467×K</w:t>
            </w:r>
            <w:r>
              <w:rPr>
                <w:rFonts w:hint="default" w:ascii="Times New Roman" w:hAnsi="Times New Roman" w:cs="Times New Roman"/>
                <w:color w:val="auto"/>
                <w:kern w:val="0"/>
                <w:sz w:val="24"/>
                <w:szCs w:val="22"/>
                <w:vertAlign w:val="superscript"/>
              </w:rPr>
              <w:t>-0.7026</w:t>
            </w:r>
            <w:r>
              <w:rPr>
                <w:rFonts w:hint="default" w:ascii="Times New Roman" w:hAnsi="Times New Roman" w:cs="Times New Roman"/>
                <w:color w:val="auto"/>
                <w:kern w:val="0"/>
                <w:sz w:val="24"/>
                <w:szCs w:val="22"/>
              </w:rPr>
              <w:t>；K≥220，KN=0.26）；项目</w:t>
            </w:r>
            <w:r>
              <w:rPr>
                <w:rFonts w:hint="default" w:ascii="Times New Roman" w:hAnsi="Times New Roman" w:cs="Times New Roman"/>
                <w:color w:val="auto"/>
                <w:kern w:val="0"/>
                <w:sz w:val="24"/>
                <w:szCs w:val="22"/>
                <w:lang w:val="en-US" w:eastAsia="zh-CN"/>
              </w:rPr>
              <w:t>液化石油气周转</w:t>
            </w:r>
            <w:r>
              <w:rPr>
                <w:rFonts w:hint="default" w:ascii="Times New Roman" w:hAnsi="Times New Roman" w:cs="Times New Roman"/>
                <w:color w:val="auto"/>
                <w:kern w:val="0"/>
                <w:sz w:val="24"/>
                <w:szCs w:val="22"/>
              </w:rPr>
              <w:t>次数约</w:t>
            </w:r>
            <w:r>
              <w:rPr>
                <w:rFonts w:hint="default" w:ascii="Times New Roman" w:hAnsi="Times New Roman" w:cs="Times New Roman"/>
                <w:color w:val="auto"/>
                <w:kern w:val="0"/>
                <w:sz w:val="24"/>
                <w:szCs w:val="22"/>
                <w:lang w:val="en-US" w:eastAsia="zh-CN"/>
              </w:rPr>
              <w:t>71</w:t>
            </w:r>
            <w:r>
              <w:rPr>
                <w:rFonts w:hint="default" w:ascii="Times New Roman" w:hAnsi="Times New Roman" w:cs="Times New Roman"/>
                <w:color w:val="auto"/>
                <w:kern w:val="0"/>
                <w:sz w:val="24"/>
                <w:szCs w:val="22"/>
              </w:rPr>
              <w:t>次/a，</w:t>
            </w:r>
            <w:r>
              <w:rPr>
                <w:rFonts w:hint="default" w:ascii="Times New Roman" w:hAnsi="Times New Roman" w:cs="Times New Roman"/>
                <w:color w:val="auto"/>
                <w:kern w:val="0"/>
                <w:sz w:val="24"/>
                <w:szCs w:val="22"/>
                <w:lang w:val="en-US" w:eastAsia="zh-CN"/>
              </w:rPr>
              <w:t>丙烷周转次数约8</w:t>
            </w:r>
            <w:r>
              <w:rPr>
                <w:rFonts w:hint="eastAsia" w:cs="Times New Roman"/>
                <w:color w:val="auto"/>
                <w:kern w:val="0"/>
                <w:sz w:val="24"/>
                <w:szCs w:val="22"/>
                <w:lang w:val="en-US" w:eastAsia="zh-CN"/>
              </w:rPr>
              <w:t>1</w:t>
            </w:r>
            <w:r>
              <w:rPr>
                <w:rFonts w:hint="default" w:ascii="Times New Roman" w:hAnsi="Times New Roman" w:cs="Times New Roman"/>
                <w:color w:val="auto"/>
                <w:kern w:val="0"/>
                <w:sz w:val="24"/>
                <w:szCs w:val="22"/>
              </w:rPr>
              <w:t>次/a</w:t>
            </w:r>
            <w:r>
              <w:rPr>
                <w:rFonts w:hint="default" w:ascii="Times New Roman" w:hAnsi="Times New Roman" w:cs="Times New Roman"/>
                <w:color w:val="auto"/>
                <w:kern w:val="0"/>
                <w:sz w:val="24"/>
                <w:szCs w:val="22"/>
                <w:lang w:val="en-US" w:eastAsia="zh-CN"/>
              </w:rPr>
              <w:t>，</w:t>
            </w:r>
            <w:r>
              <w:rPr>
                <w:rFonts w:hint="default" w:ascii="Times New Roman" w:hAnsi="Times New Roman" w:cs="Times New Roman"/>
                <w:color w:val="auto"/>
                <w:kern w:val="0"/>
                <w:sz w:val="24"/>
                <w:szCs w:val="22"/>
              </w:rPr>
              <w:t>取K值</w:t>
            </w:r>
            <w:r>
              <w:rPr>
                <w:rFonts w:hint="default" w:ascii="Times New Roman" w:hAnsi="Times New Roman" w:cs="Times New Roman"/>
                <w:color w:val="auto"/>
                <w:kern w:val="0"/>
                <w:sz w:val="24"/>
                <w:szCs w:val="22"/>
                <w:lang w:val="en-US" w:eastAsia="zh-CN"/>
              </w:rPr>
              <w:t>分别</w:t>
            </w:r>
            <w:r>
              <w:rPr>
                <w:rFonts w:hint="default" w:ascii="Times New Roman" w:hAnsi="Times New Roman" w:cs="Times New Roman"/>
                <w:color w:val="auto"/>
                <w:kern w:val="0"/>
                <w:sz w:val="24"/>
                <w:szCs w:val="22"/>
              </w:rPr>
              <w:t>为</w:t>
            </w:r>
            <w:r>
              <w:rPr>
                <w:rFonts w:hint="default" w:ascii="Times New Roman" w:hAnsi="Times New Roman" w:cs="Times New Roman"/>
                <w:color w:val="auto"/>
                <w:kern w:val="0"/>
                <w:sz w:val="24"/>
                <w:szCs w:val="22"/>
                <w:lang w:val="en-US" w:eastAsia="zh-CN"/>
              </w:rPr>
              <w:t>71</w:t>
            </w:r>
            <w:r>
              <w:rPr>
                <w:rFonts w:hint="default" w:ascii="Times New Roman" w:hAnsi="Times New Roman" w:cs="Times New Roman"/>
                <w:color w:val="auto"/>
                <w:kern w:val="0"/>
                <w:sz w:val="24"/>
                <w:szCs w:val="22"/>
              </w:rPr>
              <w:t>次</w:t>
            </w:r>
            <w:r>
              <w:rPr>
                <w:rFonts w:hint="default" w:ascii="Times New Roman" w:hAnsi="Times New Roman" w:cs="Times New Roman"/>
                <w:color w:val="auto"/>
                <w:kern w:val="0"/>
                <w:sz w:val="24"/>
                <w:szCs w:val="22"/>
                <w:lang w:eastAsia="zh-CN"/>
              </w:rPr>
              <w:t>、</w:t>
            </w:r>
            <w:r>
              <w:rPr>
                <w:rFonts w:hint="default" w:ascii="Times New Roman" w:hAnsi="Times New Roman" w:cs="Times New Roman"/>
                <w:color w:val="auto"/>
                <w:kern w:val="0"/>
                <w:sz w:val="24"/>
                <w:szCs w:val="22"/>
                <w:lang w:val="en-US" w:eastAsia="zh-CN"/>
              </w:rPr>
              <w:t>8</w:t>
            </w:r>
            <w:r>
              <w:rPr>
                <w:rFonts w:hint="eastAsia" w:cs="Times New Roman"/>
                <w:color w:val="auto"/>
                <w:kern w:val="0"/>
                <w:sz w:val="24"/>
                <w:szCs w:val="22"/>
                <w:lang w:val="en-US" w:eastAsia="zh-CN"/>
              </w:rPr>
              <w:t>1</w:t>
            </w:r>
            <w:r>
              <w:rPr>
                <w:rFonts w:hint="default" w:ascii="Times New Roman" w:hAnsi="Times New Roman" w:cs="Times New Roman"/>
                <w:color w:val="auto"/>
                <w:kern w:val="0"/>
                <w:sz w:val="24"/>
                <w:szCs w:val="22"/>
                <w:lang w:val="en-US" w:eastAsia="zh-CN"/>
              </w:rPr>
              <w:t>次</w:t>
            </w:r>
            <w:r>
              <w:rPr>
                <w:rFonts w:hint="default" w:ascii="Times New Roman" w:hAnsi="Times New Roman" w:cs="Times New Roman"/>
                <w:color w:val="auto"/>
                <w:kern w:val="0"/>
                <w:sz w:val="24"/>
                <w:szCs w:val="22"/>
              </w:rPr>
              <w:t>；</w:t>
            </w:r>
            <w:r>
              <w:rPr>
                <w:rFonts w:hint="default" w:ascii="Times New Roman" w:hAnsi="Times New Roman" w:cs="Times New Roman"/>
                <w:color w:val="auto"/>
                <w:kern w:val="0"/>
                <w:sz w:val="24"/>
                <w:szCs w:val="22"/>
                <w:lang w:val="en-US" w:eastAsia="zh-CN"/>
              </w:rPr>
              <w:t>KN计算结果如下表所示；</w:t>
            </w:r>
          </w:p>
          <w:p w14:paraId="41ACC89C">
            <w:pPr>
              <w:spacing w:line="360" w:lineRule="auto"/>
              <w:ind w:firstLine="480" w:firstLineChars="200"/>
              <w:rPr>
                <w:rFonts w:hint="default" w:ascii="Times New Roman" w:hAnsi="Times New Roman" w:cs="Times New Roman"/>
                <w:color w:val="auto"/>
                <w:kern w:val="0"/>
                <w:sz w:val="24"/>
                <w:szCs w:val="22"/>
              </w:rPr>
            </w:pPr>
            <w:r>
              <w:rPr>
                <w:rFonts w:hint="default" w:ascii="Times New Roman" w:hAnsi="Times New Roman" w:cs="Times New Roman"/>
                <w:color w:val="auto"/>
                <w:kern w:val="0"/>
                <w:sz w:val="24"/>
                <w:szCs w:val="22"/>
              </w:rPr>
              <w:t>KC</w:t>
            </w:r>
            <w:r>
              <w:rPr>
                <w:rFonts w:hint="default" w:ascii="Times New Roman" w:hAnsi="Times New Roman" w:cs="Times New Roman"/>
                <w:color w:val="auto"/>
                <w:kern w:val="0"/>
                <w:sz w:val="24"/>
                <w:szCs w:val="22"/>
                <w:lang w:eastAsia="zh-CN"/>
              </w:rPr>
              <w:t>—</w:t>
            </w:r>
            <w:r>
              <w:rPr>
                <w:rFonts w:hint="default" w:ascii="Times New Roman" w:hAnsi="Times New Roman" w:cs="Times New Roman"/>
                <w:color w:val="auto"/>
                <w:kern w:val="0"/>
                <w:sz w:val="24"/>
                <w:szCs w:val="22"/>
              </w:rPr>
              <w:t>产品因子取1；</w:t>
            </w:r>
          </w:p>
          <w:p w14:paraId="56C7037E">
            <w:pPr>
              <w:spacing w:line="360" w:lineRule="auto"/>
              <w:ind w:firstLine="482" w:firstLineChars="200"/>
              <w:jc w:val="center"/>
              <w:rPr>
                <w:rFonts w:hint="default" w:ascii="Times New Roman" w:hAnsi="Times New Roman" w:eastAsia="宋体" w:cs="Times New Roman"/>
                <w:b/>
                <w:bCs/>
                <w:color w:val="auto"/>
                <w:kern w:val="0"/>
                <w:sz w:val="24"/>
                <w:szCs w:val="22"/>
                <w:lang w:val="en-US" w:eastAsia="zh-CN"/>
              </w:rPr>
            </w:pPr>
            <w:r>
              <w:rPr>
                <w:rFonts w:hint="default" w:ascii="Times New Roman" w:hAnsi="Times New Roman" w:cs="Times New Roman"/>
                <w:b/>
                <w:bCs/>
                <w:color w:val="auto"/>
                <w:kern w:val="0"/>
                <w:sz w:val="24"/>
                <w:szCs w:val="22"/>
                <w:lang w:val="en-US" w:eastAsia="zh-CN"/>
              </w:rPr>
              <w:t xml:space="preserve">表4.6-1  </w:t>
            </w:r>
            <w:r>
              <w:rPr>
                <w:rFonts w:hint="default" w:ascii="Times New Roman" w:hAnsi="Times New Roman" w:eastAsia="宋体" w:cs="Times New Roman"/>
                <w:b/>
                <w:bCs/>
                <w:color w:val="auto"/>
                <w:kern w:val="0"/>
                <w:sz w:val="24"/>
                <w:szCs w:val="24"/>
                <w:lang w:val="en-US" w:eastAsia="zh-CN" w:bidi="ar"/>
              </w:rPr>
              <w:t>槽车卸车废气</w:t>
            </w:r>
            <w:r>
              <w:rPr>
                <w:rFonts w:hint="default" w:ascii="Times New Roman" w:hAnsi="Times New Roman" w:cs="Times New Roman"/>
                <w:b/>
                <w:bCs/>
                <w:color w:val="auto"/>
                <w:kern w:val="0"/>
                <w:sz w:val="24"/>
                <w:szCs w:val="24"/>
                <w:lang w:val="en-US" w:eastAsia="zh-CN" w:bidi="ar"/>
              </w:rPr>
              <w:t>产生量系数计算</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5"/>
              <w:gridCol w:w="1554"/>
              <w:gridCol w:w="815"/>
              <w:gridCol w:w="973"/>
              <w:gridCol w:w="831"/>
              <w:gridCol w:w="583"/>
              <w:gridCol w:w="1396"/>
            </w:tblGrid>
            <w:tr w14:paraId="10A3F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pct"/>
                  <w:vAlign w:val="center"/>
                </w:tcPr>
                <w:p w14:paraId="775691E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污染源</w:t>
                  </w:r>
                </w:p>
              </w:tc>
              <w:tc>
                <w:tcPr>
                  <w:tcW w:w="946" w:type="pct"/>
                  <w:vAlign w:val="center"/>
                </w:tcPr>
                <w:p w14:paraId="05E5526D">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污染物</w:t>
                  </w:r>
                </w:p>
              </w:tc>
              <w:tc>
                <w:tcPr>
                  <w:tcW w:w="496" w:type="pct"/>
                  <w:vAlign w:val="center"/>
                </w:tcPr>
                <w:p w14:paraId="2E8FFE5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M</w:t>
                  </w:r>
                </w:p>
              </w:tc>
              <w:tc>
                <w:tcPr>
                  <w:tcW w:w="592" w:type="pct"/>
                  <w:vAlign w:val="center"/>
                </w:tcPr>
                <w:p w14:paraId="21F65E0D">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P（Pa）</w:t>
                  </w:r>
                </w:p>
              </w:tc>
              <w:tc>
                <w:tcPr>
                  <w:tcW w:w="506" w:type="pct"/>
                  <w:vAlign w:val="center"/>
                </w:tcPr>
                <w:p w14:paraId="1D5B232D">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KN</w:t>
                  </w:r>
                </w:p>
              </w:tc>
              <w:tc>
                <w:tcPr>
                  <w:tcW w:w="355" w:type="pct"/>
                  <w:vAlign w:val="center"/>
                </w:tcPr>
                <w:p w14:paraId="5F8B074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KC</w:t>
                  </w:r>
                </w:p>
              </w:tc>
              <w:tc>
                <w:tcPr>
                  <w:tcW w:w="850" w:type="pct"/>
                  <w:vAlign w:val="center"/>
                </w:tcPr>
                <w:p w14:paraId="490BDD6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Lw</w:t>
                  </w:r>
                </w:p>
                <w:p w14:paraId="16F89AD9">
                  <w:pPr>
                    <w:pStyle w:val="40"/>
                    <w:bidi w:val="0"/>
                    <w:jc w:val="center"/>
                    <w:rPr>
                      <w:rFonts w:hint="default" w:ascii="Times New Roman" w:hAnsi="Times New Roman" w:cs="Times New Roman"/>
                      <w:lang w:val="en-US" w:eastAsia="zh-CN"/>
                    </w:rPr>
                  </w:pPr>
                  <w:r>
                    <w:rPr>
                      <w:rFonts w:hint="default" w:ascii="Times New Roman" w:hAnsi="Times New Roman" w:cs="Times New Roman"/>
                      <w:color w:val="auto"/>
                      <w:kern w:val="0"/>
                      <w:sz w:val="21"/>
                      <w:szCs w:val="21"/>
                    </w:rPr>
                    <w:t>（kg/m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投入量）</w:t>
                  </w:r>
                </w:p>
              </w:tc>
            </w:tr>
            <w:tr w14:paraId="7F06C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pct"/>
                  <w:vAlign w:val="center"/>
                </w:tcPr>
                <w:p w14:paraId="0CE0F7F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液化石油气槽车卸车废气</w:t>
                  </w:r>
                </w:p>
              </w:tc>
              <w:tc>
                <w:tcPr>
                  <w:tcW w:w="946" w:type="pct"/>
                  <w:vAlign w:val="center"/>
                </w:tcPr>
                <w:p w14:paraId="27948A3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非甲烷总烃</w:t>
                  </w:r>
                </w:p>
              </w:tc>
              <w:tc>
                <w:tcPr>
                  <w:tcW w:w="496" w:type="pct"/>
                  <w:vAlign w:val="center"/>
                </w:tcPr>
                <w:p w14:paraId="7A8F9390">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44.5</w:t>
                  </w:r>
                </w:p>
              </w:tc>
              <w:tc>
                <w:tcPr>
                  <w:tcW w:w="592" w:type="pct"/>
                  <w:vAlign w:val="center"/>
                </w:tcPr>
                <w:p w14:paraId="182012FF">
                  <w:pPr>
                    <w:pStyle w:val="40"/>
                    <w:bidi w:val="0"/>
                    <w:jc w:val="center"/>
                    <w:rPr>
                      <w:rFonts w:hint="default" w:ascii="Times New Roman" w:hAnsi="Times New Roman" w:cs="Times New Roman"/>
                    </w:rPr>
                  </w:pPr>
                  <w:r>
                    <w:rPr>
                      <w:rFonts w:hint="default" w:ascii="Times New Roman" w:hAnsi="Times New Roman" w:cs="Times New Roman"/>
                    </w:rPr>
                    <w:t>1050</w:t>
                  </w:r>
                  <w:r>
                    <w:rPr>
                      <w:rFonts w:hint="default" w:ascii="Times New Roman" w:hAnsi="Times New Roman" w:cs="Times New Roman"/>
                      <w:lang w:val="en-US" w:eastAsia="zh-CN"/>
                    </w:rPr>
                    <w:t>0</w:t>
                  </w:r>
                </w:p>
              </w:tc>
              <w:tc>
                <w:tcPr>
                  <w:tcW w:w="506" w:type="pct"/>
                  <w:vAlign w:val="center"/>
                </w:tcPr>
                <w:p w14:paraId="1F560C7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0.57</w:t>
                  </w:r>
                </w:p>
              </w:tc>
              <w:tc>
                <w:tcPr>
                  <w:tcW w:w="355" w:type="pct"/>
                  <w:vAlign w:val="center"/>
                </w:tcPr>
                <w:p w14:paraId="2FC649AB">
                  <w:pPr>
                    <w:pStyle w:val="40"/>
                    <w:bidi w:val="0"/>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1</w:t>
                  </w:r>
                </w:p>
              </w:tc>
              <w:tc>
                <w:tcPr>
                  <w:tcW w:w="1337" w:type="dxa"/>
                  <w:vAlign w:val="center"/>
                </w:tcPr>
                <w:p w14:paraId="1FA50900">
                  <w:pPr>
                    <w:keepNext w:val="0"/>
                    <w:keepLines w:val="0"/>
                    <w:widowControl/>
                    <w:suppressLineNumbers w:val="0"/>
                    <w:jc w:val="center"/>
                    <w:textAlignment w:val="center"/>
                    <w:rPr>
                      <w:rFonts w:hint="default" w:ascii="Times New Roman" w:hAnsi="Times New Roman" w:cs="Times New Roman"/>
                    </w:rPr>
                  </w:pPr>
                  <w:r>
                    <w:rPr>
                      <w:rFonts w:hint="default" w:ascii="Times New Roman" w:hAnsi="Times New Roman" w:eastAsia="宋体" w:cs="Times New Roman"/>
                      <w:i w:val="0"/>
                      <w:iCs w:val="0"/>
                      <w:color w:val="000000"/>
                      <w:kern w:val="0"/>
                      <w:sz w:val="21"/>
                      <w:szCs w:val="21"/>
                      <w:u w:val="none"/>
                      <w:lang w:val="en-US" w:eastAsia="zh-CN" w:bidi="ar"/>
                    </w:rPr>
                    <w:t>0.112</w:t>
                  </w:r>
                </w:p>
              </w:tc>
            </w:tr>
            <w:tr w14:paraId="7E686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1" w:type="pct"/>
                  <w:vAlign w:val="center"/>
                </w:tcPr>
                <w:p w14:paraId="7E8B8904">
                  <w:pPr>
                    <w:pStyle w:val="40"/>
                    <w:bidi w:val="0"/>
                    <w:jc w:val="center"/>
                    <w:rPr>
                      <w:rFonts w:hint="default" w:ascii="Times New Roman" w:hAnsi="Times New Roman" w:cs="Times New Roman"/>
                    </w:rPr>
                  </w:pPr>
                  <w:r>
                    <w:rPr>
                      <w:rFonts w:hint="default" w:ascii="Times New Roman" w:hAnsi="Times New Roman" w:cs="Times New Roman"/>
                      <w:lang w:val="en-US" w:eastAsia="zh-CN"/>
                    </w:rPr>
                    <w:t>丙烷槽车卸车废气</w:t>
                  </w:r>
                </w:p>
              </w:tc>
              <w:tc>
                <w:tcPr>
                  <w:tcW w:w="946" w:type="pct"/>
                  <w:vAlign w:val="center"/>
                </w:tcPr>
                <w:p w14:paraId="1CF5FD17">
                  <w:pPr>
                    <w:pStyle w:val="40"/>
                    <w:bidi w:val="0"/>
                    <w:jc w:val="center"/>
                    <w:rPr>
                      <w:rFonts w:hint="default" w:ascii="Times New Roman" w:hAnsi="Times New Roman" w:cs="Times New Roman"/>
                    </w:rPr>
                  </w:pPr>
                  <w:r>
                    <w:rPr>
                      <w:rFonts w:hint="default" w:ascii="Times New Roman" w:hAnsi="Times New Roman" w:cs="Times New Roman"/>
                      <w:lang w:val="en-US" w:eastAsia="zh-CN"/>
                    </w:rPr>
                    <w:t>非甲烷总烃</w:t>
                  </w:r>
                </w:p>
              </w:tc>
              <w:tc>
                <w:tcPr>
                  <w:tcW w:w="496" w:type="pct"/>
                  <w:vAlign w:val="center"/>
                </w:tcPr>
                <w:p w14:paraId="1843CF7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44.1</w:t>
                  </w:r>
                </w:p>
              </w:tc>
              <w:tc>
                <w:tcPr>
                  <w:tcW w:w="592" w:type="pct"/>
                  <w:vAlign w:val="center"/>
                </w:tcPr>
                <w:p w14:paraId="74055D12">
                  <w:pPr>
                    <w:pStyle w:val="40"/>
                    <w:bidi w:val="0"/>
                    <w:jc w:val="center"/>
                    <w:rPr>
                      <w:rFonts w:hint="default" w:ascii="Times New Roman" w:hAnsi="Times New Roman" w:cs="Times New Roman"/>
                    </w:rPr>
                  </w:pPr>
                  <w:r>
                    <w:rPr>
                      <w:rFonts w:hint="default" w:ascii="Times New Roman" w:hAnsi="Times New Roman" w:cs="Times New Roman"/>
                    </w:rPr>
                    <w:t>1050</w:t>
                  </w:r>
                  <w:r>
                    <w:rPr>
                      <w:rFonts w:hint="default" w:ascii="Times New Roman" w:hAnsi="Times New Roman" w:cs="Times New Roman"/>
                      <w:lang w:val="en-US" w:eastAsia="zh-CN"/>
                    </w:rPr>
                    <w:t>0</w:t>
                  </w:r>
                </w:p>
              </w:tc>
              <w:tc>
                <w:tcPr>
                  <w:tcW w:w="506" w:type="pct"/>
                  <w:vAlign w:val="center"/>
                </w:tcPr>
                <w:p w14:paraId="60D2B70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0.52</w:t>
                  </w:r>
                </w:p>
              </w:tc>
              <w:tc>
                <w:tcPr>
                  <w:tcW w:w="355" w:type="pct"/>
                  <w:vAlign w:val="center"/>
                </w:tcPr>
                <w:p w14:paraId="6D4D6E12">
                  <w:pPr>
                    <w:pStyle w:val="40"/>
                    <w:bidi w:val="0"/>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1</w:t>
                  </w:r>
                </w:p>
              </w:tc>
              <w:tc>
                <w:tcPr>
                  <w:tcW w:w="1337" w:type="dxa"/>
                  <w:vAlign w:val="center"/>
                </w:tcPr>
                <w:p w14:paraId="2320AF73">
                  <w:pPr>
                    <w:keepNext w:val="0"/>
                    <w:keepLines w:val="0"/>
                    <w:widowControl/>
                    <w:suppressLineNumbers w:val="0"/>
                    <w:jc w:val="center"/>
                    <w:textAlignment w:val="center"/>
                    <w:rPr>
                      <w:rFonts w:hint="default" w:ascii="Times New Roman" w:hAnsi="Times New Roman" w:cs="Times New Roman"/>
                    </w:rPr>
                  </w:pPr>
                  <w:r>
                    <w:rPr>
                      <w:rFonts w:hint="default" w:ascii="Times New Roman" w:hAnsi="Times New Roman" w:eastAsia="宋体" w:cs="Times New Roman"/>
                      <w:i w:val="0"/>
                      <w:iCs w:val="0"/>
                      <w:color w:val="000000"/>
                      <w:kern w:val="0"/>
                      <w:sz w:val="21"/>
                      <w:szCs w:val="21"/>
                      <w:u w:val="none"/>
                      <w:lang w:val="en-US" w:eastAsia="zh-CN" w:bidi="ar"/>
                    </w:rPr>
                    <w:t>0.101</w:t>
                  </w:r>
                </w:p>
              </w:tc>
            </w:tr>
          </w:tbl>
          <w:p w14:paraId="79644530">
            <w:pPr>
              <w:spacing w:line="360" w:lineRule="auto"/>
              <w:rPr>
                <w:rFonts w:hint="default" w:ascii="Times New Roman" w:hAnsi="Times New Roman" w:cs="Times New Roman"/>
                <w:color w:val="auto"/>
                <w:kern w:val="0"/>
                <w:sz w:val="24"/>
                <w:szCs w:val="22"/>
              </w:rPr>
            </w:pPr>
          </w:p>
          <w:p w14:paraId="71AA1A3B">
            <w:pPr>
              <w:spacing w:line="360" w:lineRule="auto"/>
              <w:ind w:firstLine="482" w:firstLineChars="200"/>
              <w:jc w:val="center"/>
              <w:rPr>
                <w:rFonts w:hint="default" w:ascii="Times New Roman" w:hAnsi="Times New Roman" w:eastAsia="宋体" w:cs="Times New Roman"/>
                <w:b/>
                <w:bCs/>
                <w:color w:val="auto"/>
                <w:kern w:val="0"/>
                <w:sz w:val="24"/>
                <w:szCs w:val="22"/>
                <w:lang w:val="en-US" w:eastAsia="zh-CN"/>
              </w:rPr>
            </w:pPr>
            <w:r>
              <w:rPr>
                <w:rFonts w:hint="default" w:ascii="Times New Roman" w:hAnsi="Times New Roman" w:cs="Times New Roman"/>
                <w:b/>
                <w:bCs/>
                <w:color w:val="auto"/>
                <w:kern w:val="0"/>
                <w:sz w:val="24"/>
                <w:szCs w:val="22"/>
                <w:lang w:val="en-US" w:eastAsia="zh-CN"/>
              </w:rPr>
              <w:t xml:space="preserve">表4.6-2  </w:t>
            </w:r>
            <w:r>
              <w:rPr>
                <w:rFonts w:hint="default" w:ascii="Times New Roman" w:hAnsi="Times New Roman" w:eastAsia="宋体" w:cs="Times New Roman"/>
                <w:b/>
                <w:bCs/>
                <w:color w:val="auto"/>
                <w:kern w:val="0"/>
                <w:sz w:val="24"/>
                <w:szCs w:val="24"/>
                <w:lang w:val="en-US" w:eastAsia="zh-CN" w:bidi="ar"/>
              </w:rPr>
              <w:t>槽车卸车废气</w:t>
            </w:r>
            <w:r>
              <w:rPr>
                <w:rFonts w:hint="default" w:ascii="Times New Roman" w:hAnsi="Times New Roman" w:cs="Times New Roman"/>
                <w:b/>
                <w:bCs/>
                <w:color w:val="auto"/>
                <w:kern w:val="0"/>
                <w:sz w:val="24"/>
                <w:szCs w:val="24"/>
                <w:lang w:val="en-US" w:eastAsia="zh-CN" w:bidi="ar"/>
              </w:rPr>
              <w:t>产生量计算</w:t>
            </w:r>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2"/>
              <w:gridCol w:w="1352"/>
              <w:gridCol w:w="949"/>
              <w:gridCol w:w="1123"/>
              <w:gridCol w:w="828"/>
              <w:gridCol w:w="1051"/>
              <w:gridCol w:w="1020"/>
            </w:tblGrid>
            <w:tr w14:paraId="481C8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pct"/>
                  <w:vAlign w:val="center"/>
                </w:tcPr>
                <w:p w14:paraId="4809C049">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污染源</w:t>
                  </w:r>
                </w:p>
              </w:tc>
              <w:tc>
                <w:tcPr>
                  <w:tcW w:w="823" w:type="pct"/>
                  <w:vAlign w:val="center"/>
                </w:tcPr>
                <w:p w14:paraId="54E4B375">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污染物</w:t>
                  </w:r>
                </w:p>
              </w:tc>
              <w:tc>
                <w:tcPr>
                  <w:tcW w:w="578" w:type="pct"/>
                  <w:vAlign w:val="center"/>
                </w:tcPr>
                <w:p w14:paraId="20F7B6D9">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Lw</w:t>
                  </w:r>
                </w:p>
                <w:p w14:paraId="18E7D514">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color w:val="auto"/>
                      <w:kern w:val="0"/>
                      <w:sz w:val="21"/>
                      <w:szCs w:val="21"/>
                    </w:rPr>
                    <w:t>（kg/m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color w:val="auto"/>
                      <w:kern w:val="0"/>
                      <w:sz w:val="21"/>
                      <w:szCs w:val="21"/>
                    </w:rPr>
                    <w:t>投入量）</w:t>
                  </w:r>
                </w:p>
              </w:tc>
              <w:tc>
                <w:tcPr>
                  <w:tcW w:w="684" w:type="pct"/>
                  <w:vAlign w:val="center"/>
                </w:tcPr>
                <w:p w14:paraId="38E34D8A">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物质密度（</w:t>
                  </w:r>
                  <w:r>
                    <w:rPr>
                      <w:rFonts w:hint="default" w:ascii="Times New Roman" w:hAnsi="Times New Roman" w:cs="Times New Roman"/>
                      <w:color w:val="auto"/>
                      <w:kern w:val="0"/>
                      <w:sz w:val="21"/>
                      <w:szCs w:val="21"/>
                    </w:rPr>
                    <w:t>kg/m</w:t>
                  </w:r>
                  <w:r>
                    <w:rPr>
                      <w:rFonts w:hint="default" w:ascii="Times New Roman" w:hAnsi="Times New Roman" w:cs="Times New Roman"/>
                      <w:color w:val="auto"/>
                      <w:kern w:val="0"/>
                      <w:sz w:val="21"/>
                      <w:szCs w:val="21"/>
                      <w:vertAlign w:val="superscript"/>
                    </w:rPr>
                    <w:t>3</w:t>
                  </w:r>
                  <w:r>
                    <w:rPr>
                      <w:rFonts w:hint="default" w:ascii="Times New Roman" w:hAnsi="Times New Roman" w:cs="Times New Roman"/>
                      <w:sz w:val="21"/>
                      <w:szCs w:val="21"/>
                      <w:lang w:val="en-US" w:eastAsia="zh-CN"/>
                    </w:rPr>
                    <w:t>）</w:t>
                  </w:r>
                </w:p>
              </w:tc>
              <w:tc>
                <w:tcPr>
                  <w:tcW w:w="504" w:type="pct"/>
                  <w:vAlign w:val="center"/>
                </w:tcPr>
                <w:p w14:paraId="629C50BA">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卸车量（t/a）</w:t>
                  </w:r>
                </w:p>
              </w:tc>
              <w:tc>
                <w:tcPr>
                  <w:tcW w:w="640" w:type="pct"/>
                  <w:vAlign w:val="center"/>
                </w:tcPr>
                <w:p w14:paraId="34C76700">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污染物排放量（t/a）</w:t>
                  </w:r>
                </w:p>
              </w:tc>
              <w:tc>
                <w:tcPr>
                  <w:tcW w:w="621" w:type="pct"/>
                  <w:vAlign w:val="center"/>
                </w:tcPr>
                <w:p w14:paraId="636B74F0">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排放形式</w:t>
                  </w:r>
                </w:p>
              </w:tc>
            </w:tr>
            <w:tr w14:paraId="369A3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pct"/>
                  <w:vAlign w:val="center"/>
                </w:tcPr>
                <w:p w14:paraId="1CD5893F">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液化石油气槽车卸车废气</w:t>
                  </w:r>
                </w:p>
              </w:tc>
              <w:tc>
                <w:tcPr>
                  <w:tcW w:w="823" w:type="pct"/>
                  <w:vAlign w:val="center"/>
                </w:tcPr>
                <w:p w14:paraId="2C59435C">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非甲烷总烃</w:t>
                  </w:r>
                </w:p>
              </w:tc>
              <w:tc>
                <w:tcPr>
                  <w:tcW w:w="578" w:type="pct"/>
                  <w:vAlign w:val="center"/>
                </w:tcPr>
                <w:p w14:paraId="663315BD">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 xml:space="preserve">0.112 </w:t>
                  </w:r>
                </w:p>
              </w:tc>
              <w:tc>
                <w:tcPr>
                  <w:tcW w:w="684" w:type="pct"/>
                  <w:vAlign w:val="center"/>
                </w:tcPr>
                <w:p w14:paraId="329936B0">
                  <w:pPr>
                    <w:pStyle w:val="40"/>
                    <w:bidi w:val="0"/>
                    <w:rPr>
                      <w:rFonts w:hint="default" w:ascii="Times New Roman" w:hAnsi="Times New Roman" w:cs="Times New Roman"/>
                    </w:rPr>
                  </w:pPr>
                  <w:r>
                    <w:rPr>
                      <w:rFonts w:hint="default" w:ascii="Times New Roman" w:hAnsi="Times New Roman" w:cs="Times New Roman"/>
                      <w:lang w:val="en-US" w:eastAsia="zh-CN"/>
                    </w:rPr>
                    <w:t>580</w:t>
                  </w:r>
                </w:p>
              </w:tc>
              <w:tc>
                <w:tcPr>
                  <w:tcW w:w="504" w:type="pct"/>
                  <w:vAlign w:val="center"/>
                </w:tcPr>
                <w:p w14:paraId="094E8084">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3300</w:t>
                  </w:r>
                </w:p>
              </w:tc>
              <w:tc>
                <w:tcPr>
                  <w:tcW w:w="640" w:type="pct"/>
                  <w:vAlign w:val="center"/>
                </w:tcPr>
                <w:p w14:paraId="73140D84">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 xml:space="preserve">0.638 </w:t>
                  </w:r>
                </w:p>
              </w:tc>
              <w:tc>
                <w:tcPr>
                  <w:tcW w:w="621" w:type="pct"/>
                  <w:vAlign w:val="center"/>
                </w:tcPr>
                <w:p w14:paraId="243CD3D7">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无组织</w:t>
                  </w:r>
                </w:p>
              </w:tc>
            </w:tr>
            <w:tr w14:paraId="3872D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pct"/>
                  <w:vAlign w:val="center"/>
                </w:tcPr>
                <w:p w14:paraId="7301AAEF">
                  <w:pPr>
                    <w:pStyle w:val="40"/>
                    <w:bidi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丙烷槽车卸车废气</w:t>
                  </w:r>
                </w:p>
              </w:tc>
              <w:tc>
                <w:tcPr>
                  <w:tcW w:w="823" w:type="pct"/>
                  <w:vAlign w:val="center"/>
                </w:tcPr>
                <w:p w14:paraId="5F886366">
                  <w:pPr>
                    <w:pStyle w:val="40"/>
                    <w:bidi w:val="0"/>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非甲烷总烃</w:t>
                  </w:r>
                </w:p>
              </w:tc>
              <w:tc>
                <w:tcPr>
                  <w:tcW w:w="578" w:type="pct"/>
                  <w:vAlign w:val="center"/>
                </w:tcPr>
                <w:p w14:paraId="3B43AE9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 xml:space="preserve">0.101 </w:t>
                  </w:r>
                </w:p>
              </w:tc>
              <w:tc>
                <w:tcPr>
                  <w:tcW w:w="684" w:type="pct"/>
                  <w:vAlign w:val="center"/>
                </w:tcPr>
                <w:p w14:paraId="159EA6D0">
                  <w:pPr>
                    <w:pStyle w:val="40"/>
                    <w:bidi w:val="0"/>
                    <w:rPr>
                      <w:rFonts w:hint="default" w:ascii="Times New Roman" w:hAnsi="Times New Roman" w:cs="Times New Roman"/>
                    </w:rPr>
                  </w:pPr>
                  <w:r>
                    <w:rPr>
                      <w:rFonts w:hint="default" w:ascii="Times New Roman" w:hAnsi="Times New Roman" w:cs="Times New Roman"/>
                      <w:lang w:val="en-US" w:eastAsia="zh-CN"/>
                    </w:rPr>
                    <w:t>507</w:t>
                  </w:r>
                </w:p>
              </w:tc>
              <w:tc>
                <w:tcPr>
                  <w:tcW w:w="504" w:type="pct"/>
                  <w:vAlign w:val="center"/>
                </w:tcPr>
                <w:p w14:paraId="6FC9F647">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3300</w:t>
                  </w:r>
                </w:p>
              </w:tc>
              <w:tc>
                <w:tcPr>
                  <w:tcW w:w="640" w:type="pct"/>
                  <w:vAlign w:val="center"/>
                </w:tcPr>
                <w:p w14:paraId="1858B44E">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 xml:space="preserve">0.658 </w:t>
                  </w:r>
                </w:p>
              </w:tc>
              <w:tc>
                <w:tcPr>
                  <w:tcW w:w="621" w:type="pct"/>
                  <w:vAlign w:val="center"/>
                </w:tcPr>
                <w:p w14:paraId="0EFCAF87">
                  <w:pPr>
                    <w:keepNext w:val="0"/>
                    <w:keepLines w:val="0"/>
                    <w:widowControl/>
                    <w:suppressLineNumbers w:val="0"/>
                    <w:jc w:val="center"/>
                    <w:textAlignment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无组织</w:t>
                  </w:r>
                </w:p>
              </w:tc>
            </w:tr>
            <w:tr w14:paraId="328AF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6" w:type="pct"/>
                  <w:vAlign w:val="center"/>
                </w:tcPr>
                <w:p w14:paraId="6CC5C9A3">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合计</w:t>
                  </w:r>
                </w:p>
              </w:tc>
              <w:tc>
                <w:tcPr>
                  <w:tcW w:w="823" w:type="pct"/>
                  <w:vAlign w:val="center"/>
                </w:tcPr>
                <w:p w14:paraId="7810CCE7">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非甲烷总烃</w:t>
                  </w:r>
                </w:p>
              </w:tc>
              <w:tc>
                <w:tcPr>
                  <w:tcW w:w="578" w:type="pct"/>
                  <w:vAlign w:val="center"/>
                </w:tcPr>
                <w:p w14:paraId="50529484">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684" w:type="pct"/>
                  <w:vAlign w:val="center"/>
                </w:tcPr>
                <w:p w14:paraId="337E5E78">
                  <w:pPr>
                    <w:pStyle w:val="40"/>
                    <w:bidi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w:t>
                  </w:r>
                </w:p>
              </w:tc>
              <w:tc>
                <w:tcPr>
                  <w:tcW w:w="504" w:type="pct"/>
                  <w:vAlign w:val="center"/>
                </w:tcPr>
                <w:p w14:paraId="344430C6">
                  <w:pPr>
                    <w:pStyle w:val="40"/>
                    <w:bidi w:val="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640" w:type="pct"/>
                  <w:vAlign w:val="center"/>
                </w:tcPr>
                <w:p w14:paraId="6EEC06E7">
                  <w:pPr>
                    <w:pStyle w:val="40"/>
                    <w:bidi w:val="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1.296</w:t>
                  </w:r>
                </w:p>
              </w:tc>
              <w:tc>
                <w:tcPr>
                  <w:tcW w:w="621" w:type="pct"/>
                  <w:vAlign w:val="center"/>
                </w:tcPr>
                <w:p w14:paraId="34FC1420">
                  <w:pPr>
                    <w:keepNext w:val="0"/>
                    <w:keepLines w:val="0"/>
                    <w:widowControl/>
                    <w:suppressLineNumbers w:val="0"/>
                    <w:jc w:val="center"/>
                    <w:textAlignment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tbl>
          <w:p w14:paraId="21E28C71">
            <w:pPr>
              <w:spacing w:line="360" w:lineRule="auto"/>
              <w:rPr>
                <w:rFonts w:hint="default" w:ascii="Times New Roman" w:hAnsi="Times New Roman" w:cs="Times New Roman"/>
                <w:color w:val="auto"/>
                <w:kern w:val="0"/>
                <w:sz w:val="24"/>
                <w:szCs w:val="22"/>
              </w:rPr>
            </w:pPr>
          </w:p>
          <w:p w14:paraId="4E1413C8">
            <w:pPr>
              <w:keepNext w:val="0"/>
              <w:keepLines w:val="0"/>
              <w:pageBreakBefore w:val="0"/>
              <w:widowControl/>
              <w:numPr>
                <w:ilvl w:val="0"/>
                <w:numId w:val="14"/>
              </w:numPr>
              <w:suppressLineNumbers w:val="0"/>
              <w:kinsoku/>
              <w:wordWrap/>
              <w:overflowPunct/>
              <w:topLinePunct w:val="0"/>
              <w:autoSpaceDE/>
              <w:autoSpaceDN/>
              <w:bidi w:val="0"/>
              <w:adjustRightInd/>
              <w:snapToGrid/>
              <w:spacing w:line="360" w:lineRule="auto"/>
              <w:ind w:left="-62" w:leftChars="0" w:firstLine="482" w:firstLineChars="0"/>
              <w:jc w:val="left"/>
              <w:textAlignment w:val="auto"/>
              <w:rPr>
                <w:rFonts w:hint="default" w:ascii="Times New Roman" w:hAnsi="Times New Roman" w:eastAsia="宋体" w:cs="Times New Roman"/>
                <w:b/>
                <w:bCs/>
                <w:color w:val="0000FF"/>
                <w:kern w:val="0"/>
                <w:sz w:val="24"/>
                <w:szCs w:val="24"/>
                <w:lang w:val="en-US" w:eastAsia="zh-CN" w:bidi="ar"/>
              </w:rPr>
            </w:pPr>
            <w:r>
              <w:rPr>
                <w:rFonts w:hint="default" w:ascii="Times New Roman" w:hAnsi="Times New Roman" w:eastAsia="宋体" w:cs="Times New Roman"/>
                <w:b/>
                <w:bCs/>
                <w:color w:val="0000FF"/>
                <w:kern w:val="0"/>
                <w:sz w:val="24"/>
                <w:szCs w:val="24"/>
                <w:lang w:val="en-US" w:eastAsia="zh-CN" w:bidi="ar"/>
              </w:rPr>
              <w:t>储罐呼吸废气</w:t>
            </w:r>
          </w:p>
          <w:p w14:paraId="48D40A51">
            <w:pPr>
              <w:spacing w:line="360" w:lineRule="auto"/>
              <w:ind w:firstLine="480" w:firstLineChars="200"/>
              <w:rPr>
                <w:rFonts w:hint="default" w:ascii="Times New Roman" w:hAnsi="Times New Roman" w:cs="Times New Roman"/>
                <w:color w:val="0000FF"/>
                <w:kern w:val="0"/>
                <w:sz w:val="24"/>
                <w:szCs w:val="22"/>
                <w:u w:val="none"/>
              </w:rPr>
            </w:pPr>
            <w:r>
              <w:rPr>
                <w:rFonts w:hint="default" w:ascii="Times New Roman" w:hAnsi="Times New Roman" w:cs="Times New Roman"/>
                <w:color w:val="0000FF"/>
                <w:kern w:val="0"/>
                <w:sz w:val="24"/>
                <w:szCs w:val="22"/>
                <w:u w:val="none"/>
              </w:rPr>
              <w:t>储罐在日常有“大小呼吸作用”，造成液化石油气以气态形式逸出进入空气。该项目50m</w:t>
            </w:r>
            <w:r>
              <w:rPr>
                <w:rFonts w:hint="default" w:ascii="Times New Roman" w:hAnsi="Times New Roman" w:cs="Times New Roman"/>
                <w:color w:val="0000FF"/>
                <w:kern w:val="0"/>
                <w:sz w:val="24"/>
                <w:szCs w:val="22"/>
                <w:u w:val="none"/>
                <w:vertAlign w:val="superscript"/>
              </w:rPr>
              <w:t>3</w:t>
            </w:r>
            <w:r>
              <w:rPr>
                <w:rFonts w:hint="default" w:ascii="Times New Roman" w:hAnsi="Times New Roman" w:cs="Times New Roman"/>
                <w:color w:val="0000FF"/>
                <w:kern w:val="0"/>
                <w:sz w:val="24"/>
                <w:szCs w:val="22"/>
                <w:u w:val="none"/>
                <w:lang w:val="en-US" w:eastAsia="zh-CN"/>
              </w:rPr>
              <w:t>液化石油气储罐2座，</w:t>
            </w:r>
            <w:r>
              <w:rPr>
                <w:rFonts w:hint="default" w:ascii="Times New Roman" w:hAnsi="Times New Roman" w:cs="Times New Roman"/>
                <w:color w:val="0000FF"/>
                <w:kern w:val="0"/>
                <w:sz w:val="24"/>
                <w:szCs w:val="22"/>
                <w:u w:val="none"/>
              </w:rPr>
              <w:t>50m</w:t>
            </w:r>
            <w:r>
              <w:rPr>
                <w:rFonts w:hint="default" w:ascii="Times New Roman" w:hAnsi="Times New Roman" w:cs="Times New Roman"/>
                <w:color w:val="0000FF"/>
                <w:kern w:val="0"/>
                <w:sz w:val="24"/>
                <w:szCs w:val="22"/>
                <w:u w:val="none"/>
                <w:vertAlign w:val="superscript"/>
              </w:rPr>
              <w:t>3</w:t>
            </w:r>
            <w:r>
              <w:rPr>
                <w:rFonts w:hint="default" w:ascii="Times New Roman" w:hAnsi="Times New Roman" w:cs="Times New Roman"/>
                <w:color w:val="0000FF"/>
                <w:kern w:val="0"/>
                <w:sz w:val="24"/>
                <w:szCs w:val="22"/>
                <w:u w:val="none"/>
                <w:lang w:val="en-US" w:eastAsia="zh-CN"/>
              </w:rPr>
              <w:t>丙烷储罐2座</w:t>
            </w:r>
            <w:r>
              <w:rPr>
                <w:rFonts w:hint="default" w:ascii="Times New Roman" w:hAnsi="Times New Roman" w:cs="Times New Roman"/>
                <w:color w:val="0000FF"/>
                <w:kern w:val="0"/>
                <w:sz w:val="24"/>
                <w:szCs w:val="22"/>
                <w:u w:val="none"/>
              </w:rPr>
              <w:t>。</w:t>
            </w:r>
          </w:p>
          <w:p w14:paraId="393827C2">
            <w:pPr>
              <w:widowControl w:val="0"/>
              <w:adjustRightInd/>
              <w:snapToGrid w:val="0"/>
              <w:spacing w:line="360" w:lineRule="auto"/>
              <w:ind w:firstLine="510" w:firstLineChars="0"/>
              <w:jc w:val="center"/>
              <w:rPr>
                <w:rFonts w:hint="default" w:ascii="Times New Roman" w:hAnsi="Times New Roman" w:eastAsia="宋体" w:cs="Times New Roman"/>
                <w:b/>
                <w:bCs/>
                <w:color w:val="0000FF"/>
                <w:kern w:val="2"/>
                <w:sz w:val="24"/>
                <w:szCs w:val="24"/>
              </w:rPr>
            </w:pPr>
            <w:r>
              <w:rPr>
                <w:rFonts w:hint="default" w:ascii="Times New Roman" w:hAnsi="Times New Roman" w:eastAsia="宋体" w:cs="Times New Roman"/>
                <w:b/>
                <w:bCs/>
                <w:color w:val="0000FF"/>
                <w:kern w:val="2"/>
                <w:sz w:val="24"/>
                <w:szCs w:val="24"/>
              </w:rPr>
              <w:t>表4</w:t>
            </w:r>
            <w:r>
              <w:rPr>
                <w:rFonts w:hint="default" w:ascii="Times New Roman" w:hAnsi="Times New Roman" w:cs="Times New Roman"/>
                <w:b/>
                <w:bCs/>
                <w:color w:val="0000FF"/>
                <w:kern w:val="2"/>
                <w:sz w:val="24"/>
                <w:szCs w:val="24"/>
                <w:lang w:val="en-US" w:eastAsia="zh-CN"/>
              </w:rPr>
              <w:t>.6-3</w:t>
            </w:r>
            <w:r>
              <w:rPr>
                <w:rFonts w:hint="default" w:ascii="Times New Roman" w:hAnsi="Times New Roman" w:eastAsia="宋体" w:cs="Times New Roman"/>
                <w:b/>
                <w:bCs/>
                <w:color w:val="0000FF"/>
                <w:kern w:val="2"/>
                <w:sz w:val="24"/>
                <w:szCs w:val="24"/>
              </w:rPr>
              <w:t xml:space="preserve">   各储罐最大储存量及年周转次数</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3"/>
              <w:gridCol w:w="1141"/>
              <w:gridCol w:w="757"/>
              <w:gridCol w:w="1185"/>
              <w:gridCol w:w="1430"/>
              <w:gridCol w:w="1228"/>
              <w:gridCol w:w="1179"/>
            </w:tblGrid>
            <w:tr w14:paraId="392A2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782" w:type="pct"/>
                  <w:vAlign w:val="center"/>
                </w:tcPr>
                <w:p w14:paraId="70FE47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储罐</w:t>
                  </w:r>
                </w:p>
              </w:tc>
              <w:tc>
                <w:tcPr>
                  <w:tcW w:w="695" w:type="pct"/>
                  <w:vAlign w:val="center"/>
                </w:tcPr>
                <w:p w14:paraId="2BE81F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lang w:val="en-US" w:eastAsia="zh-CN"/>
                    </w:rPr>
                    <w:t>实际使用</w:t>
                  </w:r>
                  <w:r>
                    <w:rPr>
                      <w:rFonts w:hint="default" w:ascii="Times New Roman" w:hAnsi="Times New Roman" w:eastAsia="宋体" w:cs="Times New Roman"/>
                      <w:color w:val="0000FF"/>
                      <w:kern w:val="0"/>
                      <w:sz w:val="21"/>
                      <w:szCs w:val="21"/>
                    </w:rPr>
                    <w:t>储罐数量（个）</w:t>
                  </w:r>
                </w:p>
              </w:tc>
              <w:tc>
                <w:tcPr>
                  <w:tcW w:w="461" w:type="pct"/>
                  <w:vAlign w:val="center"/>
                </w:tcPr>
                <w:p w14:paraId="24670F5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容积(m</w:t>
                  </w:r>
                  <w:r>
                    <w:rPr>
                      <w:rFonts w:hint="default" w:ascii="Times New Roman" w:hAnsi="Times New Roman" w:eastAsia="宋体" w:cs="Times New Roman"/>
                      <w:color w:val="0000FF"/>
                      <w:kern w:val="0"/>
                      <w:sz w:val="21"/>
                      <w:szCs w:val="21"/>
                      <w:vertAlign w:val="superscript"/>
                    </w:rPr>
                    <w:t>3</w:t>
                  </w:r>
                  <w:r>
                    <w:rPr>
                      <w:rFonts w:hint="default" w:ascii="Times New Roman" w:hAnsi="Times New Roman" w:eastAsia="宋体" w:cs="Times New Roman"/>
                      <w:color w:val="0000FF"/>
                      <w:kern w:val="0"/>
                      <w:sz w:val="21"/>
                      <w:szCs w:val="21"/>
                    </w:rPr>
                    <w:t xml:space="preserve"> )</w:t>
                  </w:r>
                </w:p>
              </w:tc>
              <w:tc>
                <w:tcPr>
                  <w:tcW w:w="722" w:type="pct"/>
                  <w:vAlign w:val="center"/>
                </w:tcPr>
                <w:p w14:paraId="03CDB80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lang w:val="en-US" w:eastAsia="zh-CN"/>
                    </w:rPr>
                  </w:pPr>
                  <w:r>
                    <w:rPr>
                      <w:rFonts w:hint="default" w:ascii="Times New Roman" w:hAnsi="Times New Roman" w:cs="Times New Roman"/>
                      <w:color w:val="0000FF"/>
                      <w:kern w:val="0"/>
                      <w:sz w:val="21"/>
                      <w:szCs w:val="21"/>
                      <w:lang w:val="en-US" w:eastAsia="zh-CN"/>
                    </w:rPr>
                    <w:t>储存系数</w:t>
                  </w:r>
                </w:p>
              </w:tc>
              <w:tc>
                <w:tcPr>
                  <w:tcW w:w="871" w:type="pct"/>
                  <w:vAlign w:val="center"/>
                </w:tcPr>
                <w:p w14:paraId="4D5B3E7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单个储罐最大储存量（t）</w:t>
                  </w:r>
                </w:p>
              </w:tc>
              <w:tc>
                <w:tcPr>
                  <w:tcW w:w="748" w:type="pct"/>
                  <w:vAlign w:val="center"/>
                </w:tcPr>
                <w:p w14:paraId="0E7CF5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年用量</w:t>
                  </w:r>
                  <w:r>
                    <w:rPr>
                      <w:rFonts w:hint="default" w:ascii="Times New Roman" w:hAnsi="Times New Roman" w:cs="Times New Roman"/>
                      <w:color w:val="0000FF"/>
                      <w:kern w:val="0"/>
                      <w:sz w:val="21"/>
                      <w:szCs w:val="21"/>
                      <w:lang w:eastAsia="zh-CN"/>
                    </w:rPr>
                    <w:t>（</w:t>
                  </w:r>
                  <w:r>
                    <w:rPr>
                      <w:rFonts w:hint="default" w:ascii="Times New Roman" w:hAnsi="Times New Roman" w:eastAsia="宋体" w:cs="Times New Roman"/>
                      <w:color w:val="0000FF"/>
                      <w:kern w:val="0"/>
                      <w:sz w:val="21"/>
                      <w:szCs w:val="21"/>
                    </w:rPr>
                    <w:t>t/a</w:t>
                  </w:r>
                  <w:r>
                    <w:rPr>
                      <w:rFonts w:hint="default" w:ascii="Times New Roman" w:hAnsi="Times New Roman" w:cs="Times New Roman"/>
                      <w:color w:val="0000FF"/>
                      <w:kern w:val="0"/>
                      <w:sz w:val="21"/>
                      <w:szCs w:val="21"/>
                      <w:lang w:eastAsia="zh-CN"/>
                    </w:rPr>
                    <w:t>）</w:t>
                  </w:r>
                </w:p>
              </w:tc>
              <w:tc>
                <w:tcPr>
                  <w:tcW w:w="718" w:type="pct"/>
                  <w:vAlign w:val="center"/>
                </w:tcPr>
                <w:p w14:paraId="4AF161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FF"/>
                      <w:kern w:val="0"/>
                      <w:sz w:val="21"/>
                      <w:szCs w:val="21"/>
                    </w:rPr>
                  </w:pPr>
                  <w:r>
                    <w:rPr>
                      <w:rFonts w:hint="default" w:ascii="Times New Roman" w:hAnsi="Times New Roman" w:eastAsia="宋体" w:cs="Times New Roman"/>
                      <w:color w:val="0000FF"/>
                      <w:kern w:val="0"/>
                      <w:sz w:val="21"/>
                      <w:szCs w:val="21"/>
                    </w:rPr>
                    <w:t>周转次数</w:t>
                  </w:r>
                  <w:r>
                    <w:rPr>
                      <w:rFonts w:hint="default" w:ascii="Times New Roman" w:hAnsi="Times New Roman" w:cs="Times New Roman"/>
                      <w:color w:val="0000FF"/>
                      <w:kern w:val="0"/>
                      <w:sz w:val="21"/>
                      <w:szCs w:val="21"/>
                      <w:lang w:eastAsia="zh-CN"/>
                    </w:rPr>
                    <w:t>（</w:t>
                  </w:r>
                  <w:r>
                    <w:rPr>
                      <w:rFonts w:hint="default" w:ascii="Times New Roman" w:hAnsi="Times New Roman" w:eastAsia="宋体" w:cs="Times New Roman"/>
                      <w:color w:val="0000FF"/>
                      <w:kern w:val="0"/>
                      <w:sz w:val="21"/>
                      <w:szCs w:val="21"/>
                    </w:rPr>
                    <w:t>次/a</w:t>
                  </w:r>
                  <w:r>
                    <w:rPr>
                      <w:rFonts w:hint="default" w:ascii="Times New Roman" w:hAnsi="Times New Roman" w:cs="Times New Roman"/>
                      <w:color w:val="0000FF"/>
                      <w:kern w:val="0"/>
                      <w:sz w:val="21"/>
                      <w:szCs w:val="21"/>
                      <w:lang w:eastAsia="zh-CN"/>
                    </w:rPr>
                    <w:t>）</w:t>
                  </w:r>
                </w:p>
              </w:tc>
            </w:tr>
            <w:tr w14:paraId="5F2A0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782" w:type="pct"/>
                  <w:vAlign w:val="center"/>
                </w:tcPr>
                <w:p w14:paraId="14942202">
                  <w:pPr>
                    <w:pStyle w:val="40"/>
                    <w:bidi w:val="0"/>
                    <w:ind w:firstLine="0" w:firstLineChars="0"/>
                    <w:jc w:val="center"/>
                    <w:rPr>
                      <w:rFonts w:hint="default" w:ascii="Times New Roman" w:hAnsi="Times New Roman" w:eastAsia="宋体" w:cs="Times New Roman"/>
                      <w:color w:val="0000FF"/>
                      <w:kern w:val="0"/>
                      <w:sz w:val="21"/>
                      <w:szCs w:val="21"/>
                    </w:rPr>
                  </w:pPr>
                  <w:r>
                    <w:rPr>
                      <w:rFonts w:hint="default" w:ascii="Times New Roman" w:hAnsi="Times New Roman" w:cs="Times New Roman"/>
                      <w:color w:val="0000FF"/>
                      <w:sz w:val="21"/>
                      <w:szCs w:val="21"/>
                      <w:lang w:val="en-US" w:eastAsia="zh-CN"/>
                    </w:rPr>
                    <w:t>液化石油气储罐</w:t>
                  </w:r>
                </w:p>
              </w:tc>
              <w:tc>
                <w:tcPr>
                  <w:tcW w:w="695" w:type="pct"/>
                  <w:vAlign w:val="center"/>
                </w:tcPr>
                <w:p w14:paraId="04167259">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w:t>
                  </w:r>
                </w:p>
              </w:tc>
              <w:tc>
                <w:tcPr>
                  <w:tcW w:w="461" w:type="pct"/>
                  <w:vAlign w:val="center"/>
                </w:tcPr>
                <w:p w14:paraId="2C93CED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50</w:t>
                  </w:r>
                </w:p>
              </w:tc>
              <w:tc>
                <w:tcPr>
                  <w:tcW w:w="722" w:type="pct"/>
                  <w:vAlign w:val="center"/>
                </w:tcPr>
                <w:p w14:paraId="75773C3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80%</w:t>
                  </w:r>
                </w:p>
              </w:tc>
              <w:tc>
                <w:tcPr>
                  <w:tcW w:w="871" w:type="pct"/>
                  <w:vAlign w:val="center"/>
                </w:tcPr>
                <w:p w14:paraId="4A226240">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23.2</w:t>
                  </w:r>
                </w:p>
              </w:tc>
              <w:tc>
                <w:tcPr>
                  <w:tcW w:w="748" w:type="pct"/>
                  <w:vAlign w:val="center"/>
                </w:tcPr>
                <w:p w14:paraId="0210E76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3300</w:t>
                  </w:r>
                </w:p>
              </w:tc>
              <w:tc>
                <w:tcPr>
                  <w:tcW w:w="718" w:type="pct"/>
                  <w:vAlign w:val="center"/>
                </w:tcPr>
                <w:p w14:paraId="3932B3D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71</w:t>
                  </w:r>
                </w:p>
              </w:tc>
            </w:tr>
            <w:tr w14:paraId="04742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3" w:hRule="atLeast"/>
              </w:trPr>
              <w:tc>
                <w:tcPr>
                  <w:tcW w:w="782" w:type="pct"/>
                  <w:vAlign w:val="center"/>
                </w:tcPr>
                <w:p w14:paraId="675C4EAA">
                  <w:pPr>
                    <w:pStyle w:val="40"/>
                    <w:bidi w:val="0"/>
                    <w:ind w:firstLine="0" w:firstLineChars="0"/>
                    <w:jc w:val="center"/>
                    <w:rPr>
                      <w:rFonts w:hint="default" w:ascii="Times New Roman" w:hAnsi="Times New Roman" w:eastAsia="宋体" w:cs="Times New Roman"/>
                      <w:color w:val="0000FF"/>
                      <w:kern w:val="0"/>
                      <w:sz w:val="21"/>
                      <w:szCs w:val="21"/>
                    </w:rPr>
                  </w:pPr>
                  <w:r>
                    <w:rPr>
                      <w:rFonts w:hint="default" w:ascii="Times New Roman" w:hAnsi="Times New Roman" w:cs="Times New Roman"/>
                      <w:color w:val="0000FF"/>
                      <w:sz w:val="21"/>
                      <w:szCs w:val="21"/>
                      <w:lang w:val="en-US" w:eastAsia="zh-CN"/>
                    </w:rPr>
                    <w:t>改性丙烷储罐</w:t>
                  </w:r>
                </w:p>
              </w:tc>
              <w:tc>
                <w:tcPr>
                  <w:tcW w:w="695" w:type="pct"/>
                  <w:vAlign w:val="center"/>
                </w:tcPr>
                <w:p w14:paraId="7060306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w:t>
                  </w:r>
                </w:p>
              </w:tc>
              <w:tc>
                <w:tcPr>
                  <w:tcW w:w="461" w:type="pct"/>
                  <w:vAlign w:val="center"/>
                </w:tcPr>
                <w:p w14:paraId="0F5DC490">
                  <w:pPr>
                    <w:pStyle w:val="40"/>
                    <w:bidi w:val="0"/>
                    <w:rPr>
                      <w:rFonts w:hint="default" w:ascii="Times New Roman" w:hAnsi="Times New Roman" w:cs="Times New Roman"/>
                      <w:color w:val="0000FF"/>
                      <w:lang w:eastAsia="zh-CN"/>
                    </w:rPr>
                  </w:pPr>
                  <w:r>
                    <w:rPr>
                      <w:rFonts w:hint="default" w:ascii="Times New Roman" w:hAnsi="Times New Roman" w:cs="Times New Roman"/>
                      <w:color w:val="0000FF"/>
                      <w:lang w:val="en-US" w:eastAsia="zh-CN"/>
                    </w:rPr>
                    <w:t>50</w:t>
                  </w:r>
                </w:p>
              </w:tc>
              <w:tc>
                <w:tcPr>
                  <w:tcW w:w="722" w:type="pct"/>
                  <w:vAlign w:val="center"/>
                </w:tcPr>
                <w:p w14:paraId="2573272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80%</w:t>
                  </w:r>
                </w:p>
              </w:tc>
              <w:tc>
                <w:tcPr>
                  <w:tcW w:w="871" w:type="pct"/>
                  <w:vAlign w:val="center"/>
                </w:tcPr>
                <w:p w14:paraId="19B1724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20.28</w:t>
                  </w:r>
                </w:p>
              </w:tc>
              <w:tc>
                <w:tcPr>
                  <w:tcW w:w="748" w:type="pct"/>
                  <w:vAlign w:val="center"/>
                </w:tcPr>
                <w:p w14:paraId="60B61BA8">
                  <w:pPr>
                    <w:pStyle w:val="40"/>
                    <w:bidi w:val="0"/>
                    <w:rPr>
                      <w:rFonts w:hint="default" w:ascii="Times New Roman" w:hAnsi="Times New Roman" w:cs="Times New Roman"/>
                      <w:color w:val="0000FF"/>
                      <w:lang w:val="en-US"/>
                    </w:rPr>
                  </w:pPr>
                  <w:r>
                    <w:rPr>
                      <w:rFonts w:hint="default" w:ascii="Times New Roman" w:hAnsi="Times New Roman" w:cs="Times New Roman"/>
                      <w:color w:val="0000FF"/>
                      <w:lang w:val="en-US" w:eastAsia="zh-CN"/>
                    </w:rPr>
                    <w:t>3300</w:t>
                  </w:r>
                </w:p>
              </w:tc>
              <w:tc>
                <w:tcPr>
                  <w:tcW w:w="718" w:type="pct"/>
                  <w:vAlign w:val="center"/>
                </w:tcPr>
                <w:p w14:paraId="1350EBC2">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81</w:t>
                  </w:r>
                </w:p>
              </w:tc>
            </w:tr>
          </w:tbl>
          <w:p w14:paraId="3684634B">
            <w:pPr>
              <w:spacing w:line="360" w:lineRule="auto"/>
              <w:ind w:firstLine="480" w:firstLineChars="200"/>
              <w:rPr>
                <w:rFonts w:hint="default" w:ascii="Times New Roman" w:hAnsi="Times New Roman" w:cs="Times New Roman"/>
                <w:color w:val="0000FF"/>
                <w:kern w:val="0"/>
                <w:sz w:val="24"/>
                <w:szCs w:val="22"/>
                <w:u w:val="none"/>
              </w:rPr>
            </w:pPr>
            <w:r>
              <w:rPr>
                <w:rFonts w:hint="default" w:ascii="Times New Roman" w:hAnsi="Times New Roman" w:cs="Times New Roman"/>
                <w:color w:val="0000FF"/>
                <w:kern w:val="0"/>
                <w:sz w:val="24"/>
                <w:szCs w:val="22"/>
                <w:u w:val="none"/>
              </w:rPr>
              <w:t>通过参考《易挥发有机气体的计算（固定顶储罐、浮顶罐呼吸损耗计算方法）》，呼吸损耗可按下式计算：</w:t>
            </w:r>
          </w:p>
          <w:p w14:paraId="6F352A49">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①小呼吸</w:t>
            </w:r>
          </w:p>
          <w:p w14:paraId="16DCF013">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固定顶罐的小呼吸排放可用下式估算其污染物的排放量：</w:t>
            </w:r>
          </w:p>
          <w:p w14:paraId="46B0CC52">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drawing>
                <wp:inline distT="0" distB="0" distL="0" distR="0">
                  <wp:extent cx="5400675" cy="333375"/>
                  <wp:effectExtent l="0" t="0" r="9525" b="9525"/>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400675" cy="333375"/>
                          </a:xfrm>
                          <a:prstGeom prst="rect">
                            <a:avLst/>
                          </a:prstGeom>
                          <a:noFill/>
                          <a:ln>
                            <a:noFill/>
                          </a:ln>
                        </pic:spPr>
                      </pic:pic>
                    </a:graphicData>
                  </a:graphic>
                </wp:inline>
              </w:drawing>
            </w:r>
            <w:r>
              <w:rPr>
                <w:rFonts w:hint="default" w:ascii="Times New Roman" w:hAnsi="Times New Roman" w:eastAsia="宋体" w:cs="Times New Roman"/>
                <w:color w:val="0000FF"/>
                <w:kern w:val="0"/>
                <w:sz w:val="24"/>
                <w:szCs w:val="24"/>
              </w:rPr>
              <w:t xml:space="preserve"> 式中：</w:t>
            </w:r>
          </w:p>
          <w:p w14:paraId="2ACA46A7">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LB-固定顶罐的呼吸排放量（kg/a）；</w:t>
            </w:r>
          </w:p>
          <w:p w14:paraId="534C6C58">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M-储罐内蒸气的分子量；</w:t>
            </w:r>
          </w:p>
          <w:p w14:paraId="1FA32BBD">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P-在大量液体状态下，真实的蒸气压力（Pa）；</w:t>
            </w:r>
          </w:p>
          <w:p w14:paraId="26F3C9F4">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D-罐的直径（m）；</w:t>
            </w:r>
          </w:p>
          <w:p w14:paraId="7191A6CC">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H-平均蒸气空间高度（m）；</w:t>
            </w:r>
          </w:p>
          <w:p w14:paraId="5C5A215A">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△T-一天之内的平均温度差（℃）；</w:t>
            </w:r>
          </w:p>
          <w:p w14:paraId="301C222B">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FP-涂层因子（无量纲），根据罐体表面油漆状况取值在1~1.5之间；</w:t>
            </w:r>
          </w:p>
          <w:p w14:paraId="66E3D61A">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C-用于小直径罐的调节因子（无量纲）；直径在0~9m之间的罐体，C=1-0.0123(D-9)^2；罐径大于9m的C=1；</w:t>
            </w:r>
          </w:p>
          <w:p w14:paraId="1CF06052">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K</w:t>
            </w:r>
            <w:r>
              <w:rPr>
                <w:rFonts w:hint="default" w:ascii="Times New Roman" w:hAnsi="Times New Roman" w:eastAsia="宋体" w:cs="Times New Roman"/>
                <w:color w:val="0000FF"/>
                <w:kern w:val="0"/>
                <w:sz w:val="24"/>
                <w:szCs w:val="24"/>
                <w:vertAlign w:val="subscript"/>
              </w:rPr>
              <w:t>C</w:t>
            </w:r>
            <w:r>
              <w:rPr>
                <w:rFonts w:hint="default" w:ascii="Times New Roman" w:hAnsi="Times New Roman" w:eastAsia="宋体" w:cs="Times New Roman"/>
                <w:color w:val="0000FF"/>
                <w:kern w:val="0"/>
                <w:sz w:val="24"/>
                <w:szCs w:val="24"/>
              </w:rPr>
              <w:t>-产品因子（石油原油K</w:t>
            </w:r>
            <w:r>
              <w:rPr>
                <w:rFonts w:hint="default" w:ascii="Times New Roman" w:hAnsi="Times New Roman" w:eastAsia="宋体" w:cs="Times New Roman"/>
                <w:color w:val="0000FF"/>
                <w:kern w:val="0"/>
                <w:sz w:val="24"/>
                <w:szCs w:val="24"/>
                <w:vertAlign w:val="subscript"/>
              </w:rPr>
              <w:t>C</w:t>
            </w:r>
            <w:r>
              <w:rPr>
                <w:rFonts w:hint="default" w:ascii="Times New Roman" w:hAnsi="Times New Roman" w:eastAsia="宋体" w:cs="Times New Roman"/>
                <w:color w:val="0000FF"/>
                <w:kern w:val="0"/>
                <w:sz w:val="24"/>
                <w:szCs w:val="24"/>
              </w:rPr>
              <w:t>取0.65，其他液体取1.0）</w:t>
            </w:r>
          </w:p>
          <w:p w14:paraId="39E5306B">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②大呼吸</w:t>
            </w:r>
          </w:p>
          <w:p w14:paraId="747EB731">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大呼吸排放是由于人为的装料与卸料而产生的损失。因装料的结果，罐内压 力超过释放压力时，蒸气从罐内压出；而卸料损失发生于液面排出，空气被抽入 罐体内，因空气变成有机蒸气饱和的气体而膨胀，因而超过蒸气空间容纳的能力。</w:t>
            </w:r>
          </w:p>
          <w:p w14:paraId="65FB2C8B">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可由下式估算固定顶罐的工作排放：</w:t>
            </w:r>
          </w:p>
          <w:p w14:paraId="58734911">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Lw=4.188×10</w:t>
            </w:r>
            <w:r>
              <w:rPr>
                <w:rFonts w:hint="default" w:ascii="Times New Roman" w:hAnsi="Times New Roman" w:eastAsia="宋体" w:cs="Times New Roman"/>
                <w:color w:val="0000FF"/>
                <w:kern w:val="0"/>
                <w:sz w:val="24"/>
                <w:szCs w:val="24"/>
                <w:vertAlign w:val="superscript"/>
              </w:rPr>
              <w:t>-7</w:t>
            </w:r>
            <w:r>
              <w:rPr>
                <w:rFonts w:hint="default" w:ascii="Times New Roman" w:hAnsi="Times New Roman" w:eastAsia="宋体" w:cs="Times New Roman"/>
                <w:color w:val="0000FF"/>
                <w:kern w:val="0"/>
                <w:sz w:val="24"/>
                <w:szCs w:val="24"/>
              </w:rPr>
              <w:t>×M×P×Kn×Kc</w:t>
            </w:r>
          </w:p>
          <w:p w14:paraId="10D4C200">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Kn-周转因子（无量纲），取值按年周转次数（k）确定，</w:t>
            </w:r>
          </w:p>
          <w:p w14:paraId="353870F6">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K≤36，Kn=1；</w:t>
            </w:r>
          </w:p>
          <w:p w14:paraId="3922829F">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36＜K≤220，Kn=11.467×K</w:t>
            </w:r>
            <w:r>
              <w:rPr>
                <w:rFonts w:hint="default" w:ascii="Times New Roman" w:hAnsi="Times New Roman" w:eastAsia="宋体" w:cs="Times New Roman"/>
                <w:color w:val="0000FF"/>
                <w:kern w:val="0"/>
                <w:sz w:val="24"/>
                <w:szCs w:val="24"/>
                <w:vertAlign w:val="superscript"/>
              </w:rPr>
              <w:t>-0.7026</w:t>
            </w:r>
            <w:r>
              <w:rPr>
                <w:rFonts w:hint="default" w:ascii="Times New Roman" w:hAnsi="Times New Roman" w:eastAsia="宋体" w:cs="Times New Roman"/>
                <w:color w:val="0000FF"/>
                <w:kern w:val="0"/>
                <w:sz w:val="24"/>
                <w:szCs w:val="24"/>
              </w:rPr>
              <w:t>；</w:t>
            </w:r>
          </w:p>
          <w:p w14:paraId="60EF0236">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K＞220，Kn=0.26；</w:t>
            </w:r>
          </w:p>
          <w:p w14:paraId="331C017C">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本项目计算参数选取见表</w:t>
            </w:r>
            <w:r>
              <w:rPr>
                <w:rFonts w:hint="default" w:ascii="Times New Roman" w:hAnsi="Times New Roman" w:eastAsia="宋体" w:cs="Times New Roman"/>
                <w:color w:val="0000FF"/>
                <w:kern w:val="0"/>
                <w:sz w:val="24"/>
                <w:szCs w:val="24"/>
                <w:lang w:val="en-US" w:eastAsia="zh-CN"/>
              </w:rPr>
              <w:t>4</w:t>
            </w:r>
            <w:r>
              <w:rPr>
                <w:rFonts w:hint="default" w:ascii="Times New Roman" w:hAnsi="Times New Roman" w:cs="Times New Roman"/>
                <w:color w:val="0000FF"/>
                <w:kern w:val="0"/>
                <w:sz w:val="24"/>
                <w:szCs w:val="24"/>
                <w:lang w:val="en-US" w:eastAsia="zh-CN"/>
              </w:rPr>
              <w:t>.6</w:t>
            </w:r>
            <w:r>
              <w:rPr>
                <w:rFonts w:hint="default" w:ascii="Times New Roman" w:hAnsi="Times New Roman" w:eastAsia="宋体" w:cs="Times New Roman"/>
                <w:color w:val="0000FF"/>
                <w:kern w:val="0"/>
                <w:sz w:val="24"/>
                <w:szCs w:val="24"/>
                <w:lang w:val="en-US" w:eastAsia="zh-CN"/>
              </w:rPr>
              <w:t>-4</w:t>
            </w:r>
            <w:r>
              <w:rPr>
                <w:rFonts w:hint="default" w:ascii="Times New Roman" w:hAnsi="Times New Roman" w:eastAsia="宋体" w:cs="Times New Roman"/>
                <w:color w:val="0000FF"/>
                <w:kern w:val="0"/>
                <w:sz w:val="24"/>
                <w:szCs w:val="24"/>
              </w:rPr>
              <w:t>。</w:t>
            </w:r>
          </w:p>
          <w:p w14:paraId="78344F63">
            <w:pPr>
              <w:widowControl w:val="0"/>
              <w:adjustRightInd w:val="0"/>
              <w:snapToGrid w:val="0"/>
              <w:spacing w:before="60" w:after="60" w:line="360" w:lineRule="auto"/>
              <w:ind w:firstLine="482" w:firstLineChars="200"/>
              <w:jc w:val="center"/>
              <w:rPr>
                <w:rFonts w:hint="default" w:ascii="Times New Roman" w:hAnsi="Times New Roman" w:eastAsia="宋体" w:cs="Times New Roman"/>
                <w:b/>
                <w:color w:val="0000FF"/>
                <w:kern w:val="0"/>
                <w:sz w:val="24"/>
                <w:szCs w:val="24"/>
              </w:rPr>
            </w:pPr>
            <w:r>
              <w:rPr>
                <w:rFonts w:hint="default" w:ascii="Times New Roman" w:hAnsi="Times New Roman" w:eastAsia="宋体" w:cs="Times New Roman"/>
                <w:b/>
                <w:color w:val="0000FF"/>
                <w:kern w:val="0"/>
                <w:sz w:val="24"/>
                <w:szCs w:val="24"/>
              </w:rPr>
              <w:t>表4</w:t>
            </w:r>
            <w:r>
              <w:rPr>
                <w:rFonts w:hint="default" w:ascii="Times New Roman" w:hAnsi="Times New Roman" w:cs="Times New Roman"/>
                <w:b/>
                <w:color w:val="0000FF"/>
                <w:kern w:val="0"/>
                <w:sz w:val="24"/>
                <w:szCs w:val="24"/>
                <w:lang w:val="en-US" w:eastAsia="zh-CN"/>
              </w:rPr>
              <w:t>.6</w:t>
            </w:r>
            <w:r>
              <w:rPr>
                <w:rFonts w:hint="default" w:ascii="Times New Roman" w:hAnsi="Times New Roman" w:eastAsia="宋体" w:cs="Times New Roman"/>
                <w:b/>
                <w:color w:val="0000FF"/>
                <w:kern w:val="0"/>
                <w:sz w:val="24"/>
                <w:szCs w:val="24"/>
                <w:lang w:val="en-US" w:eastAsia="zh-CN"/>
              </w:rPr>
              <w:t xml:space="preserve">-4  </w:t>
            </w:r>
            <w:r>
              <w:rPr>
                <w:rFonts w:hint="default" w:ascii="Times New Roman" w:hAnsi="Times New Roman" w:eastAsia="宋体" w:cs="Times New Roman"/>
                <w:b/>
                <w:color w:val="0000FF"/>
                <w:kern w:val="0"/>
                <w:sz w:val="24"/>
                <w:szCs w:val="24"/>
              </w:rPr>
              <w:t xml:space="preserve"> 各储罐呼吸计算参数取值表</w:t>
            </w:r>
          </w:p>
          <w:tbl>
            <w:tblPr>
              <w:tblStyle w:val="32"/>
              <w:tblW w:w="847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1625"/>
              <w:gridCol w:w="702"/>
              <w:gridCol w:w="699"/>
              <w:gridCol w:w="497"/>
              <w:gridCol w:w="830"/>
              <w:gridCol w:w="818"/>
              <w:gridCol w:w="818"/>
              <w:gridCol w:w="842"/>
              <w:gridCol w:w="536"/>
              <w:gridCol w:w="414"/>
              <w:gridCol w:w="278"/>
              <w:gridCol w:w="414"/>
            </w:tblGrid>
            <w:tr w14:paraId="791660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544"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BB6DB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储罐</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1BEA7D">
                  <w:pPr>
                    <w:keepNext w:val="0"/>
                    <w:keepLines w:val="0"/>
                    <w:widowControl/>
                    <w:suppressLineNumbers w:val="0"/>
                    <w:jc w:val="center"/>
                    <w:textAlignment w:val="center"/>
                    <w:rPr>
                      <w:rFonts w:hint="eastAsia"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数量</w:t>
                  </w:r>
                </w:p>
                <w:p w14:paraId="496F2EBF">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eastAsia" w:cs="Times New Roman"/>
                      <w:i w:val="0"/>
                      <w:iCs w:val="0"/>
                      <w:color w:val="0000FF"/>
                      <w:kern w:val="0"/>
                      <w:sz w:val="21"/>
                      <w:szCs w:val="21"/>
                      <w:u w:val="none"/>
                      <w:lang w:val="en-US" w:eastAsia="zh-CN" w:bidi="ar"/>
                    </w:rPr>
                    <w:t>（个）</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D60A0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规格</w:t>
                  </w:r>
                  <w:r>
                    <w:rPr>
                      <w:rFonts w:hint="eastAsia" w:cs="Times New Roman"/>
                      <w:i w:val="0"/>
                      <w:iCs w:val="0"/>
                      <w:color w:val="0000FF"/>
                      <w:kern w:val="0"/>
                      <w:sz w:val="21"/>
                      <w:szCs w:val="21"/>
                      <w:u w:val="none"/>
                      <w:lang w:val="en-US" w:eastAsia="zh-CN" w:bidi="ar"/>
                    </w:rPr>
                    <w:t>（</w:t>
                  </w:r>
                  <w:r>
                    <w:rPr>
                      <w:rFonts w:hint="default" w:ascii="Times New Roman" w:hAnsi="Times New Roman" w:eastAsia="宋体" w:cs="Times New Roman"/>
                      <w:i w:val="0"/>
                      <w:iCs w:val="0"/>
                      <w:color w:val="0000FF"/>
                      <w:kern w:val="0"/>
                      <w:sz w:val="21"/>
                      <w:szCs w:val="21"/>
                      <w:u w:val="none"/>
                      <w:lang w:val="en-US" w:eastAsia="zh-CN" w:bidi="ar"/>
                    </w:rPr>
                    <w:t>m</w:t>
                  </w:r>
                  <w:r>
                    <w:rPr>
                      <w:rFonts w:hint="default" w:ascii="Times New Roman" w:hAnsi="Times New Roman" w:eastAsia="宋体" w:cs="Times New Roman"/>
                      <w:i w:val="0"/>
                      <w:iCs w:val="0"/>
                      <w:color w:val="0000FF"/>
                      <w:kern w:val="0"/>
                      <w:sz w:val="21"/>
                      <w:szCs w:val="21"/>
                      <w:u w:val="none"/>
                      <w:vertAlign w:val="superscript"/>
                      <w:lang w:val="en-US" w:eastAsia="zh-CN" w:bidi="ar"/>
                    </w:rPr>
                    <w:t>3</w:t>
                  </w:r>
                  <w:r>
                    <w:rPr>
                      <w:rFonts w:hint="eastAsia" w:cs="Times New Roman"/>
                      <w:i w:val="0"/>
                      <w:iCs w:val="0"/>
                      <w:color w:val="0000FF"/>
                      <w:kern w:val="0"/>
                      <w:sz w:val="21"/>
                      <w:szCs w:val="21"/>
                      <w:u w:val="none"/>
                      <w:lang w:val="en-US" w:eastAsia="zh-CN" w:bidi="ar"/>
                    </w:rPr>
                    <w:t>）</w:t>
                  </w:r>
                </w:p>
              </w:tc>
              <w:tc>
                <w:tcPr>
                  <w:tcW w:w="2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D8461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M</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CD541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P（Pa）</w:t>
                  </w:r>
                </w:p>
              </w:tc>
              <w:tc>
                <w:tcPr>
                  <w:tcW w:w="4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E72C6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D（m）</w:t>
                  </w:r>
                </w:p>
              </w:tc>
              <w:tc>
                <w:tcPr>
                  <w:tcW w:w="4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F6EF1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H（m）</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BAE3A3">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△T</w:t>
                  </w:r>
                </w:p>
                <w:p w14:paraId="4C0495E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5ED47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FP</w:t>
                  </w:r>
                </w:p>
              </w:tc>
              <w:tc>
                <w:tcPr>
                  <w:tcW w:w="2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6CBC1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C</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DA96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Kc</w:t>
                  </w:r>
                </w:p>
              </w:tc>
              <w:tc>
                <w:tcPr>
                  <w:tcW w:w="2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DFE78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Kn</w:t>
                  </w:r>
                </w:p>
              </w:tc>
            </w:tr>
            <w:tr w14:paraId="4E018E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44"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58804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液化石油气储罐</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5DA9B2">
                  <w:pPr>
                    <w:pStyle w:val="40"/>
                    <w:bidi w:val="0"/>
                    <w:rPr>
                      <w:rFonts w:hint="default" w:ascii="Times New Roman" w:hAnsi="Times New Roman" w:cs="Times New Roman"/>
                      <w:color w:val="0000FF"/>
                      <w:lang w:val="en-US" w:eastAsia="zh-CN"/>
                    </w:rPr>
                  </w:pPr>
                  <w:r>
                    <w:rPr>
                      <w:rFonts w:hint="eastAsia" w:cs="Times New Roman"/>
                      <w:color w:val="0000FF"/>
                      <w:lang w:val="en-US" w:eastAsia="zh-CN"/>
                    </w:rPr>
                    <w:t>2</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98C159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50</w:t>
                  </w:r>
                </w:p>
              </w:tc>
              <w:tc>
                <w:tcPr>
                  <w:tcW w:w="2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6A109F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44.5</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E920B9">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6000</w:t>
                  </w:r>
                </w:p>
              </w:tc>
              <w:tc>
                <w:tcPr>
                  <w:tcW w:w="4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2AF5F4">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2.75</w:t>
                  </w:r>
                </w:p>
              </w:tc>
              <w:tc>
                <w:tcPr>
                  <w:tcW w:w="4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A01F0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0.4</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9ACA1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15</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CA33F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1.2</w:t>
                  </w:r>
                </w:p>
              </w:tc>
              <w:tc>
                <w:tcPr>
                  <w:tcW w:w="2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3801B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 xml:space="preserve">0.52 </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5BB1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c>
                <w:tcPr>
                  <w:tcW w:w="2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33319E">
                  <w:pPr>
                    <w:pStyle w:val="40"/>
                    <w:bidi w:val="0"/>
                    <w:rPr>
                      <w:rFonts w:hint="default" w:ascii="Times New Roman" w:hAnsi="Times New Roman" w:cs="Times New Roman"/>
                      <w:color w:val="0000FF"/>
                      <w:lang w:val="en-US"/>
                    </w:rPr>
                  </w:pPr>
                  <w:r>
                    <w:rPr>
                      <w:rFonts w:hint="default" w:ascii="Times New Roman" w:hAnsi="Times New Roman" w:cs="Times New Roman"/>
                      <w:color w:val="0000FF"/>
                      <w:lang w:val="en-US" w:eastAsia="zh-CN"/>
                    </w:rPr>
                    <w:t>0.57</w:t>
                  </w:r>
                </w:p>
              </w:tc>
            </w:tr>
            <w:tr w14:paraId="54402C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544" w:hRule="atLeast"/>
              </w:trPr>
              <w:tc>
                <w:tcPr>
                  <w:tcW w:w="95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63B7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丙烷储罐</w:t>
                  </w:r>
                </w:p>
              </w:tc>
              <w:tc>
                <w:tcPr>
                  <w:tcW w:w="41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965329">
                  <w:pPr>
                    <w:pStyle w:val="40"/>
                    <w:bidi w:val="0"/>
                    <w:rPr>
                      <w:rFonts w:hint="default" w:ascii="Times New Roman" w:hAnsi="Times New Roman" w:cs="Times New Roman"/>
                      <w:color w:val="0000FF"/>
                      <w:lang w:val="en-US" w:eastAsia="zh-CN"/>
                    </w:rPr>
                  </w:pPr>
                  <w:r>
                    <w:rPr>
                      <w:rFonts w:hint="eastAsia" w:cs="Times New Roman"/>
                      <w:color w:val="0000FF"/>
                      <w:lang w:val="en-US" w:eastAsia="zh-CN"/>
                    </w:rPr>
                    <w:t>2</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18F8D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50</w:t>
                  </w:r>
                </w:p>
              </w:tc>
              <w:tc>
                <w:tcPr>
                  <w:tcW w:w="29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ED18B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44.1</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E9712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5500</w:t>
                  </w:r>
                </w:p>
              </w:tc>
              <w:tc>
                <w:tcPr>
                  <w:tcW w:w="4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FE67E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2.75</w:t>
                  </w:r>
                </w:p>
              </w:tc>
              <w:tc>
                <w:tcPr>
                  <w:tcW w:w="48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BCEA1D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0.4</w:t>
                  </w:r>
                </w:p>
              </w:tc>
              <w:tc>
                <w:tcPr>
                  <w:tcW w:w="49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4A50C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15</w:t>
                  </w:r>
                </w:p>
              </w:tc>
              <w:tc>
                <w:tcPr>
                  <w:tcW w:w="3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D40B2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1.2</w:t>
                  </w:r>
                </w:p>
              </w:tc>
              <w:tc>
                <w:tcPr>
                  <w:tcW w:w="2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C7F65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 xml:space="preserve">0.52 </w:t>
                  </w:r>
                </w:p>
              </w:tc>
              <w:tc>
                <w:tcPr>
                  <w:tcW w:w="16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72540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c>
                <w:tcPr>
                  <w:tcW w:w="24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C6679B1">
                  <w:pPr>
                    <w:pStyle w:val="40"/>
                    <w:bidi w:val="0"/>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0.52</w:t>
                  </w:r>
                </w:p>
              </w:tc>
            </w:tr>
          </w:tbl>
          <w:p w14:paraId="1B2B49BB">
            <w:pPr>
              <w:widowControl/>
              <w:kinsoku w:val="0"/>
              <w:autoSpaceDE w:val="0"/>
              <w:autoSpaceDN w:val="0"/>
              <w:adjustRightInd w:val="0"/>
              <w:snapToGrid w:val="0"/>
              <w:spacing w:line="240" w:lineRule="auto"/>
              <w:ind w:firstLine="408" w:firstLineChars="0"/>
              <w:jc w:val="left"/>
              <w:textAlignment w:val="baseline"/>
              <w:rPr>
                <w:rFonts w:hint="default" w:ascii="Times New Roman" w:hAnsi="Times New Roman" w:eastAsia="仿宋" w:cs="Times New Roman"/>
                <w:color w:val="0000FF"/>
                <w:spacing w:val="-38"/>
                <w:kern w:val="0"/>
                <w:sz w:val="28"/>
                <w:szCs w:val="28"/>
              </w:rPr>
            </w:pPr>
          </w:p>
          <w:p w14:paraId="007B532A">
            <w:pPr>
              <w:widowControl w:val="0"/>
              <w:adjustRightInd w:val="0"/>
              <w:snapToGrid w:val="0"/>
              <w:spacing w:before="60" w:after="60" w:line="360" w:lineRule="auto"/>
              <w:ind w:firstLine="480" w:firstLineChars="200"/>
              <w:jc w:val="both"/>
              <w:rPr>
                <w:rFonts w:hint="default" w:ascii="Times New Roman" w:hAnsi="Times New Roman" w:eastAsia="宋体" w:cs="Times New Roman"/>
                <w:color w:val="0000FF"/>
                <w:kern w:val="0"/>
                <w:sz w:val="24"/>
                <w:szCs w:val="24"/>
              </w:rPr>
            </w:pPr>
            <w:r>
              <w:rPr>
                <w:rFonts w:hint="default" w:ascii="Times New Roman" w:hAnsi="Times New Roman" w:eastAsia="宋体" w:cs="Times New Roman"/>
                <w:color w:val="0000FF"/>
                <w:kern w:val="0"/>
                <w:sz w:val="24"/>
                <w:szCs w:val="24"/>
              </w:rPr>
              <w:t>储罐呼吸废气排放情况一览表见下表。</w:t>
            </w:r>
          </w:p>
          <w:p w14:paraId="73CC8CDB">
            <w:pPr>
              <w:widowControl w:val="0"/>
              <w:adjustRightInd w:val="0"/>
              <w:snapToGrid w:val="0"/>
              <w:spacing w:before="60" w:after="60" w:line="360" w:lineRule="auto"/>
              <w:ind w:firstLine="482" w:firstLineChars="200"/>
              <w:jc w:val="center"/>
              <w:rPr>
                <w:rFonts w:hint="default" w:ascii="Times New Roman" w:hAnsi="Times New Roman" w:eastAsia="宋体" w:cs="Times New Roman"/>
                <w:b/>
                <w:color w:val="0000FF"/>
                <w:kern w:val="0"/>
                <w:sz w:val="24"/>
                <w:szCs w:val="24"/>
              </w:rPr>
            </w:pPr>
            <w:r>
              <w:rPr>
                <w:rFonts w:hint="default" w:ascii="Times New Roman" w:hAnsi="Times New Roman" w:eastAsia="宋体" w:cs="Times New Roman"/>
                <w:b/>
                <w:color w:val="0000FF"/>
                <w:kern w:val="0"/>
                <w:sz w:val="24"/>
                <w:szCs w:val="24"/>
              </w:rPr>
              <w:t>表</w:t>
            </w:r>
            <w:r>
              <w:rPr>
                <w:rFonts w:hint="default" w:ascii="Times New Roman" w:hAnsi="Times New Roman" w:eastAsia="宋体" w:cs="Times New Roman"/>
                <w:b/>
                <w:color w:val="0000FF"/>
                <w:kern w:val="0"/>
                <w:sz w:val="24"/>
                <w:szCs w:val="24"/>
                <w:lang w:val="en-US" w:eastAsia="zh-CN"/>
              </w:rPr>
              <w:t>4</w:t>
            </w:r>
            <w:r>
              <w:rPr>
                <w:rFonts w:hint="default" w:ascii="Times New Roman" w:hAnsi="Times New Roman" w:cs="Times New Roman"/>
                <w:b/>
                <w:color w:val="0000FF"/>
                <w:kern w:val="0"/>
                <w:sz w:val="24"/>
                <w:szCs w:val="24"/>
                <w:lang w:val="en-US" w:eastAsia="zh-CN"/>
              </w:rPr>
              <w:t>.6</w:t>
            </w:r>
            <w:r>
              <w:rPr>
                <w:rFonts w:hint="default" w:ascii="Times New Roman" w:hAnsi="Times New Roman" w:eastAsia="宋体" w:cs="Times New Roman"/>
                <w:b/>
                <w:color w:val="0000FF"/>
                <w:kern w:val="0"/>
                <w:sz w:val="24"/>
                <w:szCs w:val="24"/>
                <w:lang w:val="en-US" w:eastAsia="zh-CN"/>
              </w:rPr>
              <w:t xml:space="preserve">-5 </w:t>
            </w:r>
            <w:r>
              <w:rPr>
                <w:rFonts w:hint="default" w:ascii="Times New Roman" w:hAnsi="Times New Roman" w:eastAsia="宋体" w:cs="Times New Roman"/>
                <w:b/>
                <w:color w:val="0000FF"/>
                <w:kern w:val="0"/>
                <w:sz w:val="24"/>
                <w:szCs w:val="24"/>
              </w:rPr>
              <w:t xml:space="preserve"> 储罐大小呼吸废气排放情况一览表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631"/>
              <w:gridCol w:w="915"/>
              <w:gridCol w:w="1204"/>
              <w:gridCol w:w="1471"/>
              <w:gridCol w:w="1213"/>
              <w:gridCol w:w="1254"/>
              <w:gridCol w:w="1519"/>
            </w:tblGrid>
            <w:tr w14:paraId="595EE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780" w:hRule="atLeast"/>
              </w:trPr>
              <w:tc>
                <w:tcPr>
                  <w:tcW w:w="384" w:type="pct"/>
                  <w:shd w:val="clear" w:color="auto" w:fill="auto"/>
                  <w:vAlign w:val="center"/>
                </w:tcPr>
                <w:p w14:paraId="0E0A026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序号</w:t>
                  </w:r>
                </w:p>
              </w:tc>
              <w:tc>
                <w:tcPr>
                  <w:tcW w:w="557" w:type="pct"/>
                  <w:shd w:val="clear" w:color="auto" w:fill="auto"/>
                  <w:vAlign w:val="center"/>
                </w:tcPr>
                <w:p w14:paraId="3314CAB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污染物名称</w:t>
                  </w:r>
                </w:p>
              </w:tc>
              <w:tc>
                <w:tcPr>
                  <w:tcW w:w="732" w:type="pct"/>
                  <w:shd w:val="clear" w:color="auto" w:fill="auto"/>
                  <w:vAlign w:val="center"/>
                </w:tcPr>
                <w:p w14:paraId="62CACA7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污染源位置</w:t>
                  </w:r>
                </w:p>
              </w:tc>
              <w:tc>
                <w:tcPr>
                  <w:tcW w:w="896" w:type="pct"/>
                  <w:shd w:val="clear" w:color="auto" w:fill="auto"/>
                  <w:vAlign w:val="center"/>
                </w:tcPr>
                <w:p w14:paraId="3C98F3C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小呼吸产生量(t/a)</w:t>
                  </w:r>
                </w:p>
              </w:tc>
              <w:tc>
                <w:tcPr>
                  <w:tcW w:w="739" w:type="pct"/>
                  <w:shd w:val="clear" w:color="auto" w:fill="auto"/>
                  <w:vAlign w:val="center"/>
                </w:tcPr>
                <w:p w14:paraId="7120A8C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大呼吸产生量(t/a)</w:t>
                  </w:r>
                </w:p>
              </w:tc>
              <w:tc>
                <w:tcPr>
                  <w:tcW w:w="764" w:type="pct"/>
                  <w:shd w:val="clear" w:color="auto" w:fill="auto"/>
                  <w:vAlign w:val="center"/>
                </w:tcPr>
                <w:p w14:paraId="0C4EFCD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污染物产生量(t/a)</w:t>
                  </w:r>
                </w:p>
              </w:tc>
              <w:tc>
                <w:tcPr>
                  <w:tcW w:w="925" w:type="pct"/>
                  <w:shd w:val="clear" w:color="auto" w:fill="auto"/>
                  <w:vAlign w:val="center"/>
                </w:tcPr>
                <w:p w14:paraId="77A907C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无组织排放量(t/a)</w:t>
                  </w:r>
                </w:p>
              </w:tc>
            </w:tr>
            <w:tr w14:paraId="5EDCD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384" w:type="pct"/>
                  <w:shd w:val="clear" w:color="auto" w:fill="auto"/>
                  <w:vAlign w:val="center"/>
                </w:tcPr>
                <w:p w14:paraId="564D669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557" w:type="pct"/>
                  <w:shd w:val="clear" w:color="auto" w:fill="auto"/>
                  <w:vAlign w:val="center"/>
                </w:tcPr>
                <w:p w14:paraId="480ED84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非甲烷总烃</w:t>
                  </w:r>
                </w:p>
              </w:tc>
              <w:tc>
                <w:tcPr>
                  <w:tcW w:w="732" w:type="pct"/>
                  <w:shd w:val="clear" w:color="auto" w:fill="auto"/>
                  <w:vAlign w:val="center"/>
                </w:tcPr>
                <w:p w14:paraId="07800BB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液化石油气储罐</w:t>
                  </w:r>
                </w:p>
              </w:tc>
              <w:tc>
                <w:tcPr>
                  <w:tcW w:w="896" w:type="pct"/>
                  <w:shd w:val="clear" w:color="auto" w:fill="auto"/>
                  <w:vAlign w:val="center"/>
                </w:tcPr>
                <w:p w14:paraId="5B0C1AEE">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0.0197 </w:t>
                  </w:r>
                </w:p>
              </w:tc>
              <w:tc>
                <w:tcPr>
                  <w:tcW w:w="739" w:type="pct"/>
                  <w:shd w:val="clear" w:color="auto" w:fill="auto"/>
                  <w:vAlign w:val="center"/>
                </w:tcPr>
                <w:p w14:paraId="492BBEF3">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0.0001 </w:t>
                  </w:r>
                </w:p>
              </w:tc>
              <w:tc>
                <w:tcPr>
                  <w:tcW w:w="764" w:type="pct"/>
                  <w:shd w:val="clear" w:color="auto" w:fill="auto"/>
                  <w:vAlign w:val="center"/>
                </w:tcPr>
                <w:p w14:paraId="07D0C9FB">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0.0198 </w:t>
                  </w:r>
                </w:p>
              </w:tc>
              <w:tc>
                <w:tcPr>
                  <w:tcW w:w="925" w:type="pct"/>
                  <w:shd w:val="clear" w:color="auto" w:fill="auto"/>
                  <w:vAlign w:val="center"/>
                </w:tcPr>
                <w:p w14:paraId="1C69AE5A">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0.0198 </w:t>
                  </w:r>
                </w:p>
              </w:tc>
            </w:tr>
            <w:tr w14:paraId="388B5D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384" w:type="pct"/>
                  <w:shd w:val="clear" w:color="auto" w:fill="auto"/>
                  <w:vAlign w:val="center"/>
                </w:tcPr>
                <w:p w14:paraId="44ED12A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557" w:type="pct"/>
                  <w:shd w:val="clear" w:color="auto" w:fill="auto"/>
                  <w:vAlign w:val="center"/>
                </w:tcPr>
                <w:p w14:paraId="540DA70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非甲烷总烃</w:t>
                  </w:r>
                </w:p>
              </w:tc>
              <w:tc>
                <w:tcPr>
                  <w:tcW w:w="732" w:type="pct"/>
                  <w:shd w:val="clear" w:color="auto" w:fill="auto"/>
                  <w:vAlign w:val="center"/>
                </w:tcPr>
                <w:p w14:paraId="06AA633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丙烷储罐</w:t>
                  </w:r>
                </w:p>
              </w:tc>
              <w:tc>
                <w:tcPr>
                  <w:tcW w:w="896" w:type="pct"/>
                  <w:shd w:val="clear" w:color="auto" w:fill="auto"/>
                  <w:vAlign w:val="center"/>
                </w:tcPr>
                <w:p w14:paraId="5A938022">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0.0184 </w:t>
                  </w:r>
                </w:p>
              </w:tc>
              <w:tc>
                <w:tcPr>
                  <w:tcW w:w="739" w:type="pct"/>
                  <w:shd w:val="clear" w:color="auto" w:fill="auto"/>
                  <w:vAlign w:val="center"/>
                </w:tcPr>
                <w:p w14:paraId="4B0930B5">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0.0001 </w:t>
                  </w:r>
                </w:p>
              </w:tc>
              <w:tc>
                <w:tcPr>
                  <w:tcW w:w="764" w:type="pct"/>
                  <w:shd w:val="clear" w:color="auto" w:fill="auto"/>
                  <w:vAlign w:val="center"/>
                </w:tcPr>
                <w:p w14:paraId="07C1FBA8">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0.0185 </w:t>
                  </w:r>
                </w:p>
              </w:tc>
              <w:tc>
                <w:tcPr>
                  <w:tcW w:w="925" w:type="pct"/>
                  <w:shd w:val="clear" w:color="auto" w:fill="auto"/>
                  <w:vAlign w:val="center"/>
                </w:tcPr>
                <w:p w14:paraId="1A4D082D">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 xml:space="preserve">0.0185 </w:t>
                  </w:r>
                </w:p>
              </w:tc>
            </w:tr>
            <w:tr w14:paraId="6086F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384" w:type="pct"/>
                  <w:shd w:val="clear" w:color="auto" w:fill="auto"/>
                  <w:vAlign w:val="center"/>
                </w:tcPr>
                <w:p w14:paraId="1FF633C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合计</w:t>
                  </w:r>
                </w:p>
              </w:tc>
              <w:tc>
                <w:tcPr>
                  <w:tcW w:w="1290" w:type="pct"/>
                  <w:gridSpan w:val="2"/>
                  <w:shd w:val="clear" w:color="auto" w:fill="auto"/>
                  <w:vAlign w:val="center"/>
                </w:tcPr>
                <w:p w14:paraId="3E7EB30F">
                  <w:pPr>
                    <w:jc w:val="center"/>
                    <w:rPr>
                      <w:rFonts w:hint="default" w:ascii="Times New Roman" w:hAnsi="Times New Roman" w:eastAsia="宋体" w:cs="Times New Roman"/>
                      <w:i w:val="0"/>
                      <w:iCs w:val="0"/>
                      <w:color w:val="0000FF"/>
                      <w:sz w:val="22"/>
                      <w:szCs w:val="22"/>
                      <w:u w:val="none"/>
                    </w:rPr>
                  </w:pPr>
                  <w:r>
                    <w:rPr>
                      <w:rFonts w:hint="default" w:ascii="Times New Roman" w:hAnsi="Times New Roman" w:eastAsia="宋体" w:cs="Times New Roman"/>
                      <w:i w:val="0"/>
                      <w:iCs w:val="0"/>
                      <w:color w:val="0000FF"/>
                      <w:kern w:val="0"/>
                      <w:sz w:val="21"/>
                      <w:szCs w:val="21"/>
                      <w:u w:val="none"/>
                      <w:lang w:val="en-US" w:eastAsia="zh-CN" w:bidi="ar"/>
                    </w:rPr>
                    <w:t>非甲烷总烃</w:t>
                  </w:r>
                </w:p>
              </w:tc>
              <w:tc>
                <w:tcPr>
                  <w:tcW w:w="896" w:type="pct"/>
                  <w:shd w:val="clear" w:color="auto" w:fill="auto"/>
                  <w:noWrap/>
                  <w:vAlign w:val="center"/>
                </w:tcPr>
                <w:p w14:paraId="150CD310">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0.038 </w:t>
                  </w:r>
                </w:p>
              </w:tc>
              <w:tc>
                <w:tcPr>
                  <w:tcW w:w="739" w:type="pct"/>
                  <w:shd w:val="clear" w:color="auto" w:fill="auto"/>
                  <w:vAlign w:val="center"/>
                </w:tcPr>
                <w:p w14:paraId="594E1FA3">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0.0002 </w:t>
                  </w:r>
                </w:p>
              </w:tc>
              <w:tc>
                <w:tcPr>
                  <w:tcW w:w="764" w:type="pct"/>
                  <w:shd w:val="clear" w:color="auto" w:fill="auto"/>
                  <w:noWrap/>
                  <w:vAlign w:val="center"/>
                </w:tcPr>
                <w:p w14:paraId="71C52CAF">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0.0383 </w:t>
                  </w:r>
                </w:p>
              </w:tc>
              <w:tc>
                <w:tcPr>
                  <w:tcW w:w="925" w:type="pct"/>
                  <w:shd w:val="clear" w:color="auto" w:fill="auto"/>
                  <w:noWrap/>
                  <w:vAlign w:val="center"/>
                </w:tcPr>
                <w:p w14:paraId="3417FD69">
                  <w:pPr>
                    <w:keepNext w:val="0"/>
                    <w:keepLines w:val="0"/>
                    <w:widowControl/>
                    <w:suppressLineNumbers w:val="0"/>
                    <w:jc w:val="center"/>
                    <w:textAlignment w:val="center"/>
                    <w:rPr>
                      <w:rFonts w:hint="default" w:ascii="Times New Roman" w:hAnsi="Times New Roman" w:cs="Times New Roman"/>
                      <w:color w:val="0000FF"/>
                    </w:rPr>
                  </w:pPr>
                  <w:r>
                    <w:rPr>
                      <w:rFonts w:hint="default" w:ascii="Times New Roman" w:hAnsi="Times New Roman" w:eastAsia="宋体" w:cs="Times New Roman"/>
                      <w:i w:val="0"/>
                      <w:iCs w:val="0"/>
                      <w:color w:val="0000FF"/>
                      <w:kern w:val="0"/>
                      <w:sz w:val="22"/>
                      <w:szCs w:val="22"/>
                      <w:u w:val="none"/>
                      <w:lang w:val="en-US" w:eastAsia="zh-CN" w:bidi="ar"/>
                    </w:rPr>
                    <w:t xml:space="preserve">0.0383 </w:t>
                  </w:r>
                </w:p>
              </w:tc>
            </w:tr>
          </w:tbl>
          <w:p w14:paraId="02DB7E78">
            <w:pPr>
              <w:keepNext w:val="0"/>
              <w:keepLines w:val="0"/>
              <w:pageBreakBefore w:val="0"/>
              <w:widowControl/>
              <w:numPr>
                <w:ilvl w:val="0"/>
                <w:numId w:val="14"/>
              </w:numPr>
              <w:suppressLineNumbers w:val="0"/>
              <w:kinsoku/>
              <w:wordWrap/>
              <w:overflowPunct/>
              <w:topLinePunct w:val="0"/>
              <w:autoSpaceDE/>
              <w:autoSpaceDN/>
              <w:bidi w:val="0"/>
              <w:adjustRightInd/>
              <w:snapToGrid/>
              <w:spacing w:line="360" w:lineRule="auto"/>
              <w:ind w:left="-62" w:leftChars="0" w:firstLine="482" w:firstLineChars="0"/>
              <w:jc w:val="left"/>
              <w:textAlignment w:val="auto"/>
              <w:rPr>
                <w:rFonts w:hint="default" w:ascii="Times New Roman" w:hAnsi="Times New Roman" w:eastAsia="宋体" w:cs="Times New Roman"/>
                <w:b/>
                <w:bCs/>
                <w:color w:val="0000FF"/>
                <w:kern w:val="0"/>
                <w:sz w:val="24"/>
                <w:szCs w:val="24"/>
                <w:lang w:val="en-US" w:eastAsia="zh-CN" w:bidi="ar"/>
              </w:rPr>
            </w:pPr>
            <w:r>
              <w:rPr>
                <w:rFonts w:hint="default" w:ascii="Times New Roman" w:hAnsi="Times New Roman" w:cs="Times New Roman"/>
                <w:b/>
                <w:bCs/>
                <w:color w:val="0000FF"/>
                <w:kern w:val="0"/>
                <w:sz w:val="24"/>
                <w:szCs w:val="24"/>
                <w:lang w:val="en-US" w:eastAsia="zh-CN" w:bidi="ar"/>
              </w:rPr>
              <w:t>灌装</w:t>
            </w:r>
            <w:r>
              <w:rPr>
                <w:rFonts w:hint="default" w:ascii="Times New Roman" w:hAnsi="Times New Roman" w:eastAsia="宋体" w:cs="Times New Roman"/>
                <w:b/>
                <w:bCs/>
                <w:color w:val="0000FF"/>
                <w:kern w:val="0"/>
                <w:sz w:val="24"/>
                <w:szCs w:val="24"/>
                <w:lang w:val="en-US" w:eastAsia="zh-CN" w:bidi="ar"/>
              </w:rPr>
              <w:t xml:space="preserve">废气 </w:t>
            </w:r>
          </w:p>
          <w:p w14:paraId="595A296D">
            <w:pPr>
              <w:spacing w:line="360" w:lineRule="auto"/>
              <w:ind w:firstLine="480" w:firstLineChars="200"/>
              <w:rPr>
                <w:rFonts w:hint="default" w:ascii="Times New Roman" w:hAnsi="Times New Roman" w:eastAsia="宋体" w:cs="Times New Roman"/>
                <w:color w:val="0000FF"/>
                <w:kern w:val="0"/>
                <w:sz w:val="24"/>
                <w:szCs w:val="24"/>
                <w:lang w:val="en-US" w:eastAsia="zh-CN"/>
              </w:rPr>
            </w:pPr>
            <w:r>
              <w:rPr>
                <w:rFonts w:hint="default" w:ascii="Times New Roman" w:hAnsi="Times New Roman" w:eastAsia="宋体" w:cs="Times New Roman"/>
                <w:color w:val="0000FF"/>
                <w:kern w:val="0"/>
                <w:sz w:val="24"/>
                <w:szCs w:val="24"/>
                <w:lang w:val="en-US" w:eastAsia="zh-CN"/>
              </w:rPr>
              <w:t>液化石油气、丙烷从储罐充装进入钢瓶的过程中产生少量的非甲烷总烃。根据同类型项目，《茶恩寺镇年充装1000t液化石油气建设项目》液化气充装站无组织排放烃类气体（以非甲烷总烃计）产生系数为0.048kg/t-液化石油气。因液化石油气主要成分为丙烷，因此本项目统一按照以上系数核算。</w:t>
            </w:r>
          </w:p>
          <w:p w14:paraId="365C6ACC">
            <w:pPr>
              <w:spacing w:line="360" w:lineRule="auto"/>
              <w:ind w:firstLine="482" w:firstLineChars="200"/>
              <w:jc w:val="center"/>
              <w:rPr>
                <w:rFonts w:hint="default" w:ascii="Times New Roman" w:hAnsi="Times New Roman" w:eastAsia="宋体" w:cs="Times New Roman"/>
                <w:b/>
                <w:color w:val="0000FF"/>
                <w:kern w:val="0"/>
                <w:sz w:val="24"/>
                <w:szCs w:val="24"/>
              </w:rPr>
            </w:pPr>
            <w:r>
              <w:rPr>
                <w:rFonts w:hint="default" w:ascii="Times New Roman" w:hAnsi="Times New Roman" w:eastAsia="宋体" w:cs="Times New Roman"/>
                <w:b/>
                <w:color w:val="0000FF"/>
                <w:kern w:val="0"/>
                <w:sz w:val="24"/>
                <w:szCs w:val="24"/>
              </w:rPr>
              <w:t>表</w:t>
            </w:r>
            <w:r>
              <w:rPr>
                <w:rFonts w:hint="default" w:ascii="Times New Roman" w:hAnsi="Times New Roman" w:eastAsia="宋体" w:cs="Times New Roman"/>
                <w:b/>
                <w:color w:val="0000FF"/>
                <w:kern w:val="0"/>
                <w:sz w:val="24"/>
                <w:szCs w:val="24"/>
                <w:lang w:val="en-US" w:eastAsia="zh-CN"/>
              </w:rPr>
              <w:t>4</w:t>
            </w:r>
            <w:r>
              <w:rPr>
                <w:rFonts w:hint="default" w:ascii="Times New Roman" w:hAnsi="Times New Roman" w:cs="Times New Roman"/>
                <w:b/>
                <w:color w:val="0000FF"/>
                <w:kern w:val="0"/>
                <w:sz w:val="24"/>
                <w:szCs w:val="24"/>
                <w:lang w:val="en-US" w:eastAsia="zh-CN"/>
              </w:rPr>
              <w:t>.6</w:t>
            </w:r>
            <w:r>
              <w:rPr>
                <w:rFonts w:hint="default" w:ascii="Times New Roman" w:hAnsi="Times New Roman" w:eastAsia="宋体" w:cs="Times New Roman"/>
                <w:b/>
                <w:color w:val="0000FF"/>
                <w:kern w:val="0"/>
                <w:sz w:val="24"/>
                <w:szCs w:val="24"/>
                <w:lang w:val="en-US" w:eastAsia="zh-CN"/>
              </w:rPr>
              <w:t>-</w:t>
            </w:r>
            <w:r>
              <w:rPr>
                <w:rFonts w:hint="default" w:ascii="Times New Roman" w:hAnsi="Times New Roman" w:cs="Times New Roman"/>
                <w:b/>
                <w:color w:val="0000FF"/>
                <w:kern w:val="0"/>
                <w:sz w:val="24"/>
                <w:szCs w:val="24"/>
                <w:lang w:val="en-US" w:eastAsia="zh-CN"/>
              </w:rPr>
              <w:t>6</w:t>
            </w:r>
            <w:r>
              <w:rPr>
                <w:rFonts w:hint="default" w:ascii="Times New Roman" w:hAnsi="Times New Roman" w:eastAsia="宋体" w:cs="Times New Roman"/>
                <w:b/>
                <w:color w:val="0000FF"/>
                <w:kern w:val="0"/>
                <w:sz w:val="24"/>
                <w:szCs w:val="24"/>
                <w:lang w:val="en-US" w:eastAsia="zh-CN"/>
              </w:rPr>
              <w:t xml:space="preserve"> </w:t>
            </w:r>
            <w:r>
              <w:rPr>
                <w:rFonts w:hint="default" w:ascii="Times New Roman" w:hAnsi="Times New Roman" w:eastAsia="宋体" w:cs="Times New Roman"/>
                <w:b/>
                <w:color w:val="0000FF"/>
                <w:kern w:val="0"/>
                <w:sz w:val="24"/>
                <w:szCs w:val="24"/>
              </w:rPr>
              <w:t xml:space="preserve"> </w:t>
            </w:r>
            <w:r>
              <w:rPr>
                <w:rFonts w:hint="default" w:ascii="Times New Roman" w:hAnsi="Times New Roman" w:cs="Times New Roman"/>
                <w:b/>
                <w:color w:val="0000FF"/>
                <w:kern w:val="0"/>
                <w:sz w:val="24"/>
                <w:szCs w:val="24"/>
                <w:lang w:val="en-US" w:eastAsia="zh-CN"/>
              </w:rPr>
              <w:t xml:space="preserve">  灌装</w:t>
            </w:r>
            <w:r>
              <w:rPr>
                <w:rFonts w:hint="default" w:ascii="Times New Roman" w:hAnsi="Times New Roman" w:eastAsia="宋体" w:cs="Times New Roman"/>
                <w:b/>
                <w:color w:val="0000FF"/>
                <w:kern w:val="0"/>
                <w:sz w:val="24"/>
                <w:szCs w:val="24"/>
              </w:rPr>
              <w:t>废气排放情况一览表</w:t>
            </w:r>
          </w:p>
          <w:tbl>
            <w:tblPr>
              <w:tblStyle w:val="3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9"/>
              <w:gridCol w:w="1642"/>
              <w:gridCol w:w="1642"/>
              <w:gridCol w:w="1642"/>
              <w:gridCol w:w="1642"/>
            </w:tblGrid>
            <w:tr w14:paraId="4F620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pct"/>
                  <w:vAlign w:val="center"/>
                </w:tcPr>
                <w:p w14:paraId="6A98F4F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物料</w:t>
                  </w:r>
                </w:p>
              </w:tc>
              <w:tc>
                <w:tcPr>
                  <w:tcW w:w="1000" w:type="pct"/>
                  <w:vAlign w:val="center"/>
                </w:tcPr>
                <w:p w14:paraId="438FE36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污染物</w:t>
                  </w:r>
                </w:p>
              </w:tc>
              <w:tc>
                <w:tcPr>
                  <w:tcW w:w="1000" w:type="pct"/>
                  <w:vAlign w:val="center"/>
                </w:tcPr>
                <w:p w14:paraId="65D5367D">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排放系数</w:t>
                  </w:r>
                </w:p>
                <w:p w14:paraId="6A5686D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（kg/t-物料）</w:t>
                  </w:r>
                </w:p>
              </w:tc>
              <w:tc>
                <w:tcPr>
                  <w:tcW w:w="1000" w:type="pct"/>
                  <w:vAlign w:val="center"/>
                </w:tcPr>
                <w:p w14:paraId="22CD537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年加注量（t/a）</w:t>
                  </w:r>
                </w:p>
              </w:tc>
              <w:tc>
                <w:tcPr>
                  <w:tcW w:w="1000" w:type="pct"/>
                  <w:vAlign w:val="center"/>
                </w:tcPr>
                <w:p w14:paraId="5CED0C2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污染物排放量（t/a）</w:t>
                  </w:r>
                </w:p>
              </w:tc>
            </w:tr>
            <w:tr w14:paraId="1617C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pct"/>
                  <w:vAlign w:val="center"/>
                </w:tcPr>
                <w:p w14:paraId="4692D82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液化石油气</w:t>
                  </w:r>
                </w:p>
              </w:tc>
              <w:tc>
                <w:tcPr>
                  <w:tcW w:w="1000" w:type="pct"/>
                  <w:vAlign w:val="center"/>
                </w:tcPr>
                <w:p w14:paraId="43D1C785">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非甲烷总烃</w:t>
                  </w:r>
                </w:p>
              </w:tc>
              <w:tc>
                <w:tcPr>
                  <w:tcW w:w="1000" w:type="pct"/>
                  <w:vAlign w:val="center"/>
                </w:tcPr>
                <w:p w14:paraId="04F5912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0.048</w:t>
                  </w:r>
                </w:p>
              </w:tc>
              <w:tc>
                <w:tcPr>
                  <w:tcW w:w="1000" w:type="pct"/>
                  <w:vAlign w:val="center"/>
                </w:tcPr>
                <w:p w14:paraId="50879A90">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3300</w:t>
                  </w:r>
                </w:p>
              </w:tc>
              <w:tc>
                <w:tcPr>
                  <w:tcW w:w="1000" w:type="pct"/>
                  <w:vAlign w:val="center"/>
                </w:tcPr>
                <w:p w14:paraId="2A2DB21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 xml:space="preserve">0.158 </w:t>
                  </w:r>
                </w:p>
              </w:tc>
            </w:tr>
            <w:tr w14:paraId="6038B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pct"/>
                  <w:vAlign w:val="center"/>
                </w:tcPr>
                <w:p w14:paraId="3A701B61">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改性丙烷</w:t>
                  </w:r>
                </w:p>
              </w:tc>
              <w:tc>
                <w:tcPr>
                  <w:tcW w:w="1000" w:type="pct"/>
                  <w:vAlign w:val="center"/>
                </w:tcPr>
                <w:p w14:paraId="371F3B9A">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非甲烷总烃</w:t>
                  </w:r>
                </w:p>
              </w:tc>
              <w:tc>
                <w:tcPr>
                  <w:tcW w:w="1000" w:type="pct"/>
                  <w:vAlign w:val="center"/>
                </w:tcPr>
                <w:p w14:paraId="6A41585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0.048</w:t>
                  </w:r>
                </w:p>
              </w:tc>
              <w:tc>
                <w:tcPr>
                  <w:tcW w:w="1000" w:type="pct"/>
                  <w:vAlign w:val="center"/>
                </w:tcPr>
                <w:p w14:paraId="0A1E1930">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3300</w:t>
                  </w:r>
                </w:p>
              </w:tc>
              <w:tc>
                <w:tcPr>
                  <w:tcW w:w="1000" w:type="pct"/>
                  <w:vAlign w:val="center"/>
                </w:tcPr>
                <w:p w14:paraId="0389A37E">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 xml:space="preserve">0.158 </w:t>
                  </w:r>
                </w:p>
              </w:tc>
            </w:tr>
            <w:tr w14:paraId="36C7E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8" w:type="pct"/>
                  <w:vAlign w:val="center"/>
                </w:tcPr>
                <w:p w14:paraId="47AF0B4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合计</w:t>
                  </w:r>
                </w:p>
              </w:tc>
              <w:tc>
                <w:tcPr>
                  <w:tcW w:w="1000" w:type="pct"/>
                  <w:vAlign w:val="center"/>
                </w:tcPr>
                <w:p w14:paraId="6C7D910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非甲烷总烃</w:t>
                  </w:r>
                </w:p>
              </w:tc>
              <w:tc>
                <w:tcPr>
                  <w:tcW w:w="1000" w:type="pct"/>
                  <w:vAlign w:val="center"/>
                </w:tcPr>
                <w:p w14:paraId="4A019B7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1000" w:type="pct"/>
                  <w:vAlign w:val="center"/>
                </w:tcPr>
                <w:p w14:paraId="3D72E5F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6600</w:t>
                  </w:r>
                </w:p>
              </w:tc>
              <w:tc>
                <w:tcPr>
                  <w:tcW w:w="1000" w:type="pct"/>
                  <w:vAlign w:val="center"/>
                </w:tcPr>
                <w:p w14:paraId="414ECC37">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0.317</w:t>
                  </w:r>
                </w:p>
              </w:tc>
            </w:tr>
          </w:tbl>
          <w:p w14:paraId="5DAB8A25">
            <w:pPr>
              <w:keepNext w:val="0"/>
              <w:keepLines w:val="0"/>
              <w:pageBreakBefore w:val="0"/>
              <w:widowControl/>
              <w:numPr>
                <w:ilvl w:val="0"/>
                <w:numId w:val="14"/>
              </w:numPr>
              <w:suppressLineNumbers w:val="0"/>
              <w:kinsoku/>
              <w:wordWrap/>
              <w:overflowPunct/>
              <w:topLinePunct w:val="0"/>
              <w:autoSpaceDE/>
              <w:autoSpaceDN/>
              <w:bidi w:val="0"/>
              <w:adjustRightInd/>
              <w:snapToGrid/>
              <w:spacing w:line="360" w:lineRule="auto"/>
              <w:ind w:left="-62" w:leftChars="0" w:firstLine="482" w:firstLineChars="0"/>
              <w:jc w:val="left"/>
              <w:textAlignment w:val="auto"/>
              <w:rPr>
                <w:rFonts w:hint="default" w:ascii="Times New Roman" w:hAnsi="Times New Roman" w:cs="Times New Roman"/>
                <w:b/>
                <w:bCs/>
                <w:color w:val="0000FF"/>
                <w:kern w:val="0"/>
                <w:sz w:val="24"/>
                <w:szCs w:val="24"/>
                <w:lang w:val="en-US" w:eastAsia="zh-CN" w:bidi="ar"/>
              </w:rPr>
            </w:pPr>
            <w:r>
              <w:rPr>
                <w:rFonts w:hint="default" w:ascii="Times New Roman" w:hAnsi="Times New Roman" w:cs="Times New Roman"/>
                <w:b/>
                <w:bCs/>
                <w:color w:val="0000FF"/>
                <w:kern w:val="0"/>
                <w:sz w:val="24"/>
                <w:szCs w:val="24"/>
                <w:lang w:val="en-US" w:eastAsia="zh-CN" w:bidi="ar"/>
              </w:rPr>
              <w:t>残液回收废气</w:t>
            </w:r>
          </w:p>
          <w:p w14:paraId="5C8C6DE1">
            <w:pPr>
              <w:spacing w:line="360" w:lineRule="auto"/>
              <w:ind w:firstLine="480" w:firstLineChars="200"/>
              <w:rPr>
                <w:rFonts w:hint="default" w:ascii="Times New Roman" w:hAnsi="Times New Roman" w:eastAsia="宋体" w:cs="Times New Roman"/>
                <w:color w:val="0000FF"/>
                <w:kern w:val="0"/>
                <w:sz w:val="24"/>
                <w:szCs w:val="24"/>
                <w:lang w:val="en-US" w:eastAsia="zh-CN"/>
              </w:rPr>
            </w:pPr>
            <w:r>
              <w:rPr>
                <w:rFonts w:hint="default" w:ascii="Times New Roman" w:hAnsi="Times New Roman" w:eastAsia="宋体" w:cs="Times New Roman"/>
                <w:color w:val="0000FF"/>
                <w:kern w:val="0"/>
                <w:sz w:val="24"/>
                <w:szCs w:val="24"/>
                <w:lang w:val="en-US" w:eastAsia="zh-CN"/>
              </w:rPr>
              <w:t>残液回收废气主要来源于液化石油气钢瓶的残液回收处理时，未回收完全、残留在钢瓶内的少量残液挥发，主要污染因子为非甲烷总烃。本项目</w:t>
            </w:r>
            <w:r>
              <w:rPr>
                <w:rFonts w:hint="eastAsia" w:cs="Times New Roman"/>
                <w:color w:val="0000FF"/>
                <w:kern w:val="0"/>
                <w:sz w:val="24"/>
                <w:szCs w:val="24"/>
                <w:lang w:val="en-US" w:eastAsia="zh-CN"/>
              </w:rPr>
              <w:t>灌装</w:t>
            </w:r>
            <w:r>
              <w:rPr>
                <w:rFonts w:hint="default" w:ascii="Times New Roman" w:hAnsi="Times New Roman" w:eastAsia="宋体" w:cs="Times New Roman"/>
                <w:color w:val="0000FF"/>
                <w:kern w:val="0"/>
                <w:sz w:val="24"/>
                <w:szCs w:val="24"/>
                <w:lang w:val="en-US" w:eastAsia="zh-CN"/>
              </w:rPr>
              <w:t>钢瓶约</w:t>
            </w:r>
            <w:r>
              <w:rPr>
                <w:rFonts w:hint="eastAsia" w:cs="Times New Roman"/>
                <w:color w:val="0000FF"/>
                <w:kern w:val="0"/>
                <w:sz w:val="24"/>
                <w:szCs w:val="24"/>
                <w:lang w:val="en-US" w:eastAsia="zh-CN"/>
              </w:rPr>
              <w:t>22</w:t>
            </w:r>
            <w:r>
              <w:rPr>
                <w:rFonts w:hint="default" w:ascii="Times New Roman" w:hAnsi="Times New Roman" w:eastAsia="宋体" w:cs="Times New Roman"/>
                <w:color w:val="0000FF"/>
                <w:kern w:val="0"/>
                <w:sz w:val="24"/>
                <w:szCs w:val="24"/>
                <w:lang w:val="en-US" w:eastAsia="zh-CN"/>
              </w:rPr>
              <w:t>万只，参考行业经验资料，每只钢瓶残气泄漏的非甲烷总烃产生量约为1g，则本项目非甲烷总烃产生量为</w:t>
            </w:r>
            <w:r>
              <w:rPr>
                <w:rFonts w:hint="eastAsia" w:cs="Times New Roman"/>
                <w:color w:val="0000FF"/>
                <w:kern w:val="0"/>
                <w:sz w:val="24"/>
                <w:szCs w:val="24"/>
                <w:lang w:val="en-US" w:eastAsia="zh-CN"/>
              </w:rPr>
              <w:t>0.22</w:t>
            </w:r>
            <w:r>
              <w:rPr>
                <w:rFonts w:hint="default" w:ascii="Times New Roman" w:hAnsi="Times New Roman" w:eastAsia="宋体" w:cs="Times New Roman"/>
                <w:color w:val="0000FF"/>
                <w:kern w:val="0"/>
                <w:sz w:val="24"/>
                <w:szCs w:val="24"/>
                <w:lang w:val="en-US" w:eastAsia="zh-CN"/>
              </w:rPr>
              <w:t>t/a。</w:t>
            </w:r>
          </w:p>
          <w:p w14:paraId="3396913A">
            <w:pPr>
              <w:keepNext w:val="0"/>
              <w:keepLines w:val="0"/>
              <w:pageBreakBefore w:val="0"/>
              <w:widowControl/>
              <w:numPr>
                <w:ilvl w:val="0"/>
                <w:numId w:val="14"/>
              </w:numPr>
              <w:suppressLineNumbers w:val="0"/>
              <w:kinsoku/>
              <w:wordWrap/>
              <w:overflowPunct/>
              <w:topLinePunct w:val="0"/>
              <w:autoSpaceDE/>
              <w:autoSpaceDN/>
              <w:bidi w:val="0"/>
              <w:adjustRightInd/>
              <w:snapToGrid/>
              <w:spacing w:line="360" w:lineRule="auto"/>
              <w:ind w:left="-62" w:leftChars="0" w:firstLine="482" w:firstLineChars="0"/>
              <w:jc w:val="left"/>
              <w:textAlignment w:val="auto"/>
              <w:rPr>
                <w:rFonts w:hint="eastAsia" w:ascii="Times New Roman" w:hAnsi="Times New Roman" w:eastAsia="宋体" w:cs="Times New Roman"/>
                <w:b/>
                <w:bCs/>
                <w:color w:val="0000FF"/>
                <w:kern w:val="0"/>
                <w:sz w:val="24"/>
                <w:szCs w:val="24"/>
                <w:lang w:val="en-US" w:eastAsia="zh-CN" w:bidi="ar"/>
              </w:rPr>
            </w:pPr>
            <w:r>
              <w:rPr>
                <w:rFonts w:hint="eastAsia" w:ascii="Times New Roman" w:hAnsi="Times New Roman" w:eastAsia="宋体" w:cs="Times New Roman"/>
                <w:b/>
                <w:bCs/>
                <w:color w:val="0000FF"/>
                <w:kern w:val="0"/>
                <w:sz w:val="24"/>
                <w:szCs w:val="24"/>
                <w:lang w:val="en-US" w:eastAsia="zh-CN" w:bidi="ar"/>
              </w:rPr>
              <w:t>管道及灌装设备无组织挥发性有机物</w:t>
            </w:r>
          </w:p>
          <w:p w14:paraId="64954330">
            <w:pPr>
              <w:snapToGrid w:val="0"/>
              <w:spacing w:line="360" w:lineRule="auto"/>
              <w:ind w:firstLine="510"/>
              <w:rPr>
                <w:rFonts w:ascii="Times New Roman" w:hAnsi="Times New Roman" w:cs="Times New Roman"/>
                <w:color w:val="0000FF"/>
                <w:sz w:val="24"/>
                <w:szCs w:val="24"/>
              </w:rPr>
            </w:pPr>
            <w:r>
              <w:rPr>
                <w:rFonts w:ascii="Times New Roman" w:hAnsi="Times New Roman" w:eastAsia="宋体" w:cs="Times New Roman"/>
                <w:color w:val="0000FF"/>
                <w:sz w:val="24"/>
              </w:rPr>
              <w:t>本项目生产区涉及</w:t>
            </w:r>
            <w:r>
              <w:rPr>
                <w:rFonts w:hint="eastAsia" w:ascii="Times New Roman" w:hAnsi="Times New Roman" w:eastAsia="宋体" w:cs="Times New Roman"/>
                <w:color w:val="0000FF"/>
                <w:sz w:val="24"/>
                <w:lang w:val="en-US" w:eastAsia="zh-CN"/>
              </w:rPr>
              <w:t>液化石油气、丙烷</w:t>
            </w:r>
            <w:r>
              <w:rPr>
                <w:rFonts w:ascii="Times New Roman" w:hAnsi="Times New Roman" w:eastAsia="宋体" w:cs="Times New Roman"/>
                <w:color w:val="0000FF"/>
                <w:sz w:val="24"/>
              </w:rPr>
              <w:t>等挥发性有机物，正常生产过程中可能从设备连接处逸散少量废气，主要污染因子为挥发性有机废气（非甲烷总烃）。</w:t>
            </w:r>
            <w:r>
              <w:rPr>
                <w:rFonts w:ascii="Times New Roman" w:hAnsi="Times New Roman" w:cs="Times New Roman"/>
                <w:color w:val="0000FF"/>
                <w:sz w:val="24"/>
                <w:szCs w:val="24"/>
              </w:rPr>
              <w:t>本次评价参考《排污许可证申请与核发技术规范石化工业》（HJ853-2017）中“设备与管线组件密封点泄漏挥发性有机物年许可排放量”公式来计算本项目生产装置区无组织泄露VOCs排放量，公式如下：</w:t>
            </w:r>
          </w:p>
          <w:p w14:paraId="59081D05">
            <w:pPr>
              <w:spacing w:line="220" w:lineRule="atLeast"/>
              <w:jc w:val="center"/>
              <w:rPr>
                <w:rFonts w:ascii="Times New Roman" w:hAnsi="Times New Roman" w:cs="Times New Roman"/>
                <w:color w:val="0000FF"/>
                <w:sz w:val="24"/>
                <w:szCs w:val="24"/>
              </w:rPr>
            </w:pPr>
            <m:oMathPara>
              <m:oMath>
                <m:sSub>
                  <m:sSubPr>
                    <m:ctrlPr>
                      <w:rPr>
                        <w:rFonts w:ascii="Cambria Math" w:hAnsi="Cambria Math" w:cs="Times New Roman"/>
                        <w:color w:val="0000FF"/>
                        <w:sz w:val="24"/>
                        <w:szCs w:val="24"/>
                      </w:rPr>
                    </m:ctrlPr>
                  </m:sSubPr>
                  <m:e>
                    <m:r>
                      <m:rPr>
                        <m:sty m:val="p"/>
                      </m:rPr>
                      <w:rPr>
                        <w:rFonts w:ascii="Cambria Math" w:hAnsi="Cambria Math" w:cs="Times New Roman"/>
                        <w:color w:val="0000FF"/>
                        <w:sz w:val="24"/>
                        <w:szCs w:val="24"/>
                      </w:rPr>
                      <m:t>E</m:t>
                    </m:r>
                    <m:ctrlPr>
                      <w:rPr>
                        <w:rFonts w:ascii="Cambria Math" w:hAnsi="Cambria Math" w:cs="Times New Roman"/>
                        <w:color w:val="0000FF"/>
                        <w:sz w:val="24"/>
                        <w:szCs w:val="24"/>
                      </w:rPr>
                    </m:ctrlPr>
                  </m:e>
                  <m:sub>
                    <m:r>
                      <m:rPr>
                        <m:sty m:val="p"/>
                      </m:rPr>
                      <w:rPr>
                        <w:rFonts w:ascii="Cambria Math" w:hAnsi="Cambria Math" w:cs="Times New Roman"/>
                        <w:color w:val="0000FF"/>
                        <w:sz w:val="24"/>
                        <w:szCs w:val="24"/>
                      </w:rPr>
                      <m:t xml:space="preserve">设备 </m:t>
                    </m:r>
                    <m:ctrlPr>
                      <w:rPr>
                        <w:rFonts w:ascii="Cambria Math" w:hAnsi="Cambria Math" w:cs="Times New Roman"/>
                        <w:color w:val="0000FF"/>
                        <w:sz w:val="24"/>
                        <w:szCs w:val="24"/>
                      </w:rPr>
                    </m:ctrlPr>
                  </m:sub>
                </m:sSub>
                <m:r>
                  <m:rPr>
                    <m:sty m:val="p"/>
                  </m:rPr>
                  <w:rPr>
                    <w:rFonts w:ascii="Cambria Math" w:hAnsi="Cambria Math" w:cs="Times New Roman"/>
                    <w:color w:val="0000FF"/>
                    <w:sz w:val="24"/>
                    <w:szCs w:val="24"/>
                  </w:rPr>
                  <m:t>=0.003×</m:t>
                </m:r>
                <m:nary>
                  <m:naryPr>
                    <m:chr m:val="∑"/>
                    <m:limLoc m:val="undOvr"/>
                    <m:ctrlPr>
                      <w:rPr>
                        <w:rFonts w:ascii="Cambria Math" w:hAnsi="Cambria Math" w:cs="Times New Roman"/>
                        <w:color w:val="0000FF"/>
                        <w:sz w:val="24"/>
                        <w:szCs w:val="24"/>
                      </w:rPr>
                    </m:ctrlPr>
                  </m:naryPr>
                  <m:sub>
                    <m:r>
                      <m:rPr>
                        <m:sty m:val="p"/>
                      </m:rPr>
                      <w:rPr>
                        <w:rFonts w:ascii="Cambria Math" w:hAnsi="Cambria Math" w:cs="Times New Roman"/>
                        <w:color w:val="0000FF"/>
                        <w:sz w:val="24"/>
                        <w:szCs w:val="24"/>
                      </w:rPr>
                      <m:t>i=1</m:t>
                    </m:r>
                    <m:ctrlPr>
                      <w:rPr>
                        <w:rFonts w:ascii="Cambria Math" w:hAnsi="Cambria Math" w:cs="Times New Roman"/>
                        <w:color w:val="0000FF"/>
                        <w:sz w:val="24"/>
                        <w:szCs w:val="24"/>
                      </w:rPr>
                    </m:ctrlPr>
                  </m:sub>
                  <m:sup>
                    <m:r>
                      <m:rPr>
                        <m:sty m:val="p"/>
                      </m:rPr>
                      <w:rPr>
                        <w:rFonts w:ascii="Cambria Math" w:hAnsi="Cambria Math" w:cs="Times New Roman"/>
                        <w:color w:val="0000FF"/>
                        <w:sz w:val="24"/>
                        <w:szCs w:val="24"/>
                      </w:rPr>
                      <m:t>n</m:t>
                    </m:r>
                    <m:ctrlPr>
                      <w:rPr>
                        <w:rFonts w:ascii="Cambria Math" w:hAnsi="Cambria Math" w:cs="Times New Roman"/>
                        <w:color w:val="0000FF"/>
                        <w:sz w:val="24"/>
                        <w:szCs w:val="24"/>
                      </w:rPr>
                    </m:ctrlPr>
                  </m:sup>
                  <m:e>
                    <m:d>
                      <m:dPr>
                        <m:begChr m:val="["/>
                        <m:endChr m:val=""/>
                        <m:ctrlPr>
                          <w:rPr>
                            <w:rFonts w:ascii="Cambria Math" w:hAnsi="Cambria Math" w:cs="Times New Roman"/>
                            <w:color w:val="0000FF"/>
                            <w:sz w:val="24"/>
                            <w:szCs w:val="24"/>
                          </w:rPr>
                        </m:ctrlPr>
                      </m:dPr>
                      <m:e>
                        <m:sSub>
                          <m:sSubPr>
                            <m:ctrlPr>
                              <w:rPr>
                                <w:rFonts w:ascii="Cambria Math" w:hAnsi="Cambria Math" w:cs="Times New Roman"/>
                                <w:color w:val="0000FF"/>
                                <w:sz w:val="24"/>
                                <w:szCs w:val="24"/>
                              </w:rPr>
                            </m:ctrlPr>
                          </m:sSubPr>
                          <m:e>
                            <m:r>
                              <m:rPr>
                                <m:sty m:val="p"/>
                              </m:rPr>
                              <w:rPr>
                                <w:rFonts w:ascii="Cambria Math" w:hAnsi="Cambria Math" w:cs="Times New Roman"/>
                                <w:color w:val="0000FF"/>
                                <w:sz w:val="24"/>
                                <w:szCs w:val="24"/>
                              </w:rPr>
                              <m:t>e</m:t>
                            </m:r>
                            <m:ctrlPr>
                              <w:rPr>
                                <w:rFonts w:ascii="Cambria Math" w:hAnsi="Cambria Math" w:cs="Times New Roman"/>
                                <w:color w:val="0000FF"/>
                                <w:sz w:val="24"/>
                                <w:szCs w:val="24"/>
                              </w:rPr>
                            </m:ctrlPr>
                          </m:e>
                          <m:sub>
                            <m:r>
                              <m:rPr>
                                <m:sty m:val="p"/>
                              </m:rPr>
                              <w:rPr>
                                <w:rFonts w:ascii="Cambria Math" w:hAnsi="Cambria Math" w:cs="Times New Roman"/>
                                <w:color w:val="0000FF"/>
                                <w:sz w:val="24"/>
                                <w:szCs w:val="24"/>
                              </w:rPr>
                              <m:t>TOC,i</m:t>
                            </m:r>
                            <m:ctrlPr>
                              <w:rPr>
                                <w:rFonts w:ascii="Cambria Math" w:hAnsi="Cambria Math" w:cs="Times New Roman"/>
                                <w:color w:val="0000FF"/>
                                <w:sz w:val="24"/>
                                <w:szCs w:val="24"/>
                              </w:rPr>
                            </m:ctrlPr>
                          </m:sub>
                        </m:sSub>
                        <m:ctrlPr>
                          <w:rPr>
                            <w:rFonts w:ascii="Cambria Math" w:hAnsi="Cambria Math" w:cs="Times New Roman"/>
                            <w:color w:val="0000FF"/>
                            <w:sz w:val="24"/>
                            <w:szCs w:val="24"/>
                          </w:rPr>
                        </m:ctrlPr>
                      </m:e>
                    </m:d>
                    <m:r>
                      <m:rPr>
                        <m:sty m:val="p"/>
                      </m:rPr>
                      <w:rPr>
                        <w:rFonts w:ascii="Cambria Math" w:hAnsi="Cambria Math" w:cs="Times New Roman"/>
                        <w:color w:val="0000FF"/>
                        <w:sz w:val="24"/>
                        <w:szCs w:val="24"/>
                      </w:rPr>
                      <m:t>×</m:t>
                    </m:r>
                    <m:f>
                      <m:fPr>
                        <m:ctrlPr>
                          <w:rPr>
                            <w:rFonts w:ascii="Cambria Math" w:hAnsi="Cambria Math" w:cs="Times New Roman"/>
                            <w:color w:val="0000FF"/>
                            <w:sz w:val="24"/>
                            <w:szCs w:val="24"/>
                          </w:rPr>
                        </m:ctrlPr>
                      </m:fPr>
                      <m:num>
                        <m:sSub>
                          <m:sSubPr>
                            <m:ctrlPr>
                              <w:rPr>
                                <w:rFonts w:ascii="Cambria Math" w:hAnsi="Cambria Math" w:cs="Times New Roman"/>
                                <w:color w:val="0000FF"/>
                                <w:sz w:val="24"/>
                                <w:szCs w:val="24"/>
                              </w:rPr>
                            </m:ctrlPr>
                          </m:sSubPr>
                          <m:e>
                            <m:r>
                              <m:rPr>
                                <m:sty m:val="p"/>
                              </m:rPr>
                              <w:rPr>
                                <w:rFonts w:ascii="Cambria Math" w:hAnsi="Cambria Math" w:cs="Times New Roman"/>
                                <w:color w:val="0000FF"/>
                                <w:sz w:val="24"/>
                                <w:szCs w:val="24"/>
                              </w:rPr>
                              <m:t>WF</m:t>
                            </m:r>
                            <m:ctrlPr>
                              <w:rPr>
                                <w:rFonts w:ascii="Cambria Math" w:hAnsi="Cambria Math" w:cs="Times New Roman"/>
                                <w:color w:val="0000FF"/>
                                <w:sz w:val="24"/>
                                <w:szCs w:val="24"/>
                              </w:rPr>
                            </m:ctrlPr>
                          </m:e>
                          <m:sub>
                            <m:r>
                              <m:rPr>
                                <m:sty m:val="p"/>
                              </m:rPr>
                              <w:rPr>
                                <w:rFonts w:ascii="Cambria Math" w:hAnsi="Cambria Math" w:cs="Times New Roman"/>
                                <w:color w:val="0000FF"/>
                                <w:sz w:val="24"/>
                                <w:szCs w:val="24"/>
                              </w:rPr>
                              <m:t>VOCS,i</m:t>
                            </m:r>
                            <m:ctrlPr>
                              <w:rPr>
                                <w:rFonts w:ascii="Cambria Math" w:hAnsi="Cambria Math" w:cs="Times New Roman"/>
                                <w:color w:val="0000FF"/>
                                <w:sz w:val="24"/>
                                <w:szCs w:val="24"/>
                              </w:rPr>
                            </m:ctrlPr>
                          </m:sub>
                        </m:sSub>
                        <m:ctrlPr>
                          <w:rPr>
                            <w:rFonts w:ascii="Cambria Math" w:hAnsi="Cambria Math" w:cs="Times New Roman"/>
                            <w:color w:val="0000FF"/>
                            <w:sz w:val="24"/>
                            <w:szCs w:val="24"/>
                          </w:rPr>
                        </m:ctrlPr>
                      </m:num>
                      <m:den>
                        <m:sSub>
                          <m:sSubPr>
                            <m:ctrlPr>
                              <w:rPr>
                                <w:rFonts w:ascii="Cambria Math" w:hAnsi="Cambria Math" w:cs="Times New Roman"/>
                                <w:color w:val="0000FF"/>
                                <w:sz w:val="24"/>
                                <w:szCs w:val="24"/>
                              </w:rPr>
                            </m:ctrlPr>
                          </m:sSubPr>
                          <m:e>
                            <m:r>
                              <m:rPr>
                                <m:sty m:val="p"/>
                              </m:rPr>
                              <w:rPr>
                                <w:rFonts w:ascii="Cambria Math" w:hAnsi="Cambria Math" w:cs="Times New Roman"/>
                                <w:color w:val="0000FF"/>
                                <w:sz w:val="24"/>
                                <w:szCs w:val="24"/>
                              </w:rPr>
                              <m:t>WF</m:t>
                            </m:r>
                            <m:ctrlPr>
                              <w:rPr>
                                <w:rFonts w:ascii="Cambria Math" w:hAnsi="Cambria Math" w:cs="Times New Roman"/>
                                <w:color w:val="0000FF"/>
                                <w:sz w:val="24"/>
                                <w:szCs w:val="24"/>
                              </w:rPr>
                            </m:ctrlPr>
                          </m:e>
                          <m:sub>
                            <m:r>
                              <m:rPr>
                                <m:sty m:val="p"/>
                              </m:rPr>
                              <w:rPr>
                                <w:rFonts w:ascii="Cambria Math" w:hAnsi="Cambria Math" w:cs="Times New Roman"/>
                                <w:color w:val="0000FF"/>
                                <w:sz w:val="24"/>
                                <w:szCs w:val="24"/>
                              </w:rPr>
                              <m:t>TOC,i</m:t>
                            </m:r>
                            <m:ctrlPr>
                              <w:rPr>
                                <w:rFonts w:ascii="Cambria Math" w:hAnsi="Cambria Math" w:cs="Times New Roman"/>
                                <w:color w:val="0000FF"/>
                                <w:sz w:val="24"/>
                                <w:szCs w:val="24"/>
                              </w:rPr>
                            </m:ctrlPr>
                          </m:sub>
                        </m:sSub>
                        <m:ctrlPr>
                          <w:rPr>
                            <w:rFonts w:ascii="Cambria Math" w:hAnsi="Cambria Math" w:cs="Times New Roman"/>
                            <w:color w:val="0000FF"/>
                            <w:sz w:val="24"/>
                            <w:szCs w:val="24"/>
                          </w:rPr>
                        </m:ctrlPr>
                      </m:den>
                    </m:f>
                    <m:r>
                      <m:rPr>
                        <m:sty m:val="p"/>
                      </m:rPr>
                      <w:rPr>
                        <w:rFonts w:ascii="Cambria Math" w:hAnsi="Cambria Math" w:cs="Times New Roman"/>
                        <w:color w:val="0000FF"/>
                        <w:sz w:val="24"/>
                        <w:szCs w:val="24"/>
                      </w:rPr>
                      <m:t>×</m:t>
                    </m:r>
                    <m:d>
                      <m:dPr>
                        <m:begChr m:val=""/>
                        <m:endChr m:val="]"/>
                        <m:ctrlPr>
                          <w:rPr>
                            <w:rFonts w:ascii="Cambria Math" w:hAnsi="Cambria Math" w:cs="Times New Roman"/>
                            <w:color w:val="0000FF"/>
                            <w:sz w:val="24"/>
                            <w:szCs w:val="24"/>
                          </w:rPr>
                        </m:ctrlPr>
                      </m:dPr>
                      <m:e>
                        <m:sSub>
                          <m:sSubPr>
                            <m:ctrlPr>
                              <w:rPr>
                                <w:rFonts w:ascii="Cambria Math" w:hAnsi="Cambria Math" w:cs="Times New Roman"/>
                                <w:color w:val="0000FF"/>
                                <w:sz w:val="24"/>
                                <w:szCs w:val="24"/>
                              </w:rPr>
                            </m:ctrlPr>
                          </m:sSubPr>
                          <m:e>
                            <m:r>
                              <m:rPr>
                                <m:sty m:val="p"/>
                              </m:rPr>
                              <w:rPr>
                                <w:rFonts w:ascii="Cambria Math" w:hAnsi="Cambria Math" w:cs="Times New Roman"/>
                                <w:color w:val="0000FF"/>
                                <w:sz w:val="24"/>
                                <w:szCs w:val="24"/>
                              </w:rPr>
                              <m:t>t</m:t>
                            </m:r>
                            <m:ctrlPr>
                              <w:rPr>
                                <w:rFonts w:ascii="Cambria Math" w:hAnsi="Cambria Math" w:cs="Times New Roman"/>
                                <w:color w:val="0000FF"/>
                                <w:sz w:val="24"/>
                                <w:szCs w:val="24"/>
                              </w:rPr>
                            </m:ctrlPr>
                          </m:e>
                          <m:sub>
                            <m:r>
                              <m:rPr>
                                <m:sty m:val="p"/>
                              </m:rPr>
                              <w:rPr>
                                <w:rFonts w:ascii="Cambria Math" w:hAnsi="Cambria Math" w:cs="Times New Roman"/>
                                <w:color w:val="0000FF"/>
                                <w:sz w:val="24"/>
                                <w:szCs w:val="24"/>
                              </w:rPr>
                              <m:t>i</m:t>
                            </m:r>
                            <m:ctrlPr>
                              <w:rPr>
                                <w:rFonts w:ascii="Cambria Math" w:hAnsi="Cambria Math" w:cs="Times New Roman"/>
                                <w:color w:val="0000FF"/>
                                <w:sz w:val="24"/>
                                <w:szCs w:val="24"/>
                              </w:rPr>
                            </m:ctrlPr>
                          </m:sub>
                        </m:sSub>
                        <m:ctrlPr>
                          <w:rPr>
                            <w:rFonts w:ascii="Cambria Math" w:hAnsi="Cambria Math" w:cs="Times New Roman"/>
                            <w:color w:val="0000FF"/>
                            <w:sz w:val="24"/>
                            <w:szCs w:val="24"/>
                          </w:rPr>
                        </m:ctrlPr>
                      </m:e>
                    </m:d>
                    <m:ctrlPr>
                      <w:rPr>
                        <w:rFonts w:ascii="Cambria Math" w:hAnsi="Cambria Math" w:cs="Times New Roman"/>
                        <w:color w:val="0000FF"/>
                        <w:sz w:val="24"/>
                        <w:szCs w:val="24"/>
                      </w:rPr>
                    </m:ctrlPr>
                  </m:e>
                </m:nary>
              </m:oMath>
            </m:oMathPara>
          </w:p>
          <w:p w14:paraId="6D98601B">
            <w:pPr>
              <w:snapToGrid w:val="0"/>
              <w:spacing w:line="360" w:lineRule="auto"/>
              <w:ind w:firstLine="510"/>
              <w:rPr>
                <w:rFonts w:ascii="Times New Roman" w:hAnsi="Times New Roman" w:cs="Times New Roman"/>
                <w:color w:val="0000FF"/>
                <w:sz w:val="24"/>
                <w:szCs w:val="24"/>
              </w:rPr>
            </w:pPr>
            <w:r>
              <w:rPr>
                <w:rFonts w:ascii="Times New Roman" w:hAnsi="Times New Roman" w:cs="Times New Roman"/>
                <w:color w:val="0000FF"/>
                <w:sz w:val="24"/>
                <w:szCs w:val="24"/>
              </w:rPr>
              <w:t>式中：</w:t>
            </w:r>
          </w:p>
          <w:p w14:paraId="7C24DEE5">
            <w:pPr>
              <w:snapToGrid w:val="0"/>
              <w:spacing w:line="360" w:lineRule="auto"/>
              <w:ind w:firstLine="510"/>
              <w:rPr>
                <w:rFonts w:ascii="Times New Roman" w:hAnsi="Times New Roman" w:cs="Times New Roman"/>
                <w:color w:val="0000FF"/>
                <w:sz w:val="24"/>
                <w:szCs w:val="24"/>
              </w:rPr>
            </w:pPr>
            <w:r>
              <w:rPr>
                <w:rFonts w:ascii="Times New Roman" w:hAnsi="Times New Roman" w:cs="Times New Roman"/>
                <w:color w:val="0000FF"/>
                <w:sz w:val="24"/>
                <w:szCs w:val="24"/>
              </w:rPr>
              <w:t>E设备：设备与管线组件密封点泄漏的挥发性有机物年许可排放量，kg/a；</w:t>
            </w:r>
          </w:p>
          <w:p w14:paraId="10FD3247">
            <w:pPr>
              <w:snapToGrid w:val="0"/>
              <w:spacing w:line="360" w:lineRule="auto"/>
              <w:ind w:firstLine="510"/>
              <w:rPr>
                <w:rFonts w:ascii="Times New Roman" w:hAnsi="Times New Roman" w:cs="Times New Roman"/>
                <w:color w:val="0000FF"/>
                <w:sz w:val="24"/>
                <w:szCs w:val="24"/>
              </w:rPr>
            </w:pPr>
            <w:r>
              <w:rPr>
                <w:rFonts w:ascii="Times New Roman" w:hAnsi="Times New Roman" w:cs="Times New Roman"/>
                <w:color w:val="0000FF"/>
                <w:sz w:val="24"/>
                <w:szCs w:val="24"/>
              </w:rPr>
              <w:t>ti：密封点i的年运行时间，h/a；</w:t>
            </w:r>
          </w:p>
          <w:p w14:paraId="1BFC05BB">
            <w:pPr>
              <w:snapToGrid w:val="0"/>
              <w:spacing w:line="360" w:lineRule="auto"/>
              <w:ind w:firstLine="510"/>
              <w:rPr>
                <w:rFonts w:ascii="Times New Roman" w:hAnsi="Times New Roman" w:cs="Times New Roman"/>
                <w:color w:val="0000FF"/>
                <w:sz w:val="24"/>
                <w:szCs w:val="24"/>
              </w:rPr>
            </w:pPr>
            <w:r>
              <w:rPr>
                <w:rFonts w:ascii="Times New Roman" w:hAnsi="Times New Roman" w:cs="Times New Roman"/>
                <w:color w:val="0000FF"/>
                <w:sz w:val="24"/>
                <w:szCs w:val="24"/>
              </w:rPr>
              <w:t>eTOC，i：密封点i 的总有机碳（TOC）排放速率，kg/h；</w:t>
            </w:r>
          </w:p>
          <w:p w14:paraId="7D3EFA8B">
            <w:pPr>
              <w:spacing w:line="360" w:lineRule="auto"/>
              <w:ind w:firstLine="480" w:firstLineChars="200"/>
              <w:rPr>
                <w:rFonts w:ascii="Times New Roman" w:hAnsi="Times New Roman" w:eastAsia="宋体" w:cs="Times New Roman"/>
                <w:color w:val="0000FF"/>
                <w:sz w:val="24"/>
              </w:rPr>
            </w:pPr>
            <w:r>
              <w:rPr>
                <w:rFonts w:ascii="Times New Roman" w:hAnsi="Times New Roman" w:cs="Times New Roman"/>
                <w:color w:val="0000FF"/>
                <w:sz w:val="24"/>
                <w:szCs w:val="24"/>
              </w:rPr>
              <w:t>WFVOCs，i：流经密封点i的物料中挥发性有机物平均质量分数，根据设计文件取值；</w:t>
            </w:r>
          </w:p>
          <w:p w14:paraId="499C00C3">
            <w:pPr>
              <w:snapToGrid w:val="0"/>
              <w:spacing w:line="360" w:lineRule="auto"/>
              <w:ind w:firstLine="510"/>
              <w:rPr>
                <w:rFonts w:ascii="Times New Roman" w:hAnsi="Times New Roman" w:cs="Times New Roman"/>
                <w:color w:val="0000FF"/>
                <w:sz w:val="24"/>
                <w:szCs w:val="24"/>
              </w:rPr>
            </w:pPr>
            <w:r>
              <w:rPr>
                <w:rFonts w:ascii="Times New Roman" w:hAnsi="Times New Roman" w:cs="Times New Roman"/>
                <w:color w:val="0000FF"/>
                <w:sz w:val="24"/>
                <w:szCs w:val="24"/>
              </w:rPr>
              <w:t>WFTOC，i：流经密封点i的物料中总有机碳（TOC）平均质量分数，根据设计文件取值；</w:t>
            </w:r>
          </w:p>
          <w:p w14:paraId="74D723C2">
            <w:pPr>
              <w:snapToGrid w:val="0"/>
              <w:spacing w:line="360" w:lineRule="auto"/>
              <w:ind w:firstLine="510"/>
              <w:rPr>
                <w:rFonts w:ascii="Times New Roman" w:hAnsi="Times New Roman" w:cs="Times New Roman"/>
                <w:color w:val="0000FF"/>
                <w:sz w:val="24"/>
                <w:szCs w:val="24"/>
              </w:rPr>
            </w:pPr>
            <w:r>
              <w:rPr>
                <w:rFonts w:ascii="Times New Roman" w:hAnsi="Times New Roman" w:cs="Times New Roman"/>
                <w:color w:val="0000FF"/>
                <w:sz w:val="24"/>
                <w:szCs w:val="24"/>
              </w:rPr>
              <w:t>n：挥发性有机物流经的设备与管线组件密封点数。</w:t>
            </w:r>
          </w:p>
          <w:p w14:paraId="14976AC3">
            <w:pPr>
              <w:snapToGrid w:val="0"/>
              <w:spacing w:line="360" w:lineRule="auto"/>
              <w:ind w:firstLine="510"/>
              <w:jc w:val="center"/>
              <w:rPr>
                <w:rFonts w:ascii="Times New Roman" w:hAnsi="Times New Roman" w:cs="Times New Roman"/>
                <w:b/>
                <w:bCs/>
                <w:color w:val="0000FF"/>
                <w:sz w:val="24"/>
                <w:szCs w:val="24"/>
              </w:rPr>
            </w:pPr>
            <w:r>
              <w:rPr>
                <w:rFonts w:ascii="Times New Roman" w:hAnsi="Times New Roman" w:cs="Times New Roman"/>
                <w:b/>
                <w:bCs/>
                <w:color w:val="0000FF"/>
                <w:sz w:val="24"/>
                <w:szCs w:val="24"/>
              </w:rPr>
              <w:t>表</w:t>
            </w:r>
            <w:r>
              <w:rPr>
                <w:rFonts w:hint="eastAsia" w:ascii="Times New Roman" w:hAnsi="Times New Roman" w:cs="Times New Roman"/>
                <w:b/>
                <w:bCs/>
                <w:color w:val="0000FF"/>
                <w:sz w:val="24"/>
                <w:szCs w:val="24"/>
                <w:lang w:val="en-US" w:eastAsia="zh-CN"/>
              </w:rPr>
              <w:t>4</w:t>
            </w:r>
            <w:r>
              <w:rPr>
                <w:rFonts w:ascii="Times New Roman" w:hAnsi="Times New Roman" w:cs="Times New Roman"/>
                <w:b/>
                <w:bCs/>
                <w:color w:val="0000FF"/>
                <w:sz w:val="24"/>
                <w:szCs w:val="24"/>
              </w:rPr>
              <w:t>.</w:t>
            </w:r>
            <w:r>
              <w:rPr>
                <w:rFonts w:hint="eastAsia" w:ascii="Times New Roman" w:hAnsi="Times New Roman" w:cs="Times New Roman"/>
                <w:b/>
                <w:bCs/>
                <w:color w:val="0000FF"/>
                <w:sz w:val="24"/>
                <w:szCs w:val="24"/>
                <w:lang w:val="en-US" w:eastAsia="zh-CN"/>
              </w:rPr>
              <w:t>6-7</w:t>
            </w:r>
            <w:r>
              <w:rPr>
                <w:rFonts w:ascii="Times New Roman" w:hAnsi="Times New Roman" w:cs="Times New Roman"/>
                <w:b/>
                <w:bCs/>
                <w:color w:val="0000FF"/>
                <w:sz w:val="24"/>
                <w:szCs w:val="24"/>
              </w:rPr>
              <w:t xml:space="preserve">    设备与管线组件eTOC，i取值参数表类型</w:t>
            </w:r>
          </w:p>
          <w:tbl>
            <w:tblPr>
              <w:tblStyle w:val="32"/>
              <w:tblW w:w="850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85"/>
              <w:gridCol w:w="3544"/>
              <w:gridCol w:w="2976"/>
            </w:tblGrid>
            <w:tr w14:paraId="27528D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tcBorders>
                    <w:top w:val="single" w:color="auto" w:sz="4" w:space="0"/>
                    <w:left w:val="single" w:color="auto" w:sz="4" w:space="0"/>
                    <w:bottom w:val="single" w:color="auto" w:sz="4" w:space="0"/>
                    <w:right w:val="single" w:color="auto" w:sz="4" w:space="0"/>
                  </w:tcBorders>
                  <w:shd w:val="clear" w:color="auto" w:fill="auto"/>
                  <w:vAlign w:val="center"/>
                </w:tcPr>
                <w:p w14:paraId="64278B95">
                  <w:pPr>
                    <w:jc w:val="center"/>
                    <w:rPr>
                      <w:rFonts w:hint="eastAsia" w:ascii="Times New Roman" w:hAnsi="Times New Roman" w:eastAsia="宋体" w:cs="Times New Roman"/>
                      <w:color w:val="0000FF"/>
                      <w:lang w:val="en-US" w:eastAsia="zh-CN"/>
                    </w:rPr>
                  </w:pPr>
                  <w:r>
                    <w:rPr>
                      <w:rFonts w:hint="eastAsia" w:ascii="Times New Roman" w:hAnsi="Times New Roman" w:cs="Times New Roman"/>
                      <w:color w:val="0000FF"/>
                      <w:lang w:val="en-US" w:eastAsia="zh-CN"/>
                    </w:rPr>
                    <w:t>类型</w:t>
                  </w:r>
                </w:p>
              </w:tc>
              <w:tc>
                <w:tcPr>
                  <w:tcW w:w="3544" w:type="dxa"/>
                  <w:tcBorders>
                    <w:top w:val="single" w:color="auto" w:sz="4" w:space="0"/>
                    <w:left w:val="single" w:color="auto" w:sz="4" w:space="0"/>
                    <w:bottom w:val="single" w:color="auto" w:sz="4" w:space="0"/>
                    <w:right w:val="single" w:color="auto" w:sz="4" w:space="0"/>
                  </w:tcBorders>
                  <w:shd w:val="clear" w:color="auto" w:fill="auto"/>
                  <w:vAlign w:val="center"/>
                </w:tcPr>
                <w:p w14:paraId="1755A5F9">
                  <w:pPr>
                    <w:jc w:val="center"/>
                    <w:rPr>
                      <w:rFonts w:hint="eastAsia" w:ascii="Times New Roman" w:hAnsi="Times New Roman" w:eastAsia="宋体" w:cs="Times New Roman"/>
                      <w:color w:val="0000FF"/>
                      <w:kern w:val="2"/>
                      <w:sz w:val="21"/>
                      <w:szCs w:val="24"/>
                      <w:lang w:val="en-US" w:eastAsia="zh-CN" w:bidi="ar-SA"/>
                    </w:rPr>
                  </w:pPr>
                  <w:r>
                    <w:rPr>
                      <w:rFonts w:ascii="Times New Roman" w:hAnsi="Times New Roman" w:cs="Times New Roman"/>
                      <w:color w:val="0000FF"/>
                    </w:rPr>
                    <w:t>设备类型</w:t>
                  </w:r>
                </w:p>
              </w:tc>
              <w:tc>
                <w:tcPr>
                  <w:tcW w:w="2976" w:type="dxa"/>
                  <w:tcBorders>
                    <w:top w:val="single" w:color="auto" w:sz="4" w:space="0"/>
                    <w:left w:val="single" w:color="auto" w:sz="4" w:space="0"/>
                    <w:bottom w:val="single" w:color="auto" w:sz="4" w:space="0"/>
                    <w:right w:val="single" w:color="auto" w:sz="4" w:space="0"/>
                  </w:tcBorders>
                  <w:shd w:val="clear" w:color="auto" w:fill="auto"/>
                  <w:vAlign w:val="center"/>
                </w:tcPr>
                <w:p w14:paraId="29C59B59">
                  <w:pPr>
                    <w:jc w:val="center"/>
                    <w:rPr>
                      <w:rFonts w:ascii="Times New Roman" w:hAnsi="Times New Roman" w:cs="Times New Roman"/>
                      <w:color w:val="0000FF"/>
                    </w:rPr>
                  </w:pPr>
                  <w:r>
                    <w:rPr>
                      <w:rFonts w:ascii="Times New Roman" w:hAnsi="Times New Roman" w:cs="Times New Roman"/>
                      <w:color w:val="0000FF"/>
                    </w:rPr>
                    <w:t>排放速率eTOC，i</w:t>
                  </w:r>
                </w:p>
                <w:p w14:paraId="71C4A705">
                  <w:pPr>
                    <w:jc w:val="center"/>
                    <w:rPr>
                      <w:rFonts w:ascii="Times New Roman" w:hAnsi="Times New Roman" w:eastAsia="宋体" w:cs="Times New Roman"/>
                      <w:color w:val="0000FF"/>
                      <w:kern w:val="2"/>
                      <w:sz w:val="21"/>
                      <w:szCs w:val="24"/>
                      <w:lang w:val="en-US" w:eastAsia="zh-CN" w:bidi="ar-SA"/>
                    </w:rPr>
                  </w:pPr>
                  <w:r>
                    <w:rPr>
                      <w:rFonts w:ascii="Times New Roman" w:hAnsi="Times New Roman" w:cs="Times New Roman"/>
                      <w:color w:val="0000FF"/>
                    </w:rPr>
                    <w:t>（kg/h/排放源）</w:t>
                  </w:r>
                </w:p>
              </w:tc>
            </w:tr>
            <w:tr w14:paraId="197167A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E2F4315">
                  <w:pPr>
                    <w:jc w:val="center"/>
                    <w:rPr>
                      <w:rFonts w:ascii="Times New Roman" w:hAnsi="Times New Roman" w:cs="Times New Roman"/>
                      <w:color w:val="0000FF"/>
                    </w:rPr>
                  </w:pPr>
                  <w:r>
                    <w:rPr>
                      <w:rFonts w:ascii="Times New Roman" w:hAnsi="Times New Roman" w:cs="Times New Roman"/>
                      <w:color w:val="0000FF"/>
                    </w:rPr>
                    <w:t>石油</w:t>
                  </w:r>
                  <w:r>
                    <w:rPr>
                      <w:rFonts w:hint="eastAsia" w:ascii="Times New Roman" w:hAnsi="Times New Roman" w:cs="Times New Roman"/>
                      <w:color w:val="0000FF"/>
                      <w:lang w:val="en-US" w:eastAsia="zh-CN"/>
                    </w:rPr>
                    <w:t>化学</w:t>
                  </w:r>
                  <w:r>
                    <w:rPr>
                      <w:rFonts w:ascii="Times New Roman" w:hAnsi="Times New Roman" w:cs="Times New Roman"/>
                      <w:color w:val="0000FF"/>
                    </w:rPr>
                    <w:t>工业</w:t>
                  </w:r>
                </w:p>
              </w:tc>
              <w:tc>
                <w:tcPr>
                  <w:tcW w:w="3544" w:type="dxa"/>
                  <w:tcBorders>
                    <w:top w:val="single" w:color="auto" w:sz="4" w:space="0"/>
                    <w:left w:val="single" w:color="auto" w:sz="4" w:space="0"/>
                    <w:bottom w:val="single" w:color="auto" w:sz="4" w:space="0"/>
                    <w:right w:val="single" w:color="auto" w:sz="4" w:space="0"/>
                  </w:tcBorders>
                  <w:shd w:val="clear" w:color="auto" w:fill="auto"/>
                  <w:vAlign w:val="center"/>
                </w:tcPr>
                <w:p w14:paraId="6A9312D8">
                  <w:pPr>
                    <w:jc w:val="center"/>
                    <w:rPr>
                      <w:rFonts w:hint="default" w:ascii="Times New Roman" w:hAnsi="Times New Roman" w:cs="Times New Roman" w:eastAsiaTheme="minorEastAsia"/>
                      <w:color w:val="0000FF"/>
                      <w:lang w:val="en-US" w:eastAsia="zh-CN"/>
                    </w:rPr>
                  </w:pPr>
                  <w:r>
                    <w:rPr>
                      <w:rFonts w:hint="eastAsia" w:ascii="Times New Roman" w:hAnsi="Times New Roman" w:cs="Times New Roman"/>
                      <w:color w:val="0000FF"/>
                      <w:lang w:val="en-US" w:eastAsia="zh-CN"/>
                    </w:rPr>
                    <w:t>气体阀门</w:t>
                  </w:r>
                </w:p>
              </w:tc>
              <w:tc>
                <w:tcPr>
                  <w:tcW w:w="2976" w:type="dxa"/>
                  <w:tcBorders>
                    <w:top w:val="single" w:color="auto" w:sz="4" w:space="0"/>
                    <w:left w:val="single" w:color="auto" w:sz="4" w:space="0"/>
                    <w:bottom w:val="single" w:color="auto" w:sz="4" w:space="0"/>
                    <w:right w:val="single" w:color="auto" w:sz="4" w:space="0"/>
                  </w:tcBorders>
                  <w:shd w:val="clear" w:color="auto" w:fill="auto"/>
                  <w:vAlign w:val="center"/>
                </w:tcPr>
                <w:p w14:paraId="754BDCE3">
                  <w:pPr>
                    <w:jc w:val="center"/>
                    <w:rPr>
                      <w:rFonts w:hint="eastAsia" w:ascii="Times New Roman" w:hAnsi="Times New Roman" w:cs="Times New Roman" w:eastAsiaTheme="minorEastAsia"/>
                      <w:color w:val="0000FF"/>
                      <w:lang w:eastAsia="zh-CN"/>
                    </w:rPr>
                  </w:pPr>
                  <w:r>
                    <w:rPr>
                      <w:rFonts w:ascii="Times New Roman" w:hAnsi="Times New Roman" w:cs="Times New Roman"/>
                      <w:color w:val="0000FF"/>
                    </w:rPr>
                    <w:t>0.02</w:t>
                  </w:r>
                  <w:r>
                    <w:rPr>
                      <w:rFonts w:hint="eastAsia" w:ascii="Times New Roman" w:hAnsi="Times New Roman" w:cs="Times New Roman"/>
                      <w:color w:val="0000FF"/>
                      <w:lang w:val="en-US" w:eastAsia="zh-CN"/>
                    </w:rPr>
                    <w:t>4</w:t>
                  </w:r>
                </w:p>
              </w:tc>
            </w:tr>
            <w:tr w14:paraId="356547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4F160D5">
                  <w:pPr>
                    <w:jc w:val="center"/>
                    <w:rPr>
                      <w:rFonts w:ascii="Times New Roman" w:hAnsi="Times New Roman" w:cs="Times New Roman"/>
                      <w:color w:val="0000FF"/>
                    </w:rPr>
                  </w:pPr>
                </w:p>
              </w:tc>
              <w:tc>
                <w:tcPr>
                  <w:tcW w:w="3544" w:type="dxa"/>
                  <w:tcBorders>
                    <w:top w:val="single" w:color="auto" w:sz="4" w:space="0"/>
                    <w:left w:val="single" w:color="auto" w:sz="4" w:space="0"/>
                    <w:bottom w:val="single" w:color="auto" w:sz="4" w:space="0"/>
                    <w:right w:val="single" w:color="auto" w:sz="4" w:space="0"/>
                  </w:tcBorders>
                  <w:shd w:val="clear" w:color="auto" w:fill="auto"/>
                  <w:vAlign w:val="center"/>
                </w:tcPr>
                <w:p w14:paraId="4ACB48AB">
                  <w:pPr>
                    <w:jc w:val="center"/>
                    <w:rPr>
                      <w:rFonts w:ascii="Times New Roman" w:hAnsi="Times New Roman" w:cs="Times New Roman"/>
                      <w:color w:val="0000FF"/>
                    </w:rPr>
                  </w:pPr>
                  <w:r>
                    <w:rPr>
                      <w:rFonts w:ascii="Times New Roman" w:hAnsi="Times New Roman" w:cs="Times New Roman"/>
                      <w:color w:val="0000FF"/>
                    </w:rPr>
                    <w:t>开口阀或开口管线</w:t>
                  </w:r>
                </w:p>
              </w:tc>
              <w:tc>
                <w:tcPr>
                  <w:tcW w:w="2976" w:type="dxa"/>
                  <w:tcBorders>
                    <w:top w:val="single" w:color="auto" w:sz="4" w:space="0"/>
                    <w:left w:val="single" w:color="auto" w:sz="4" w:space="0"/>
                    <w:bottom w:val="single" w:color="auto" w:sz="4" w:space="0"/>
                    <w:right w:val="single" w:color="auto" w:sz="4" w:space="0"/>
                  </w:tcBorders>
                  <w:shd w:val="clear" w:color="auto" w:fill="auto"/>
                  <w:vAlign w:val="center"/>
                </w:tcPr>
                <w:p w14:paraId="0D63673B">
                  <w:pPr>
                    <w:jc w:val="center"/>
                    <w:rPr>
                      <w:rFonts w:ascii="Times New Roman" w:hAnsi="Times New Roman" w:cs="Times New Roman"/>
                      <w:color w:val="0000FF"/>
                    </w:rPr>
                  </w:pPr>
                  <w:r>
                    <w:rPr>
                      <w:rFonts w:ascii="Times New Roman" w:hAnsi="Times New Roman" w:cs="Times New Roman"/>
                      <w:color w:val="0000FF"/>
                    </w:rPr>
                    <w:t>0.03</w:t>
                  </w:r>
                </w:p>
              </w:tc>
            </w:tr>
            <w:tr w14:paraId="3E5073C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6FDAD6D">
                  <w:pPr>
                    <w:jc w:val="center"/>
                    <w:rPr>
                      <w:rFonts w:ascii="Times New Roman" w:hAnsi="Times New Roman" w:cs="Times New Roman"/>
                      <w:color w:val="0000FF"/>
                    </w:rPr>
                  </w:pPr>
                </w:p>
              </w:tc>
              <w:tc>
                <w:tcPr>
                  <w:tcW w:w="3544" w:type="dxa"/>
                  <w:tcBorders>
                    <w:top w:val="single" w:color="auto" w:sz="4" w:space="0"/>
                    <w:left w:val="single" w:color="auto" w:sz="4" w:space="0"/>
                    <w:bottom w:val="single" w:color="auto" w:sz="4" w:space="0"/>
                    <w:right w:val="single" w:color="auto" w:sz="4" w:space="0"/>
                  </w:tcBorders>
                  <w:shd w:val="clear" w:color="auto" w:fill="auto"/>
                  <w:vAlign w:val="center"/>
                </w:tcPr>
                <w:p w14:paraId="570F3E23">
                  <w:pPr>
                    <w:jc w:val="center"/>
                    <w:rPr>
                      <w:rFonts w:ascii="Times New Roman" w:hAnsi="Times New Roman" w:cs="Times New Roman"/>
                      <w:color w:val="0000FF"/>
                    </w:rPr>
                  </w:pPr>
                  <w:r>
                    <w:rPr>
                      <w:rFonts w:hint="eastAsia" w:ascii="Times New Roman" w:hAnsi="Times New Roman" w:cs="Times New Roman"/>
                      <w:color w:val="0000FF"/>
                      <w:lang w:val="en-US" w:eastAsia="zh-CN"/>
                    </w:rPr>
                    <w:t>有机液体</w:t>
                  </w:r>
                  <w:r>
                    <w:rPr>
                      <w:rFonts w:ascii="Times New Roman" w:hAnsi="Times New Roman" w:cs="Times New Roman"/>
                      <w:color w:val="0000FF"/>
                    </w:rPr>
                    <w:t>阀门</w:t>
                  </w:r>
                </w:p>
              </w:tc>
              <w:tc>
                <w:tcPr>
                  <w:tcW w:w="2976" w:type="dxa"/>
                  <w:tcBorders>
                    <w:top w:val="single" w:color="auto" w:sz="4" w:space="0"/>
                    <w:left w:val="single" w:color="auto" w:sz="4" w:space="0"/>
                    <w:bottom w:val="single" w:color="auto" w:sz="4" w:space="0"/>
                    <w:right w:val="single" w:color="auto" w:sz="4" w:space="0"/>
                  </w:tcBorders>
                  <w:shd w:val="clear" w:color="auto" w:fill="auto"/>
                  <w:vAlign w:val="center"/>
                </w:tcPr>
                <w:p w14:paraId="6D02AAB0">
                  <w:pPr>
                    <w:jc w:val="center"/>
                    <w:rPr>
                      <w:rFonts w:hint="default" w:ascii="Times New Roman" w:hAnsi="Times New Roman" w:cs="Times New Roman" w:eastAsiaTheme="minorEastAsia"/>
                      <w:color w:val="0000FF"/>
                      <w:lang w:val="en-US" w:eastAsia="zh-CN"/>
                    </w:rPr>
                  </w:pPr>
                  <w:r>
                    <w:rPr>
                      <w:rFonts w:ascii="Times New Roman" w:hAnsi="Times New Roman" w:cs="Times New Roman"/>
                      <w:color w:val="0000FF"/>
                    </w:rPr>
                    <w:t>0.0</w:t>
                  </w:r>
                  <w:r>
                    <w:rPr>
                      <w:rFonts w:hint="eastAsia" w:ascii="Times New Roman" w:hAnsi="Times New Roman" w:cs="Times New Roman"/>
                      <w:color w:val="0000FF"/>
                      <w:lang w:val="en-US" w:eastAsia="zh-CN"/>
                    </w:rPr>
                    <w:t>36</w:t>
                  </w:r>
                </w:p>
              </w:tc>
            </w:tr>
            <w:tr w14:paraId="3BAC02E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A65CD2E">
                  <w:pPr>
                    <w:jc w:val="center"/>
                    <w:rPr>
                      <w:rFonts w:ascii="Times New Roman" w:hAnsi="Times New Roman" w:cs="Times New Roman"/>
                      <w:color w:val="0000FF"/>
                    </w:rPr>
                  </w:pPr>
                </w:p>
              </w:tc>
              <w:tc>
                <w:tcPr>
                  <w:tcW w:w="3544" w:type="dxa"/>
                  <w:tcBorders>
                    <w:top w:val="single" w:color="auto" w:sz="4" w:space="0"/>
                    <w:left w:val="single" w:color="auto" w:sz="4" w:space="0"/>
                    <w:bottom w:val="single" w:color="auto" w:sz="4" w:space="0"/>
                    <w:right w:val="single" w:color="auto" w:sz="4" w:space="0"/>
                  </w:tcBorders>
                  <w:shd w:val="clear" w:color="auto" w:fill="auto"/>
                  <w:vAlign w:val="center"/>
                </w:tcPr>
                <w:p w14:paraId="1E1DD1F0">
                  <w:pPr>
                    <w:jc w:val="center"/>
                    <w:rPr>
                      <w:rFonts w:hint="default" w:ascii="Times New Roman" w:hAnsi="Times New Roman" w:cs="Times New Roman" w:eastAsiaTheme="minorEastAsia"/>
                      <w:color w:val="0000FF"/>
                      <w:lang w:val="en-US" w:eastAsia="zh-CN"/>
                    </w:rPr>
                  </w:pPr>
                  <w:r>
                    <w:rPr>
                      <w:rFonts w:hint="eastAsia" w:ascii="Times New Roman" w:hAnsi="Times New Roman" w:cs="Times New Roman"/>
                      <w:color w:val="0000FF"/>
                      <w:lang w:val="en-US" w:eastAsia="zh-CN"/>
                    </w:rPr>
                    <w:t>法兰或连接件</w:t>
                  </w:r>
                </w:p>
              </w:tc>
              <w:tc>
                <w:tcPr>
                  <w:tcW w:w="2976" w:type="dxa"/>
                  <w:tcBorders>
                    <w:top w:val="single" w:color="auto" w:sz="4" w:space="0"/>
                    <w:left w:val="single" w:color="auto" w:sz="4" w:space="0"/>
                    <w:bottom w:val="single" w:color="auto" w:sz="4" w:space="0"/>
                    <w:right w:val="single" w:color="auto" w:sz="4" w:space="0"/>
                  </w:tcBorders>
                  <w:shd w:val="clear" w:color="auto" w:fill="auto"/>
                  <w:vAlign w:val="center"/>
                </w:tcPr>
                <w:p w14:paraId="11859D82">
                  <w:pPr>
                    <w:jc w:val="center"/>
                    <w:rPr>
                      <w:rFonts w:hint="default" w:ascii="Times New Roman" w:hAnsi="Times New Roman" w:cs="Times New Roman" w:eastAsiaTheme="minorEastAsia"/>
                      <w:color w:val="0000FF"/>
                      <w:lang w:val="en-US" w:eastAsia="zh-CN"/>
                    </w:rPr>
                  </w:pPr>
                  <w:r>
                    <w:rPr>
                      <w:rFonts w:ascii="Times New Roman" w:hAnsi="Times New Roman" w:cs="Times New Roman"/>
                      <w:color w:val="0000FF"/>
                    </w:rPr>
                    <w:t>0.0</w:t>
                  </w:r>
                  <w:r>
                    <w:rPr>
                      <w:rFonts w:hint="eastAsia" w:ascii="Times New Roman" w:hAnsi="Times New Roman" w:cs="Times New Roman"/>
                      <w:color w:val="0000FF"/>
                      <w:lang w:val="en-US" w:eastAsia="zh-CN"/>
                    </w:rPr>
                    <w:t>44</w:t>
                  </w:r>
                </w:p>
              </w:tc>
            </w:tr>
            <w:tr w14:paraId="54BD50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5AE7DB5">
                  <w:pPr>
                    <w:jc w:val="center"/>
                    <w:rPr>
                      <w:rFonts w:ascii="Times New Roman" w:hAnsi="Times New Roman" w:cs="Times New Roman"/>
                      <w:color w:val="0000FF"/>
                    </w:rPr>
                  </w:pPr>
                </w:p>
              </w:tc>
              <w:tc>
                <w:tcPr>
                  <w:tcW w:w="3544" w:type="dxa"/>
                  <w:tcBorders>
                    <w:top w:val="single" w:color="auto" w:sz="4" w:space="0"/>
                    <w:left w:val="single" w:color="auto" w:sz="4" w:space="0"/>
                    <w:bottom w:val="single" w:color="auto" w:sz="4" w:space="0"/>
                    <w:right w:val="single" w:color="auto" w:sz="4" w:space="0"/>
                  </w:tcBorders>
                  <w:shd w:val="clear" w:color="auto" w:fill="auto"/>
                  <w:vAlign w:val="center"/>
                </w:tcPr>
                <w:p w14:paraId="5C124076">
                  <w:pPr>
                    <w:jc w:val="center"/>
                    <w:rPr>
                      <w:rFonts w:hint="default" w:ascii="Times New Roman" w:hAnsi="Times New Roman" w:cs="Times New Roman" w:eastAsiaTheme="minorEastAsia"/>
                      <w:color w:val="0000FF"/>
                      <w:lang w:val="en-US" w:eastAsia="zh-CN"/>
                    </w:rPr>
                  </w:pPr>
                  <w:r>
                    <w:rPr>
                      <w:rFonts w:ascii="Times New Roman" w:hAnsi="Times New Roman" w:cs="Times New Roman"/>
                      <w:color w:val="0000FF"/>
                    </w:rPr>
                    <w:t>泵</w:t>
                  </w:r>
                  <w:r>
                    <w:rPr>
                      <w:rFonts w:hint="eastAsia" w:ascii="Times New Roman" w:hAnsi="Times New Roman" w:cs="Times New Roman"/>
                      <w:color w:val="0000FF"/>
                      <w:lang w:eastAsia="zh-CN"/>
                    </w:rPr>
                    <w:t>、</w:t>
                  </w:r>
                  <w:r>
                    <w:rPr>
                      <w:rFonts w:hint="eastAsia" w:ascii="Times New Roman" w:hAnsi="Times New Roman" w:cs="Times New Roman"/>
                      <w:color w:val="0000FF"/>
                      <w:lang w:val="en-US" w:eastAsia="zh-CN"/>
                    </w:rPr>
                    <w:t>压缩机、搅拌机、泄压设备</w:t>
                  </w:r>
                </w:p>
              </w:tc>
              <w:tc>
                <w:tcPr>
                  <w:tcW w:w="2976" w:type="dxa"/>
                  <w:tcBorders>
                    <w:top w:val="single" w:color="auto" w:sz="4" w:space="0"/>
                    <w:left w:val="single" w:color="auto" w:sz="4" w:space="0"/>
                    <w:bottom w:val="single" w:color="auto" w:sz="4" w:space="0"/>
                    <w:right w:val="single" w:color="auto" w:sz="4" w:space="0"/>
                  </w:tcBorders>
                  <w:shd w:val="clear" w:color="auto" w:fill="auto"/>
                  <w:vAlign w:val="center"/>
                </w:tcPr>
                <w:p w14:paraId="13538447">
                  <w:pPr>
                    <w:jc w:val="center"/>
                    <w:rPr>
                      <w:rFonts w:hint="default" w:ascii="Times New Roman" w:hAnsi="Times New Roman" w:cs="Times New Roman" w:eastAsiaTheme="minorEastAsia"/>
                      <w:color w:val="0000FF"/>
                      <w:lang w:val="en-US" w:eastAsia="zh-CN"/>
                    </w:rPr>
                  </w:pPr>
                  <w:r>
                    <w:rPr>
                      <w:rFonts w:ascii="Times New Roman" w:hAnsi="Times New Roman" w:cs="Times New Roman"/>
                      <w:color w:val="0000FF"/>
                    </w:rPr>
                    <w:t>0.</w:t>
                  </w:r>
                  <w:r>
                    <w:rPr>
                      <w:rFonts w:hint="eastAsia" w:ascii="Times New Roman" w:hAnsi="Times New Roman" w:cs="Times New Roman"/>
                      <w:color w:val="0000FF"/>
                      <w:lang w:val="en-US" w:eastAsia="zh-CN"/>
                    </w:rPr>
                    <w:t>14</w:t>
                  </w:r>
                </w:p>
              </w:tc>
            </w:tr>
            <w:tr w14:paraId="01D03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98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9E64C10">
                  <w:pPr>
                    <w:jc w:val="center"/>
                    <w:rPr>
                      <w:rFonts w:ascii="Times New Roman" w:hAnsi="Times New Roman" w:cs="Times New Roman"/>
                      <w:color w:val="0000FF"/>
                    </w:rPr>
                  </w:pPr>
                </w:p>
              </w:tc>
              <w:tc>
                <w:tcPr>
                  <w:tcW w:w="3544" w:type="dxa"/>
                  <w:tcBorders>
                    <w:top w:val="single" w:color="auto" w:sz="4" w:space="0"/>
                    <w:left w:val="single" w:color="auto" w:sz="4" w:space="0"/>
                    <w:bottom w:val="single" w:color="auto" w:sz="4" w:space="0"/>
                    <w:right w:val="single" w:color="auto" w:sz="4" w:space="0"/>
                  </w:tcBorders>
                  <w:shd w:val="clear" w:color="auto" w:fill="auto"/>
                  <w:vAlign w:val="center"/>
                </w:tcPr>
                <w:p w14:paraId="14F8586B">
                  <w:pPr>
                    <w:jc w:val="center"/>
                    <w:rPr>
                      <w:rFonts w:ascii="Times New Roman" w:hAnsi="Times New Roman" w:cs="Times New Roman"/>
                      <w:color w:val="0000FF"/>
                    </w:rPr>
                  </w:pPr>
                  <w:r>
                    <w:rPr>
                      <w:rFonts w:ascii="Times New Roman" w:hAnsi="Times New Roman" w:cs="Times New Roman"/>
                      <w:color w:val="0000FF"/>
                    </w:rPr>
                    <w:t>其他</w:t>
                  </w:r>
                </w:p>
              </w:tc>
              <w:tc>
                <w:tcPr>
                  <w:tcW w:w="2976" w:type="dxa"/>
                  <w:tcBorders>
                    <w:top w:val="single" w:color="auto" w:sz="4" w:space="0"/>
                    <w:left w:val="single" w:color="auto" w:sz="4" w:space="0"/>
                    <w:bottom w:val="single" w:color="auto" w:sz="4" w:space="0"/>
                    <w:right w:val="single" w:color="auto" w:sz="4" w:space="0"/>
                  </w:tcBorders>
                  <w:shd w:val="clear" w:color="auto" w:fill="auto"/>
                  <w:vAlign w:val="center"/>
                </w:tcPr>
                <w:p w14:paraId="174F816E">
                  <w:pPr>
                    <w:jc w:val="center"/>
                    <w:rPr>
                      <w:rFonts w:ascii="Times New Roman" w:hAnsi="Times New Roman" w:cs="Times New Roman"/>
                      <w:color w:val="0000FF"/>
                    </w:rPr>
                  </w:pPr>
                  <w:r>
                    <w:rPr>
                      <w:rFonts w:ascii="Times New Roman" w:hAnsi="Times New Roman" w:cs="Times New Roman"/>
                      <w:color w:val="0000FF"/>
                    </w:rPr>
                    <w:t>0.073</w:t>
                  </w:r>
                </w:p>
              </w:tc>
            </w:tr>
          </w:tbl>
          <w:p w14:paraId="4AD13358">
            <w:pPr>
              <w:snapToGrid w:val="0"/>
              <w:spacing w:line="360" w:lineRule="auto"/>
              <w:ind w:firstLine="510"/>
              <w:rPr>
                <w:rFonts w:ascii="Times New Roman" w:hAnsi="Times New Roman" w:cs="Times New Roman"/>
                <w:color w:val="0000FF"/>
                <w:sz w:val="24"/>
                <w:szCs w:val="24"/>
              </w:rPr>
            </w:pPr>
          </w:p>
          <w:p w14:paraId="4F6137AB">
            <w:pPr>
              <w:snapToGrid w:val="0"/>
              <w:spacing w:line="360" w:lineRule="auto"/>
              <w:ind w:firstLine="510"/>
              <w:rPr>
                <w:rFonts w:ascii="Times New Roman" w:hAnsi="Times New Roman" w:cs="Times New Roman"/>
                <w:color w:val="0000FF"/>
                <w:sz w:val="24"/>
                <w:szCs w:val="24"/>
              </w:rPr>
            </w:pPr>
            <w:r>
              <w:rPr>
                <w:rFonts w:ascii="Times New Roman" w:hAnsi="Times New Roman" w:cs="Times New Roman"/>
                <w:color w:val="0000FF"/>
                <w:sz w:val="24"/>
                <w:szCs w:val="24"/>
              </w:rPr>
              <w:t>本项目年操作时间为</w:t>
            </w:r>
            <w:r>
              <w:rPr>
                <w:rFonts w:hint="eastAsia" w:ascii="Times New Roman" w:hAnsi="Times New Roman" w:cs="Times New Roman"/>
                <w:color w:val="0000FF"/>
                <w:sz w:val="24"/>
                <w:szCs w:val="24"/>
                <w:lang w:val="en-US" w:eastAsia="zh-CN"/>
              </w:rPr>
              <w:t>7920</w:t>
            </w:r>
            <w:r>
              <w:rPr>
                <w:rFonts w:ascii="Times New Roman" w:hAnsi="Times New Roman" w:cs="Times New Roman"/>
                <w:color w:val="0000FF"/>
                <w:sz w:val="24"/>
                <w:szCs w:val="24"/>
              </w:rPr>
              <w:t>小时，挥发性有机物与总有机碳占比按照1来计算，本项目</w:t>
            </w:r>
            <w:r>
              <w:rPr>
                <w:rFonts w:hint="eastAsia" w:ascii="Times New Roman" w:hAnsi="Times New Roman" w:cs="Times New Roman"/>
                <w:color w:val="0000FF"/>
                <w:sz w:val="24"/>
                <w:szCs w:val="24"/>
                <w:lang w:val="en-US" w:eastAsia="zh-CN"/>
              </w:rPr>
              <w:t>管道及灌装</w:t>
            </w:r>
            <w:r>
              <w:rPr>
                <w:rFonts w:ascii="Times New Roman" w:hAnsi="Times New Roman" w:cs="Times New Roman"/>
                <w:color w:val="0000FF"/>
                <w:sz w:val="24"/>
                <w:szCs w:val="24"/>
              </w:rPr>
              <w:t>区无组织泄露非甲烷总烃排放量统计见表</w:t>
            </w:r>
            <w:r>
              <w:rPr>
                <w:rFonts w:hint="eastAsia" w:ascii="Times New Roman" w:hAnsi="Times New Roman" w:cs="Times New Roman"/>
                <w:color w:val="0000FF"/>
                <w:sz w:val="24"/>
                <w:szCs w:val="24"/>
                <w:lang w:val="en-US" w:eastAsia="zh-CN"/>
              </w:rPr>
              <w:t>4</w:t>
            </w:r>
            <w:r>
              <w:rPr>
                <w:rFonts w:ascii="Times New Roman" w:hAnsi="Times New Roman" w:cs="Times New Roman"/>
                <w:color w:val="0000FF"/>
                <w:sz w:val="24"/>
                <w:szCs w:val="24"/>
              </w:rPr>
              <w:t>.</w:t>
            </w:r>
            <w:r>
              <w:rPr>
                <w:rFonts w:hint="eastAsia" w:ascii="Times New Roman" w:hAnsi="Times New Roman" w:cs="Times New Roman"/>
                <w:color w:val="0000FF"/>
                <w:sz w:val="24"/>
                <w:szCs w:val="24"/>
                <w:lang w:val="en-US" w:eastAsia="zh-CN"/>
              </w:rPr>
              <w:t>6-8</w:t>
            </w:r>
            <w:r>
              <w:rPr>
                <w:rFonts w:ascii="Times New Roman" w:hAnsi="Times New Roman" w:cs="Times New Roman"/>
                <w:color w:val="0000FF"/>
                <w:sz w:val="24"/>
                <w:szCs w:val="24"/>
              </w:rPr>
              <w:t>。</w:t>
            </w:r>
          </w:p>
          <w:p w14:paraId="1E24C5C5">
            <w:pPr>
              <w:snapToGrid w:val="0"/>
              <w:spacing w:line="360" w:lineRule="auto"/>
              <w:ind w:firstLine="510"/>
              <w:jc w:val="center"/>
              <w:rPr>
                <w:rFonts w:ascii="Times New Roman" w:hAnsi="Times New Roman" w:cs="Times New Roman"/>
                <w:b/>
                <w:bCs/>
                <w:color w:val="0000FF"/>
                <w:sz w:val="24"/>
                <w:szCs w:val="24"/>
              </w:rPr>
            </w:pPr>
            <w:r>
              <w:rPr>
                <w:rFonts w:ascii="Times New Roman" w:hAnsi="Times New Roman" w:cs="Times New Roman"/>
                <w:b/>
                <w:bCs/>
                <w:color w:val="0000FF"/>
                <w:sz w:val="24"/>
                <w:szCs w:val="24"/>
              </w:rPr>
              <w:t>表</w:t>
            </w:r>
            <w:r>
              <w:rPr>
                <w:rFonts w:hint="eastAsia" w:ascii="Times New Roman" w:hAnsi="Times New Roman" w:cs="Times New Roman"/>
                <w:b/>
                <w:bCs/>
                <w:color w:val="0000FF"/>
                <w:sz w:val="24"/>
                <w:szCs w:val="24"/>
                <w:lang w:val="en-US" w:eastAsia="zh-CN"/>
              </w:rPr>
              <w:t>4</w:t>
            </w:r>
            <w:r>
              <w:rPr>
                <w:rFonts w:ascii="Times New Roman" w:hAnsi="Times New Roman" w:cs="Times New Roman"/>
                <w:b/>
                <w:bCs/>
                <w:color w:val="0000FF"/>
                <w:sz w:val="24"/>
                <w:szCs w:val="24"/>
              </w:rPr>
              <w:t>.</w:t>
            </w:r>
            <w:r>
              <w:rPr>
                <w:rFonts w:hint="eastAsia" w:ascii="Times New Roman" w:hAnsi="Times New Roman" w:cs="Times New Roman"/>
                <w:b/>
                <w:bCs/>
                <w:color w:val="0000FF"/>
                <w:sz w:val="24"/>
                <w:szCs w:val="24"/>
                <w:lang w:val="en-US" w:eastAsia="zh-CN"/>
              </w:rPr>
              <w:t>6-8</w:t>
            </w:r>
            <w:r>
              <w:rPr>
                <w:rFonts w:ascii="Times New Roman" w:hAnsi="Times New Roman" w:cs="Times New Roman"/>
                <w:b/>
                <w:bCs/>
                <w:color w:val="0000FF"/>
                <w:sz w:val="24"/>
                <w:szCs w:val="24"/>
              </w:rPr>
              <w:t xml:space="preserve">    本项目</w:t>
            </w:r>
            <w:r>
              <w:rPr>
                <w:rFonts w:hint="eastAsia" w:ascii="Times New Roman" w:hAnsi="Times New Roman" w:cs="Times New Roman"/>
                <w:b/>
                <w:bCs/>
                <w:color w:val="0000FF"/>
                <w:sz w:val="24"/>
                <w:szCs w:val="24"/>
              </w:rPr>
              <w:t>管道及灌装区</w:t>
            </w:r>
            <w:r>
              <w:rPr>
                <w:rFonts w:ascii="Times New Roman" w:hAnsi="Times New Roman" w:cs="Times New Roman"/>
                <w:b/>
                <w:bCs/>
                <w:color w:val="0000FF"/>
                <w:sz w:val="24"/>
                <w:szCs w:val="24"/>
              </w:rPr>
              <w:t>无组织泄露非甲烷总烃排放量统计表</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83"/>
              <w:gridCol w:w="2274"/>
              <w:gridCol w:w="1406"/>
              <w:gridCol w:w="2227"/>
              <w:gridCol w:w="1500"/>
            </w:tblGrid>
            <w:tr w14:paraId="0A1621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8" w:type="pct"/>
                  <w:tcBorders>
                    <w:top w:val="single" w:color="auto" w:sz="4" w:space="0"/>
                    <w:left w:val="single" w:color="auto" w:sz="4" w:space="0"/>
                    <w:bottom w:val="single" w:color="auto" w:sz="4" w:space="0"/>
                    <w:right w:val="single" w:color="auto" w:sz="4" w:space="0"/>
                  </w:tcBorders>
                  <w:shd w:val="clear" w:color="auto" w:fill="auto"/>
                  <w:vAlign w:val="center"/>
                </w:tcPr>
                <w:p w14:paraId="5C3B2819">
                  <w:pPr>
                    <w:jc w:val="center"/>
                    <w:rPr>
                      <w:rFonts w:hint="eastAsia" w:ascii="Times New Roman" w:hAnsi="Times New Roman" w:eastAsia="宋体" w:cs="Times New Roman"/>
                      <w:color w:val="0000FF"/>
                      <w:lang w:val="en-US" w:eastAsia="zh-CN"/>
                    </w:rPr>
                  </w:pPr>
                  <w:r>
                    <w:rPr>
                      <w:rFonts w:hint="eastAsia" w:ascii="Times New Roman" w:hAnsi="Times New Roman" w:cs="Times New Roman"/>
                      <w:color w:val="0000FF"/>
                      <w:lang w:val="en-US" w:eastAsia="zh-CN"/>
                    </w:rPr>
                    <w:t>序号</w:t>
                  </w:r>
                </w:p>
              </w:tc>
              <w:tc>
                <w:tcPr>
                  <w:tcW w:w="1388" w:type="pct"/>
                  <w:tcBorders>
                    <w:top w:val="single" w:color="auto" w:sz="4" w:space="0"/>
                    <w:left w:val="single" w:color="auto" w:sz="4" w:space="0"/>
                    <w:bottom w:val="single" w:color="auto" w:sz="4" w:space="0"/>
                    <w:right w:val="single" w:color="auto" w:sz="4" w:space="0"/>
                  </w:tcBorders>
                  <w:shd w:val="clear" w:color="auto" w:fill="auto"/>
                  <w:vAlign w:val="center"/>
                </w:tcPr>
                <w:p w14:paraId="3EDE4DAE">
                  <w:pPr>
                    <w:jc w:val="center"/>
                    <w:rPr>
                      <w:rFonts w:hint="eastAsia" w:ascii="Times New Roman" w:hAnsi="Times New Roman" w:eastAsia="宋体" w:cs="Times New Roman"/>
                      <w:color w:val="0000FF"/>
                      <w:kern w:val="2"/>
                      <w:sz w:val="21"/>
                      <w:szCs w:val="24"/>
                      <w:lang w:val="en-US" w:eastAsia="zh-CN" w:bidi="ar-SA"/>
                    </w:rPr>
                  </w:pPr>
                  <w:r>
                    <w:rPr>
                      <w:rFonts w:ascii="Times New Roman" w:hAnsi="Times New Roman" w:cs="Times New Roman"/>
                      <w:color w:val="0000FF"/>
                    </w:rPr>
                    <w:t>设备类型</w:t>
                  </w:r>
                </w:p>
              </w:tc>
              <w:tc>
                <w:tcPr>
                  <w:tcW w:w="858" w:type="pct"/>
                  <w:tcBorders>
                    <w:top w:val="single" w:color="auto" w:sz="4" w:space="0"/>
                    <w:left w:val="single" w:color="auto" w:sz="4" w:space="0"/>
                    <w:bottom w:val="single" w:color="auto" w:sz="4" w:space="0"/>
                    <w:right w:val="single" w:color="auto" w:sz="4" w:space="0"/>
                  </w:tcBorders>
                  <w:shd w:val="clear" w:color="auto" w:fill="auto"/>
                  <w:vAlign w:val="center"/>
                </w:tcPr>
                <w:p w14:paraId="78332D69">
                  <w:pPr>
                    <w:jc w:val="center"/>
                    <w:rPr>
                      <w:rFonts w:hint="default" w:ascii="Times New Roman" w:hAnsi="Times New Roman" w:eastAsia="宋体" w:cs="Times New Roman"/>
                      <w:color w:val="0000FF"/>
                      <w:kern w:val="2"/>
                      <w:sz w:val="21"/>
                      <w:szCs w:val="24"/>
                      <w:lang w:val="en-US" w:eastAsia="zh-CN" w:bidi="ar-SA"/>
                    </w:rPr>
                  </w:pPr>
                  <w:r>
                    <w:rPr>
                      <w:rFonts w:ascii="Times New Roman" w:hAnsi="Times New Roman" w:cs="Times New Roman"/>
                      <w:color w:val="0000FF"/>
                    </w:rPr>
                    <w:t>数量（个）</w:t>
                  </w:r>
                </w:p>
              </w:tc>
              <w:tc>
                <w:tcPr>
                  <w:tcW w:w="1359" w:type="pct"/>
                  <w:tcBorders>
                    <w:top w:val="single" w:color="auto" w:sz="4" w:space="0"/>
                    <w:left w:val="single" w:color="auto" w:sz="4" w:space="0"/>
                    <w:bottom w:val="single" w:color="auto" w:sz="4" w:space="0"/>
                    <w:right w:val="single" w:color="auto" w:sz="4" w:space="0"/>
                  </w:tcBorders>
                  <w:shd w:val="clear" w:color="auto" w:fill="auto"/>
                  <w:vAlign w:val="center"/>
                </w:tcPr>
                <w:p w14:paraId="496AE5F7">
                  <w:pPr>
                    <w:jc w:val="center"/>
                    <w:rPr>
                      <w:rFonts w:hint="default" w:ascii="Times New Roman" w:hAnsi="Times New Roman" w:eastAsia="宋体" w:cs="Times New Roman"/>
                      <w:color w:val="0000FF"/>
                      <w:kern w:val="2"/>
                      <w:sz w:val="21"/>
                      <w:szCs w:val="24"/>
                      <w:lang w:val="en-US" w:eastAsia="zh-CN" w:bidi="ar-SA"/>
                    </w:rPr>
                  </w:pPr>
                  <w:r>
                    <w:rPr>
                      <w:rFonts w:ascii="Times New Roman" w:hAnsi="Times New Roman" w:cs="Times New Roman"/>
                      <w:color w:val="0000FF"/>
                    </w:rPr>
                    <w:t>排放速率eTOC，i</w:t>
                  </w:r>
                </w:p>
              </w:tc>
              <w:tc>
                <w:tcPr>
                  <w:tcW w:w="915" w:type="pct"/>
                  <w:tcBorders>
                    <w:top w:val="single" w:color="auto" w:sz="4" w:space="0"/>
                    <w:left w:val="single" w:color="auto" w:sz="4" w:space="0"/>
                    <w:bottom w:val="single" w:color="auto" w:sz="4" w:space="0"/>
                    <w:right w:val="single" w:color="auto" w:sz="4" w:space="0"/>
                  </w:tcBorders>
                  <w:shd w:val="clear" w:color="auto" w:fill="auto"/>
                  <w:vAlign w:val="center"/>
                </w:tcPr>
                <w:p w14:paraId="7F1AB4A5">
                  <w:pPr>
                    <w:jc w:val="center"/>
                    <w:rPr>
                      <w:rFonts w:hint="default" w:ascii="Times New Roman" w:hAnsi="Times New Roman" w:eastAsia="宋体" w:cs="Times New Roman"/>
                      <w:color w:val="0000FF"/>
                      <w:kern w:val="2"/>
                      <w:sz w:val="21"/>
                      <w:szCs w:val="24"/>
                      <w:lang w:val="en-US" w:eastAsia="zh-CN" w:bidi="ar-SA"/>
                    </w:rPr>
                  </w:pPr>
                  <w:r>
                    <w:rPr>
                      <w:rFonts w:ascii="Times New Roman" w:hAnsi="Times New Roman" w:cs="Times New Roman"/>
                      <w:color w:val="0000FF"/>
                    </w:rPr>
                    <w:t>排放量（t/a）</w:t>
                  </w:r>
                </w:p>
              </w:tc>
            </w:tr>
            <w:tr w14:paraId="2A299A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8" w:type="pct"/>
                  <w:tcBorders>
                    <w:top w:val="single" w:color="auto" w:sz="4" w:space="0"/>
                    <w:left w:val="single" w:color="auto" w:sz="4" w:space="0"/>
                    <w:bottom w:val="single" w:color="auto" w:sz="4" w:space="0"/>
                    <w:right w:val="single" w:color="auto" w:sz="4" w:space="0"/>
                  </w:tcBorders>
                  <w:shd w:val="clear" w:color="auto" w:fill="auto"/>
                  <w:vAlign w:val="center"/>
                </w:tcPr>
                <w:p w14:paraId="5A9033DF">
                  <w:pPr>
                    <w:jc w:val="center"/>
                    <w:rPr>
                      <w:rFonts w:ascii="Times New Roman" w:hAnsi="Times New Roman" w:cs="Times New Roman"/>
                      <w:color w:val="0000FF"/>
                    </w:rPr>
                  </w:pPr>
                  <w:r>
                    <w:rPr>
                      <w:rFonts w:ascii="Times New Roman" w:hAnsi="Times New Roman" w:cs="Times New Roman"/>
                      <w:color w:val="0000FF"/>
                    </w:rPr>
                    <w:t>1</w:t>
                  </w:r>
                </w:p>
              </w:tc>
              <w:tc>
                <w:tcPr>
                  <w:tcW w:w="1388" w:type="pct"/>
                  <w:tcBorders>
                    <w:top w:val="single" w:color="auto" w:sz="4" w:space="0"/>
                    <w:left w:val="single" w:color="auto" w:sz="4" w:space="0"/>
                    <w:bottom w:val="single" w:color="auto" w:sz="4" w:space="0"/>
                    <w:right w:val="single" w:color="auto" w:sz="4" w:space="0"/>
                  </w:tcBorders>
                  <w:shd w:val="clear" w:color="auto" w:fill="auto"/>
                  <w:vAlign w:val="center"/>
                </w:tcPr>
                <w:p w14:paraId="44736D9D">
                  <w:pPr>
                    <w:jc w:val="center"/>
                    <w:rPr>
                      <w:rFonts w:ascii="Times New Roman" w:hAnsi="Times New Roman" w:cs="Times New Roman"/>
                      <w:color w:val="0000FF"/>
                    </w:rPr>
                  </w:pPr>
                  <w:r>
                    <w:rPr>
                      <w:rFonts w:hint="eastAsia" w:ascii="Times New Roman" w:hAnsi="Times New Roman" w:cs="Times New Roman"/>
                      <w:color w:val="0000FF"/>
                      <w:lang w:val="en-US" w:eastAsia="zh-CN"/>
                    </w:rPr>
                    <w:t>气体阀门</w:t>
                  </w:r>
                </w:p>
              </w:tc>
              <w:tc>
                <w:tcPr>
                  <w:tcW w:w="858" w:type="pct"/>
                  <w:tcBorders>
                    <w:top w:val="single" w:color="auto" w:sz="4" w:space="0"/>
                    <w:left w:val="single" w:color="auto" w:sz="4" w:space="0"/>
                    <w:bottom w:val="single" w:color="auto" w:sz="4" w:space="0"/>
                    <w:right w:val="single" w:color="auto" w:sz="4" w:space="0"/>
                  </w:tcBorders>
                  <w:shd w:val="clear" w:color="auto" w:fill="auto"/>
                  <w:vAlign w:val="center"/>
                </w:tcPr>
                <w:p w14:paraId="6886BB9F">
                  <w:pPr>
                    <w:keepNext w:val="0"/>
                    <w:keepLines w:val="0"/>
                    <w:widowControl/>
                    <w:suppressLineNumbers w:val="0"/>
                    <w:jc w:val="center"/>
                    <w:textAlignment w:val="center"/>
                    <w:rPr>
                      <w:rFonts w:hint="default" w:ascii="Times New Roman" w:hAnsi="Times New Roman" w:eastAsia="宋体" w:cs="Times New Roman"/>
                      <w:color w:val="0000FF"/>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8</w:t>
                  </w:r>
                </w:p>
              </w:tc>
              <w:tc>
                <w:tcPr>
                  <w:tcW w:w="1359" w:type="pct"/>
                  <w:tcBorders>
                    <w:top w:val="single" w:color="auto" w:sz="4" w:space="0"/>
                    <w:left w:val="single" w:color="auto" w:sz="4" w:space="0"/>
                    <w:bottom w:val="single" w:color="auto" w:sz="4" w:space="0"/>
                    <w:right w:val="single" w:color="auto" w:sz="4" w:space="0"/>
                  </w:tcBorders>
                  <w:vAlign w:val="center"/>
                </w:tcPr>
                <w:p w14:paraId="16A780CE">
                  <w:pPr>
                    <w:keepNext w:val="0"/>
                    <w:keepLines w:val="0"/>
                    <w:widowControl/>
                    <w:suppressLineNumbers w:val="0"/>
                    <w:jc w:val="center"/>
                    <w:textAlignment w:val="center"/>
                    <w:rPr>
                      <w:rFonts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0.024</w:t>
                  </w:r>
                </w:p>
              </w:tc>
              <w:tc>
                <w:tcPr>
                  <w:tcW w:w="1547" w:type="dxa"/>
                  <w:tcBorders>
                    <w:top w:val="single" w:color="auto" w:sz="4" w:space="0"/>
                    <w:left w:val="single" w:color="auto" w:sz="4" w:space="0"/>
                    <w:bottom w:val="single" w:color="auto" w:sz="4" w:space="0"/>
                    <w:right w:val="single" w:color="auto" w:sz="4" w:space="0"/>
                  </w:tcBorders>
                  <w:shd w:val="clear" w:color="auto" w:fill="auto"/>
                  <w:vAlign w:val="center"/>
                </w:tcPr>
                <w:p w14:paraId="075DA81C">
                  <w:pPr>
                    <w:keepNext w:val="0"/>
                    <w:keepLines w:val="0"/>
                    <w:widowControl/>
                    <w:suppressLineNumbers w:val="0"/>
                    <w:jc w:val="center"/>
                    <w:textAlignment w:val="center"/>
                    <w:rPr>
                      <w:rFonts w:ascii="Times New Roman" w:hAnsi="Times New Roman" w:eastAsia="宋体" w:cs="Times New Roman"/>
                      <w:color w:val="0000FF"/>
                      <w:szCs w:val="21"/>
                    </w:rPr>
                  </w:pPr>
                  <w:r>
                    <w:rPr>
                      <w:rFonts w:hint="default" w:ascii="Times New Roman" w:hAnsi="Times New Roman" w:eastAsia="宋体" w:cs="Times New Roman"/>
                      <w:i w:val="0"/>
                      <w:iCs w:val="0"/>
                      <w:color w:val="0000FF"/>
                      <w:kern w:val="0"/>
                      <w:sz w:val="21"/>
                      <w:szCs w:val="21"/>
                      <w:u w:val="none"/>
                      <w:lang w:val="en-US" w:eastAsia="zh-CN" w:bidi="ar"/>
                    </w:rPr>
                    <w:t xml:space="preserve">0.005 </w:t>
                  </w:r>
                </w:p>
              </w:tc>
            </w:tr>
            <w:tr w14:paraId="55C371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8" w:type="pct"/>
                  <w:tcBorders>
                    <w:top w:val="single" w:color="auto" w:sz="4" w:space="0"/>
                    <w:left w:val="single" w:color="auto" w:sz="4" w:space="0"/>
                    <w:bottom w:val="single" w:color="auto" w:sz="4" w:space="0"/>
                    <w:right w:val="single" w:color="auto" w:sz="4" w:space="0"/>
                  </w:tcBorders>
                  <w:shd w:val="clear" w:color="auto" w:fill="auto"/>
                  <w:vAlign w:val="center"/>
                </w:tcPr>
                <w:p w14:paraId="7CE48C1D">
                  <w:pPr>
                    <w:jc w:val="center"/>
                    <w:rPr>
                      <w:rFonts w:ascii="Times New Roman" w:hAnsi="Times New Roman" w:cs="Times New Roman"/>
                      <w:color w:val="0000FF"/>
                    </w:rPr>
                  </w:pPr>
                  <w:r>
                    <w:rPr>
                      <w:rFonts w:ascii="Times New Roman" w:hAnsi="Times New Roman" w:cs="Times New Roman"/>
                      <w:color w:val="0000FF"/>
                    </w:rPr>
                    <w:t>2</w:t>
                  </w:r>
                </w:p>
              </w:tc>
              <w:tc>
                <w:tcPr>
                  <w:tcW w:w="1388" w:type="pct"/>
                  <w:tcBorders>
                    <w:top w:val="single" w:color="auto" w:sz="4" w:space="0"/>
                    <w:left w:val="single" w:color="auto" w:sz="4" w:space="0"/>
                    <w:bottom w:val="single" w:color="auto" w:sz="4" w:space="0"/>
                    <w:right w:val="single" w:color="auto" w:sz="4" w:space="0"/>
                  </w:tcBorders>
                  <w:shd w:val="clear" w:color="auto" w:fill="auto"/>
                  <w:vAlign w:val="center"/>
                </w:tcPr>
                <w:p w14:paraId="7EE00C50">
                  <w:pPr>
                    <w:jc w:val="center"/>
                    <w:rPr>
                      <w:rFonts w:ascii="Times New Roman" w:hAnsi="Times New Roman" w:cs="Times New Roman"/>
                      <w:color w:val="0000FF"/>
                    </w:rPr>
                  </w:pPr>
                  <w:r>
                    <w:rPr>
                      <w:rFonts w:ascii="Times New Roman" w:hAnsi="Times New Roman" w:cs="Times New Roman"/>
                      <w:color w:val="0000FF"/>
                    </w:rPr>
                    <w:t>开口阀或开口管线</w:t>
                  </w:r>
                </w:p>
              </w:tc>
              <w:tc>
                <w:tcPr>
                  <w:tcW w:w="858" w:type="pct"/>
                  <w:tcBorders>
                    <w:top w:val="single" w:color="auto" w:sz="4" w:space="0"/>
                    <w:left w:val="single" w:color="auto" w:sz="4" w:space="0"/>
                    <w:bottom w:val="single" w:color="auto" w:sz="4" w:space="0"/>
                    <w:right w:val="single" w:color="auto" w:sz="4" w:space="0"/>
                  </w:tcBorders>
                  <w:shd w:val="clear" w:color="auto" w:fill="auto"/>
                  <w:vAlign w:val="center"/>
                </w:tcPr>
                <w:p w14:paraId="5D6C5E5C">
                  <w:pPr>
                    <w:keepNext w:val="0"/>
                    <w:keepLines w:val="0"/>
                    <w:widowControl/>
                    <w:suppressLineNumbers w:val="0"/>
                    <w:jc w:val="center"/>
                    <w:textAlignment w:val="center"/>
                    <w:rPr>
                      <w:rFonts w:ascii="Times New Roman" w:hAnsi="Times New Roman" w:eastAsia="宋体" w:cs="Times New Roman"/>
                      <w:color w:val="0000FF"/>
                      <w:szCs w:val="21"/>
                    </w:rPr>
                  </w:pPr>
                  <w:r>
                    <w:rPr>
                      <w:rFonts w:hint="default" w:ascii="Times New Roman" w:hAnsi="Times New Roman" w:eastAsia="宋体" w:cs="Times New Roman"/>
                      <w:i w:val="0"/>
                      <w:iCs w:val="0"/>
                      <w:color w:val="0000FF"/>
                      <w:kern w:val="0"/>
                      <w:sz w:val="21"/>
                      <w:szCs w:val="21"/>
                      <w:u w:val="none"/>
                      <w:lang w:val="en-US" w:eastAsia="zh-CN" w:bidi="ar"/>
                    </w:rPr>
                    <w:t>10</w:t>
                  </w:r>
                </w:p>
              </w:tc>
              <w:tc>
                <w:tcPr>
                  <w:tcW w:w="1359" w:type="pct"/>
                  <w:tcBorders>
                    <w:top w:val="single" w:color="auto" w:sz="4" w:space="0"/>
                    <w:left w:val="single" w:color="auto" w:sz="4" w:space="0"/>
                    <w:bottom w:val="single" w:color="auto" w:sz="4" w:space="0"/>
                    <w:right w:val="single" w:color="auto" w:sz="4" w:space="0"/>
                  </w:tcBorders>
                  <w:vAlign w:val="center"/>
                </w:tcPr>
                <w:p w14:paraId="5360CF4C">
                  <w:pPr>
                    <w:keepNext w:val="0"/>
                    <w:keepLines w:val="0"/>
                    <w:widowControl/>
                    <w:suppressLineNumbers w:val="0"/>
                    <w:jc w:val="center"/>
                    <w:textAlignment w:val="center"/>
                    <w:rPr>
                      <w:rFonts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0.03</w:t>
                  </w:r>
                </w:p>
              </w:tc>
              <w:tc>
                <w:tcPr>
                  <w:tcW w:w="1547" w:type="dxa"/>
                  <w:tcBorders>
                    <w:top w:val="single" w:color="auto" w:sz="4" w:space="0"/>
                    <w:left w:val="single" w:color="auto" w:sz="4" w:space="0"/>
                    <w:bottom w:val="single" w:color="auto" w:sz="4" w:space="0"/>
                    <w:right w:val="single" w:color="auto" w:sz="4" w:space="0"/>
                  </w:tcBorders>
                  <w:shd w:val="clear" w:color="auto" w:fill="auto"/>
                  <w:vAlign w:val="center"/>
                </w:tcPr>
                <w:p w14:paraId="1954185D">
                  <w:pPr>
                    <w:keepNext w:val="0"/>
                    <w:keepLines w:val="0"/>
                    <w:widowControl/>
                    <w:suppressLineNumbers w:val="0"/>
                    <w:jc w:val="center"/>
                    <w:textAlignment w:val="center"/>
                    <w:rPr>
                      <w:rFonts w:ascii="Times New Roman" w:hAnsi="Times New Roman" w:eastAsia="宋体" w:cs="Times New Roman"/>
                      <w:color w:val="0000FF"/>
                      <w:szCs w:val="21"/>
                    </w:rPr>
                  </w:pPr>
                  <w:r>
                    <w:rPr>
                      <w:rFonts w:hint="default" w:ascii="Times New Roman" w:hAnsi="Times New Roman" w:eastAsia="宋体" w:cs="Times New Roman"/>
                      <w:i w:val="0"/>
                      <w:iCs w:val="0"/>
                      <w:color w:val="0000FF"/>
                      <w:kern w:val="0"/>
                      <w:sz w:val="21"/>
                      <w:szCs w:val="21"/>
                      <w:u w:val="none"/>
                      <w:lang w:val="en-US" w:eastAsia="zh-CN" w:bidi="ar"/>
                    </w:rPr>
                    <w:t xml:space="preserve">0.007 </w:t>
                  </w:r>
                </w:p>
              </w:tc>
            </w:tr>
            <w:tr w14:paraId="7D7BC0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8" w:type="pct"/>
                  <w:tcBorders>
                    <w:top w:val="single" w:color="auto" w:sz="4" w:space="0"/>
                    <w:left w:val="single" w:color="auto" w:sz="4" w:space="0"/>
                    <w:bottom w:val="single" w:color="auto" w:sz="4" w:space="0"/>
                    <w:right w:val="single" w:color="auto" w:sz="4" w:space="0"/>
                  </w:tcBorders>
                  <w:shd w:val="clear" w:color="auto" w:fill="auto"/>
                  <w:vAlign w:val="center"/>
                </w:tcPr>
                <w:p w14:paraId="79C16B83">
                  <w:pPr>
                    <w:jc w:val="center"/>
                    <w:rPr>
                      <w:rFonts w:ascii="Times New Roman" w:hAnsi="Times New Roman" w:cs="Times New Roman"/>
                      <w:color w:val="0000FF"/>
                    </w:rPr>
                  </w:pPr>
                  <w:r>
                    <w:rPr>
                      <w:rFonts w:ascii="Times New Roman" w:hAnsi="Times New Roman" w:cs="Times New Roman"/>
                      <w:color w:val="0000FF"/>
                    </w:rPr>
                    <w:t>3</w:t>
                  </w:r>
                </w:p>
              </w:tc>
              <w:tc>
                <w:tcPr>
                  <w:tcW w:w="1388" w:type="pct"/>
                  <w:tcBorders>
                    <w:top w:val="single" w:color="auto" w:sz="4" w:space="0"/>
                    <w:left w:val="single" w:color="auto" w:sz="4" w:space="0"/>
                    <w:bottom w:val="single" w:color="auto" w:sz="4" w:space="0"/>
                    <w:right w:val="single" w:color="auto" w:sz="4" w:space="0"/>
                  </w:tcBorders>
                  <w:shd w:val="clear" w:color="auto" w:fill="auto"/>
                  <w:vAlign w:val="center"/>
                </w:tcPr>
                <w:p w14:paraId="1026D335">
                  <w:pPr>
                    <w:jc w:val="center"/>
                    <w:rPr>
                      <w:rFonts w:ascii="Times New Roman" w:hAnsi="Times New Roman" w:cs="Times New Roman"/>
                      <w:color w:val="0000FF"/>
                    </w:rPr>
                  </w:pPr>
                  <w:r>
                    <w:rPr>
                      <w:rFonts w:hint="eastAsia" w:ascii="Times New Roman" w:hAnsi="Times New Roman" w:cs="Times New Roman"/>
                      <w:color w:val="0000FF"/>
                      <w:lang w:val="en-US" w:eastAsia="zh-CN"/>
                    </w:rPr>
                    <w:t>有机液体</w:t>
                  </w:r>
                  <w:r>
                    <w:rPr>
                      <w:rFonts w:ascii="Times New Roman" w:hAnsi="Times New Roman" w:cs="Times New Roman"/>
                      <w:color w:val="0000FF"/>
                    </w:rPr>
                    <w:t>阀门</w:t>
                  </w:r>
                </w:p>
              </w:tc>
              <w:tc>
                <w:tcPr>
                  <w:tcW w:w="858" w:type="pct"/>
                  <w:tcBorders>
                    <w:top w:val="single" w:color="auto" w:sz="4" w:space="0"/>
                    <w:left w:val="single" w:color="auto" w:sz="4" w:space="0"/>
                    <w:bottom w:val="single" w:color="auto" w:sz="4" w:space="0"/>
                    <w:right w:val="single" w:color="auto" w:sz="4" w:space="0"/>
                  </w:tcBorders>
                  <w:shd w:val="clear" w:color="auto" w:fill="auto"/>
                  <w:vAlign w:val="center"/>
                </w:tcPr>
                <w:p w14:paraId="05E1DF02">
                  <w:pPr>
                    <w:keepNext w:val="0"/>
                    <w:keepLines w:val="0"/>
                    <w:widowControl/>
                    <w:suppressLineNumbers w:val="0"/>
                    <w:jc w:val="center"/>
                    <w:textAlignment w:val="center"/>
                    <w:rPr>
                      <w:rFonts w:hint="default" w:ascii="Times New Roman" w:hAnsi="Times New Roman" w:eastAsia="宋体" w:cs="Times New Roman"/>
                      <w:color w:val="0000FF"/>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8</w:t>
                  </w:r>
                </w:p>
              </w:tc>
              <w:tc>
                <w:tcPr>
                  <w:tcW w:w="1359" w:type="pct"/>
                  <w:tcBorders>
                    <w:top w:val="single" w:color="auto" w:sz="4" w:space="0"/>
                    <w:left w:val="single" w:color="auto" w:sz="4" w:space="0"/>
                    <w:bottom w:val="single" w:color="auto" w:sz="4" w:space="0"/>
                    <w:right w:val="single" w:color="auto" w:sz="4" w:space="0"/>
                  </w:tcBorders>
                  <w:vAlign w:val="center"/>
                </w:tcPr>
                <w:p w14:paraId="63D1C121">
                  <w:pPr>
                    <w:keepNext w:val="0"/>
                    <w:keepLines w:val="0"/>
                    <w:widowControl/>
                    <w:suppressLineNumbers w:val="0"/>
                    <w:jc w:val="center"/>
                    <w:textAlignment w:val="center"/>
                    <w:rPr>
                      <w:rFonts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0.036</w:t>
                  </w:r>
                </w:p>
              </w:tc>
              <w:tc>
                <w:tcPr>
                  <w:tcW w:w="1547" w:type="dxa"/>
                  <w:tcBorders>
                    <w:top w:val="single" w:color="auto" w:sz="4" w:space="0"/>
                    <w:left w:val="single" w:color="auto" w:sz="4" w:space="0"/>
                    <w:bottom w:val="single" w:color="auto" w:sz="4" w:space="0"/>
                    <w:right w:val="single" w:color="auto" w:sz="4" w:space="0"/>
                  </w:tcBorders>
                  <w:shd w:val="clear" w:color="auto" w:fill="auto"/>
                  <w:vAlign w:val="center"/>
                </w:tcPr>
                <w:p w14:paraId="2FD9B9A2">
                  <w:pPr>
                    <w:keepNext w:val="0"/>
                    <w:keepLines w:val="0"/>
                    <w:widowControl/>
                    <w:suppressLineNumbers w:val="0"/>
                    <w:jc w:val="center"/>
                    <w:textAlignment w:val="center"/>
                    <w:rPr>
                      <w:rFonts w:ascii="Times New Roman" w:hAnsi="Times New Roman" w:eastAsia="宋体" w:cs="Times New Roman"/>
                      <w:color w:val="0000FF"/>
                      <w:szCs w:val="21"/>
                    </w:rPr>
                  </w:pPr>
                  <w:r>
                    <w:rPr>
                      <w:rFonts w:hint="default" w:ascii="Times New Roman" w:hAnsi="Times New Roman" w:eastAsia="宋体" w:cs="Times New Roman"/>
                      <w:i w:val="0"/>
                      <w:iCs w:val="0"/>
                      <w:color w:val="0000FF"/>
                      <w:kern w:val="0"/>
                      <w:sz w:val="21"/>
                      <w:szCs w:val="21"/>
                      <w:u w:val="none"/>
                      <w:lang w:val="en-US" w:eastAsia="zh-CN" w:bidi="ar"/>
                    </w:rPr>
                    <w:t xml:space="preserve">0.007 </w:t>
                  </w:r>
                </w:p>
              </w:tc>
            </w:tr>
            <w:tr w14:paraId="13B10CA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8" w:type="pct"/>
                  <w:tcBorders>
                    <w:top w:val="single" w:color="auto" w:sz="4" w:space="0"/>
                    <w:left w:val="single" w:color="auto" w:sz="4" w:space="0"/>
                    <w:bottom w:val="single" w:color="auto" w:sz="4" w:space="0"/>
                    <w:right w:val="single" w:color="auto" w:sz="4" w:space="0"/>
                  </w:tcBorders>
                  <w:shd w:val="clear" w:color="auto" w:fill="auto"/>
                  <w:vAlign w:val="center"/>
                </w:tcPr>
                <w:p w14:paraId="15A31F9C">
                  <w:pPr>
                    <w:jc w:val="center"/>
                    <w:rPr>
                      <w:rFonts w:ascii="Times New Roman" w:hAnsi="Times New Roman" w:cs="Times New Roman"/>
                      <w:color w:val="0000FF"/>
                    </w:rPr>
                  </w:pPr>
                  <w:r>
                    <w:rPr>
                      <w:rFonts w:ascii="Times New Roman" w:hAnsi="Times New Roman" w:cs="Times New Roman"/>
                      <w:color w:val="0000FF"/>
                    </w:rPr>
                    <w:t>4</w:t>
                  </w:r>
                </w:p>
              </w:tc>
              <w:tc>
                <w:tcPr>
                  <w:tcW w:w="1388" w:type="pct"/>
                  <w:tcBorders>
                    <w:top w:val="single" w:color="auto" w:sz="4" w:space="0"/>
                    <w:left w:val="single" w:color="auto" w:sz="4" w:space="0"/>
                    <w:bottom w:val="single" w:color="auto" w:sz="4" w:space="0"/>
                    <w:right w:val="single" w:color="auto" w:sz="4" w:space="0"/>
                  </w:tcBorders>
                  <w:shd w:val="clear" w:color="auto" w:fill="auto"/>
                  <w:vAlign w:val="center"/>
                </w:tcPr>
                <w:p w14:paraId="276621CC">
                  <w:pPr>
                    <w:jc w:val="center"/>
                    <w:rPr>
                      <w:rFonts w:ascii="Times New Roman" w:hAnsi="Times New Roman" w:cs="Times New Roman"/>
                      <w:color w:val="0000FF"/>
                    </w:rPr>
                  </w:pPr>
                  <w:r>
                    <w:rPr>
                      <w:rFonts w:hint="eastAsia" w:ascii="Times New Roman" w:hAnsi="Times New Roman" w:cs="Times New Roman"/>
                      <w:color w:val="0000FF"/>
                      <w:lang w:val="en-US" w:eastAsia="zh-CN"/>
                    </w:rPr>
                    <w:t>法兰或连接件</w:t>
                  </w:r>
                </w:p>
              </w:tc>
              <w:tc>
                <w:tcPr>
                  <w:tcW w:w="858" w:type="pct"/>
                  <w:tcBorders>
                    <w:top w:val="single" w:color="auto" w:sz="4" w:space="0"/>
                    <w:left w:val="single" w:color="auto" w:sz="4" w:space="0"/>
                    <w:bottom w:val="single" w:color="auto" w:sz="4" w:space="0"/>
                    <w:right w:val="single" w:color="auto" w:sz="4" w:space="0"/>
                  </w:tcBorders>
                  <w:shd w:val="clear" w:color="auto" w:fill="auto"/>
                  <w:vAlign w:val="center"/>
                </w:tcPr>
                <w:p w14:paraId="6C7E5627">
                  <w:pPr>
                    <w:keepNext w:val="0"/>
                    <w:keepLines w:val="0"/>
                    <w:widowControl/>
                    <w:suppressLineNumbers w:val="0"/>
                    <w:jc w:val="center"/>
                    <w:textAlignment w:val="center"/>
                    <w:rPr>
                      <w:rFonts w:hint="default" w:ascii="Times New Roman" w:hAnsi="Times New Roman" w:cs="Times New Roman" w:eastAsiaTheme="minorEastAsia"/>
                      <w:color w:val="0000FF"/>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80</w:t>
                  </w:r>
                </w:p>
              </w:tc>
              <w:tc>
                <w:tcPr>
                  <w:tcW w:w="1359" w:type="pct"/>
                  <w:tcBorders>
                    <w:top w:val="single" w:color="auto" w:sz="4" w:space="0"/>
                    <w:left w:val="single" w:color="auto" w:sz="4" w:space="0"/>
                    <w:bottom w:val="single" w:color="auto" w:sz="4" w:space="0"/>
                    <w:right w:val="single" w:color="auto" w:sz="4" w:space="0"/>
                  </w:tcBorders>
                  <w:vAlign w:val="center"/>
                </w:tcPr>
                <w:p w14:paraId="731CF6A1">
                  <w:pPr>
                    <w:keepNext w:val="0"/>
                    <w:keepLines w:val="0"/>
                    <w:widowControl/>
                    <w:suppressLineNumbers w:val="0"/>
                    <w:jc w:val="center"/>
                    <w:textAlignment w:val="center"/>
                    <w:rPr>
                      <w:rFonts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0.044</w:t>
                  </w:r>
                </w:p>
              </w:tc>
              <w:tc>
                <w:tcPr>
                  <w:tcW w:w="1547" w:type="dxa"/>
                  <w:tcBorders>
                    <w:top w:val="single" w:color="auto" w:sz="4" w:space="0"/>
                    <w:left w:val="single" w:color="auto" w:sz="4" w:space="0"/>
                    <w:bottom w:val="single" w:color="auto" w:sz="4" w:space="0"/>
                    <w:right w:val="single" w:color="auto" w:sz="4" w:space="0"/>
                  </w:tcBorders>
                  <w:shd w:val="clear" w:color="auto" w:fill="auto"/>
                  <w:vAlign w:val="center"/>
                </w:tcPr>
                <w:p w14:paraId="08847897">
                  <w:pPr>
                    <w:keepNext w:val="0"/>
                    <w:keepLines w:val="0"/>
                    <w:widowControl/>
                    <w:suppressLineNumbers w:val="0"/>
                    <w:jc w:val="center"/>
                    <w:textAlignment w:val="center"/>
                    <w:rPr>
                      <w:rFonts w:ascii="Times New Roman" w:hAnsi="Times New Roman" w:eastAsia="宋体" w:cs="Times New Roman"/>
                      <w:color w:val="0000FF"/>
                      <w:szCs w:val="21"/>
                    </w:rPr>
                  </w:pPr>
                  <w:r>
                    <w:rPr>
                      <w:rFonts w:hint="default" w:ascii="Times New Roman" w:hAnsi="Times New Roman" w:eastAsia="宋体" w:cs="Times New Roman"/>
                      <w:i w:val="0"/>
                      <w:iCs w:val="0"/>
                      <w:color w:val="0000FF"/>
                      <w:kern w:val="0"/>
                      <w:sz w:val="21"/>
                      <w:szCs w:val="21"/>
                      <w:u w:val="none"/>
                      <w:lang w:val="en-US" w:eastAsia="zh-CN" w:bidi="ar"/>
                    </w:rPr>
                    <w:t xml:space="preserve">0.042 </w:t>
                  </w:r>
                </w:p>
              </w:tc>
            </w:tr>
            <w:tr w14:paraId="18BD10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8" w:type="pct"/>
                  <w:tcBorders>
                    <w:top w:val="single" w:color="auto" w:sz="4" w:space="0"/>
                    <w:left w:val="single" w:color="auto" w:sz="4" w:space="0"/>
                    <w:bottom w:val="single" w:color="auto" w:sz="4" w:space="0"/>
                    <w:right w:val="single" w:color="auto" w:sz="4" w:space="0"/>
                  </w:tcBorders>
                  <w:shd w:val="clear" w:color="auto" w:fill="auto"/>
                  <w:vAlign w:val="center"/>
                </w:tcPr>
                <w:p w14:paraId="0B88C213">
                  <w:pPr>
                    <w:jc w:val="center"/>
                    <w:rPr>
                      <w:rFonts w:ascii="Times New Roman" w:hAnsi="Times New Roman" w:cs="Times New Roman"/>
                      <w:color w:val="0000FF"/>
                    </w:rPr>
                  </w:pPr>
                  <w:r>
                    <w:rPr>
                      <w:rFonts w:ascii="Times New Roman" w:hAnsi="Times New Roman" w:cs="Times New Roman"/>
                      <w:color w:val="0000FF"/>
                    </w:rPr>
                    <w:t>5</w:t>
                  </w:r>
                </w:p>
              </w:tc>
              <w:tc>
                <w:tcPr>
                  <w:tcW w:w="1388" w:type="pct"/>
                  <w:tcBorders>
                    <w:top w:val="single" w:color="auto" w:sz="4" w:space="0"/>
                    <w:left w:val="single" w:color="auto" w:sz="4" w:space="0"/>
                    <w:bottom w:val="single" w:color="auto" w:sz="4" w:space="0"/>
                    <w:right w:val="single" w:color="auto" w:sz="4" w:space="0"/>
                  </w:tcBorders>
                  <w:shd w:val="clear" w:color="auto" w:fill="auto"/>
                  <w:vAlign w:val="center"/>
                </w:tcPr>
                <w:p w14:paraId="5EEA3F7C">
                  <w:pPr>
                    <w:jc w:val="center"/>
                    <w:rPr>
                      <w:rFonts w:ascii="Times New Roman" w:hAnsi="Times New Roman" w:cs="Times New Roman"/>
                      <w:color w:val="0000FF"/>
                    </w:rPr>
                  </w:pPr>
                  <w:r>
                    <w:rPr>
                      <w:rFonts w:ascii="Times New Roman" w:hAnsi="Times New Roman" w:cs="Times New Roman"/>
                      <w:color w:val="0000FF"/>
                    </w:rPr>
                    <w:t>泵</w:t>
                  </w:r>
                  <w:r>
                    <w:rPr>
                      <w:rFonts w:hint="eastAsia" w:ascii="Times New Roman" w:hAnsi="Times New Roman" w:cs="Times New Roman"/>
                      <w:color w:val="0000FF"/>
                      <w:lang w:eastAsia="zh-CN"/>
                    </w:rPr>
                    <w:t>、</w:t>
                  </w:r>
                  <w:r>
                    <w:rPr>
                      <w:rFonts w:hint="eastAsia" w:ascii="Times New Roman" w:hAnsi="Times New Roman" w:cs="Times New Roman"/>
                      <w:color w:val="0000FF"/>
                      <w:lang w:val="en-US" w:eastAsia="zh-CN"/>
                    </w:rPr>
                    <w:t>压缩机、搅拌机、泄压设备</w:t>
                  </w:r>
                </w:p>
              </w:tc>
              <w:tc>
                <w:tcPr>
                  <w:tcW w:w="858" w:type="pct"/>
                  <w:tcBorders>
                    <w:top w:val="single" w:color="auto" w:sz="4" w:space="0"/>
                    <w:left w:val="single" w:color="auto" w:sz="4" w:space="0"/>
                    <w:bottom w:val="single" w:color="auto" w:sz="4" w:space="0"/>
                    <w:right w:val="single" w:color="auto" w:sz="4" w:space="0"/>
                  </w:tcBorders>
                  <w:shd w:val="clear" w:color="auto" w:fill="auto"/>
                  <w:vAlign w:val="center"/>
                </w:tcPr>
                <w:p w14:paraId="300C51A7">
                  <w:pPr>
                    <w:keepNext w:val="0"/>
                    <w:keepLines w:val="0"/>
                    <w:widowControl/>
                    <w:suppressLineNumbers w:val="0"/>
                    <w:jc w:val="center"/>
                    <w:textAlignment w:val="center"/>
                    <w:rPr>
                      <w:rFonts w:hint="default" w:ascii="Times New Roman" w:hAnsi="Times New Roman" w:cs="Times New Roman" w:eastAsiaTheme="minorEastAsia"/>
                      <w:color w:val="0000FF"/>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10</w:t>
                  </w:r>
                </w:p>
              </w:tc>
              <w:tc>
                <w:tcPr>
                  <w:tcW w:w="1359" w:type="pct"/>
                  <w:tcBorders>
                    <w:top w:val="single" w:color="auto" w:sz="4" w:space="0"/>
                    <w:left w:val="single" w:color="auto" w:sz="4" w:space="0"/>
                    <w:bottom w:val="single" w:color="auto" w:sz="4" w:space="0"/>
                    <w:right w:val="single" w:color="auto" w:sz="4" w:space="0"/>
                  </w:tcBorders>
                  <w:vAlign w:val="center"/>
                </w:tcPr>
                <w:p w14:paraId="2097D02B">
                  <w:pPr>
                    <w:keepNext w:val="0"/>
                    <w:keepLines w:val="0"/>
                    <w:widowControl/>
                    <w:suppressLineNumbers w:val="0"/>
                    <w:jc w:val="center"/>
                    <w:textAlignment w:val="center"/>
                    <w:rPr>
                      <w:rFonts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0.14</w:t>
                  </w:r>
                </w:p>
              </w:tc>
              <w:tc>
                <w:tcPr>
                  <w:tcW w:w="1547" w:type="dxa"/>
                  <w:tcBorders>
                    <w:top w:val="single" w:color="auto" w:sz="4" w:space="0"/>
                    <w:left w:val="single" w:color="auto" w:sz="4" w:space="0"/>
                    <w:bottom w:val="single" w:color="auto" w:sz="4" w:space="0"/>
                    <w:right w:val="single" w:color="auto" w:sz="4" w:space="0"/>
                  </w:tcBorders>
                  <w:shd w:val="clear" w:color="auto" w:fill="auto"/>
                  <w:vAlign w:val="center"/>
                </w:tcPr>
                <w:p w14:paraId="2CCB6373">
                  <w:pPr>
                    <w:keepNext w:val="0"/>
                    <w:keepLines w:val="0"/>
                    <w:widowControl/>
                    <w:suppressLineNumbers w:val="0"/>
                    <w:jc w:val="center"/>
                    <w:textAlignment w:val="center"/>
                    <w:rPr>
                      <w:rFonts w:ascii="Times New Roman" w:hAnsi="Times New Roman" w:eastAsia="宋体" w:cs="Times New Roman"/>
                      <w:color w:val="0000FF"/>
                      <w:szCs w:val="21"/>
                    </w:rPr>
                  </w:pPr>
                  <w:r>
                    <w:rPr>
                      <w:rFonts w:hint="default" w:ascii="Times New Roman" w:hAnsi="Times New Roman" w:eastAsia="宋体" w:cs="Times New Roman"/>
                      <w:i w:val="0"/>
                      <w:iCs w:val="0"/>
                      <w:color w:val="0000FF"/>
                      <w:kern w:val="0"/>
                      <w:sz w:val="21"/>
                      <w:szCs w:val="21"/>
                      <w:u w:val="none"/>
                      <w:lang w:val="en-US" w:eastAsia="zh-CN" w:bidi="ar"/>
                    </w:rPr>
                    <w:t xml:space="preserve">0.033 </w:t>
                  </w:r>
                </w:p>
              </w:tc>
            </w:tr>
            <w:tr w14:paraId="24AC345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8" w:type="pct"/>
                  <w:tcBorders>
                    <w:top w:val="single" w:color="auto" w:sz="4" w:space="0"/>
                    <w:left w:val="single" w:color="auto" w:sz="4" w:space="0"/>
                    <w:bottom w:val="single" w:color="auto" w:sz="4" w:space="0"/>
                    <w:right w:val="single" w:color="auto" w:sz="4" w:space="0"/>
                  </w:tcBorders>
                  <w:shd w:val="clear" w:color="auto" w:fill="auto"/>
                  <w:vAlign w:val="center"/>
                </w:tcPr>
                <w:p w14:paraId="13FB5BDC">
                  <w:pPr>
                    <w:jc w:val="center"/>
                    <w:rPr>
                      <w:rFonts w:ascii="Times New Roman" w:hAnsi="Times New Roman" w:cs="Times New Roman"/>
                      <w:color w:val="0000FF"/>
                    </w:rPr>
                  </w:pPr>
                  <w:r>
                    <w:rPr>
                      <w:rFonts w:ascii="Times New Roman" w:hAnsi="Times New Roman" w:cs="Times New Roman"/>
                      <w:color w:val="0000FF"/>
                    </w:rPr>
                    <w:t>6</w:t>
                  </w:r>
                </w:p>
              </w:tc>
              <w:tc>
                <w:tcPr>
                  <w:tcW w:w="1388" w:type="pct"/>
                  <w:tcBorders>
                    <w:top w:val="single" w:color="auto" w:sz="4" w:space="0"/>
                    <w:left w:val="single" w:color="auto" w:sz="4" w:space="0"/>
                    <w:bottom w:val="single" w:color="auto" w:sz="4" w:space="0"/>
                    <w:right w:val="single" w:color="auto" w:sz="4" w:space="0"/>
                  </w:tcBorders>
                  <w:shd w:val="clear" w:color="auto" w:fill="auto"/>
                  <w:vAlign w:val="center"/>
                </w:tcPr>
                <w:p w14:paraId="57BA7F99">
                  <w:pPr>
                    <w:jc w:val="center"/>
                    <w:rPr>
                      <w:rFonts w:ascii="Times New Roman" w:hAnsi="Times New Roman" w:cs="Times New Roman"/>
                      <w:color w:val="0000FF"/>
                    </w:rPr>
                  </w:pPr>
                  <w:r>
                    <w:rPr>
                      <w:rFonts w:ascii="Times New Roman" w:hAnsi="Times New Roman" w:cs="Times New Roman"/>
                      <w:color w:val="0000FF"/>
                    </w:rPr>
                    <w:t>合计</w:t>
                  </w:r>
                </w:p>
              </w:tc>
              <w:tc>
                <w:tcPr>
                  <w:tcW w:w="858" w:type="pct"/>
                  <w:tcBorders>
                    <w:top w:val="single" w:color="auto" w:sz="4" w:space="0"/>
                    <w:left w:val="single" w:color="auto" w:sz="4" w:space="0"/>
                    <w:bottom w:val="single" w:color="auto" w:sz="4" w:space="0"/>
                    <w:right w:val="single" w:color="auto" w:sz="4" w:space="0"/>
                  </w:tcBorders>
                  <w:shd w:val="clear" w:color="auto" w:fill="auto"/>
                  <w:vAlign w:val="center"/>
                </w:tcPr>
                <w:p w14:paraId="49C9C1B1">
                  <w:pPr>
                    <w:keepNext w:val="0"/>
                    <w:keepLines w:val="0"/>
                    <w:widowControl/>
                    <w:suppressLineNumbers w:val="0"/>
                    <w:jc w:val="center"/>
                    <w:textAlignment w:val="center"/>
                    <w:rPr>
                      <w:rFonts w:hint="default" w:ascii="Times New Roman" w:hAnsi="Times New Roman" w:eastAsia="宋体" w:cs="Times New Roman"/>
                      <w:color w:val="0000FF"/>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w:t>
                  </w:r>
                </w:p>
              </w:tc>
              <w:tc>
                <w:tcPr>
                  <w:tcW w:w="1359" w:type="pct"/>
                  <w:tcBorders>
                    <w:top w:val="single" w:color="auto" w:sz="4" w:space="0"/>
                    <w:left w:val="single" w:color="auto" w:sz="4" w:space="0"/>
                    <w:bottom w:val="single" w:color="auto" w:sz="4" w:space="0"/>
                    <w:right w:val="single" w:color="auto" w:sz="4" w:space="0"/>
                  </w:tcBorders>
                  <w:vAlign w:val="center"/>
                </w:tcPr>
                <w:p w14:paraId="467B4CCE">
                  <w:pPr>
                    <w:keepNext w:val="0"/>
                    <w:keepLines w:val="0"/>
                    <w:widowControl/>
                    <w:suppressLineNumbers w:val="0"/>
                    <w:jc w:val="center"/>
                    <w:textAlignment w:val="center"/>
                    <w:rPr>
                      <w:rFonts w:ascii="Times New Roman" w:hAnsi="Times New Roman" w:cs="Times New Roman"/>
                      <w:color w:val="0000FF"/>
                    </w:rPr>
                  </w:pPr>
                  <w:r>
                    <w:rPr>
                      <w:rFonts w:hint="default" w:ascii="Times New Roman" w:hAnsi="Times New Roman" w:eastAsia="宋体" w:cs="Times New Roman"/>
                      <w:i w:val="0"/>
                      <w:iCs w:val="0"/>
                      <w:color w:val="0000FF"/>
                      <w:kern w:val="0"/>
                      <w:sz w:val="21"/>
                      <w:szCs w:val="21"/>
                      <w:u w:val="none"/>
                      <w:lang w:val="en-US" w:eastAsia="zh-CN" w:bidi="ar"/>
                    </w:rPr>
                    <w:t>/</w:t>
                  </w:r>
                </w:p>
              </w:tc>
              <w:tc>
                <w:tcPr>
                  <w:tcW w:w="1547" w:type="dxa"/>
                  <w:tcBorders>
                    <w:top w:val="single" w:color="auto" w:sz="4" w:space="0"/>
                    <w:left w:val="single" w:color="auto" w:sz="4" w:space="0"/>
                    <w:bottom w:val="single" w:color="auto" w:sz="4" w:space="0"/>
                    <w:right w:val="single" w:color="auto" w:sz="4" w:space="0"/>
                  </w:tcBorders>
                  <w:shd w:val="clear" w:color="auto" w:fill="auto"/>
                  <w:vAlign w:val="center"/>
                </w:tcPr>
                <w:p w14:paraId="2F07BF34">
                  <w:pPr>
                    <w:keepNext w:val="0"/>
                    <w:keepLines w:val="0"/>
                    <w:widowControl/>
                    <w:suppressLineNumbers w:val="0"/>
                    <w:jc w:val="center"/>
                    <w:textAlignment w:val="center"/>
                    <w:rPr>
                      <w:rFonts w:ascii="Times New Roman" w:hAnsi="Times New Roman" w:eastAsia="宋体" w:cs="Times New Roman"/>
                      <w:color w:val="0000FF"/>
                      <w:szCs w:val="21"/>
                    </w:rPr>
                  </w:pPr>
                  <w:r>
                    <w:rPr>
                      <w:rFonts w:hint="default" w:ascii="Times New Roman" w:hAnsi="Times New Roman" w:eastAsia="宋体" w:cs="Times New Roman"/>
                      <w:i w:val="0"/>
                      <w:iCs w:val="0"/>
                      <w:color w:val="0000FF"/>
                      <w:kern w:val="0"/>
                      <w:sz w:val="21"/>
                      <w:szCs w:val="21"/>
                      <w:u w:val="none"/>
                      <w:lang w:val="en-US" w:eastAsia="zh-CN" w:bidi="ar"/>
                    </w:rPr>
                    <w:t xml:space="preserve">0.094 </w:t>
                  </w:r>
                </w:p>
              </w:tc>
            </w:tr>
          </w:tbl>
          <w:p w14:paraId="7AD0B120">
            <w:pPr>
              <w:keepNext w:val="0"/>
              <w:keepLines w:val="0"/>
              <w:pageBreakBefore w:val="0"/>
              <w:widowControl/>
              <w:numPr>
                <w:ilvl w:val="0"/>
                <w:numId w:val="14"/>
              </w:numPr>
              <w:suppressLineNumbers w:val="0"/>
              <w:kinsoku/>
              <w:wordWrap/>
              <w:overflowPunct/>
              <w:topLinePunct w:val="0"/>
              <w:autoSpaceDE/>
              <w:autoSpaceDN/>
              <w:bidi w:val="0"/>
              <w:adjustRightInd/>
              <w:snapToGrid/>
              <w:spacing w:before="313" w:beforeLines="100" w:line="360" w:lineRule="auto"/>
              <w:ind w:left="0" w:leftChars="0" w:firstLine="482" w:firstLineChars="200"/>
              <w:jc w:val="left"/>
              <w:textAlignment w:val="auto"/>
              <w:rPr>
                <w:rFonts w:hint="eastAsia" w:ascii="Times New Roman" w:hAnsi="Times New Roman" w:eastAsia="宋体" w:cs="Times New Roman"/>
                <w:b/>
                <w:bCs/>
                <w:color w:val="0000FF"/>
                <w:kern w:val="0"/>
                <w:sz w:val="24"/>
                <w:szCs w:val="24"/>
                <w:lang w:val="en-US" w:eastAsia="zh-CN" w:bidi="ar"/>
              </w:rPr>
            </w:pPr>
            <w:r>
              <w:rPr>
                <w:rFonts w:hint="eastAsia" w:ascii="Times New Roman" w:hAnsi="Times New Roman" w:eastAsia="宋体" w:cs="Times New Roman"/>
                <w:b/>
                <w:bCs/>
                <w:color w:val="0000FF"/>
                <w:kern w:val="0"/>
                <w:sz w:val="24"/>
                <w:szCs w:val="24"/>
                <w:lang w:val="en-US" w:eastAsia="zh-CN" w:bidi="ar"/>
              </w:rPr>
              <w:t>医用氧气瓶消毒废气</w:t>
            </w:r>
          </w:p>
          <w:p w14:paraId="17907E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FF"/>
                <w:kern w:val="0"/>
                <w:sz w:val="24"/>
                <w:szCs w:val="24"/>
                <w:lang w:val="en-US" w:eastAsia="zh-CN"/>
              </w:rPr>
            </w:pPr>
            <w:r>
              <w:rPr>
                <w:rFonts w:hint="default" w:ascii="Times New Roman" w:hAnsi="Times New Roman" w:eastAsia="宋体" w:cs="Times New Roman"/>
                <w:color w:val="0000FF"/>
                <w:kern w:val="0"/>
                <w:sz w:val="24"/>
                <w:szCs w:val="24"/>
                <w:lang w:val="en-US" w:eastAsia="zh-CN"/>
              </w:rPr>
              <w:t>医用氧气瓶运入充装站之后，用棉签或喷壶对瓶嘴用75%医用酒精进行消毒擦拭或喷雾消毒。75%医用酒精用95%乙醇稀释配制。医用酒精消毒过程中挥发产生有机废气（以非甲烷总烃计）。</w:t>
            </w:r>
            <w:r>
              <w:rPr>
                <w:rFonts w:hint="eastAsia" w:ascii="Times New Roman" w:hAnsi="Times New Roman" w:eastAsia="宋体" w:cs="Times New Roman"/>
                <w:color w:val="0000FF"/>
                <w:kern w:val="0"/>
                <w:sz w:val="24"/>
                <w:szCs w:val="24"/>
                <w:lang w:val="en-US" w:eastAsia="zh-CN"/>
              </w:rPr>
              <w:t>本项目95%乙醇原液使用量为0.822m</w:t>
            </w:r>
            <w:r>
              <w:rPr>
                <w:rFonts w:hint="eastAsia" w:ascii="Times New Roman" w:hAnsi="Times New Roman" w:eastAsia="宋体" w:cs="Times New Roman"/>
                <w:color w:val="0000FF"/>
                <w:kern w:val="0"/>
                <w:sz w:val="24"/>
                <w:szCs w:val="24"/>
                <w:vertAlign w:val="superscript"/>
                <w:lang w:val="en-US" w:eastAsia="zh-CN"/>
              </w:rPr>
              <w:t>3</w:t>
            </w:r>
            <w:r>
              <w:rPr>
                <w:rFonts w:hint="eastAsia" w:ascii="Times New Roman" w:hAnsi="Times New Roman" w:eastAsia="宋体" w:cs="Times New Roman"/>
                <w:color w:val="0000FF"/>
                <w:kern w:val="0"/>
                <w:sz w:val="24"/>
                <w:szCs w:val="24"/>
                <w:lang w:val="en-US" w:eastAsia="zh-CN"/>
              </w:rPr>
              <w:t>/a，95%乙醇密度为0.812t/m</w:t>
            </w:r>
            <w:r>
              <w:rPr>
                <w:rFonts w:hint="eastAsia" w:ascii="Times New Roman" w:hAnsi="Times New Roman" w:eastAsia="宋体" w:cs="Times New Roman"/>
                <w:color w:val="0000FF"/>
                <w:kern w:val="0"/>
                <w:sz w:val="24"/>
                <w:szCs w:val="24"/>
                <w:vertAlign w:val="superscript"/>
                <w:lang w:val="en-US" w:eastAsia="zh-CN"/>
              </w:rPr>
              <w:t>3</w:t>
            </w:r>
            <w:r>
              <w:rPr>
                <w:rFonts w:hint="eastAsia" w:ascii="Times New Roman" w:hAnsi="Times New Roman" w:eastAsia="宋体" w:cs="Times New Roman"/>
                <w:color w:val="0000FF"/>
                <w:kern w:val="0"/>
                <w:sz w:val="24"/>
                <w:szCs w:val="24"/>
                <w:vertAlign w:val="baseline"/>
                <w:lang w:val="en-US" w:eastAsia="zh-CN"/>
              </w:rPr>
              <w:t>（20℃）</w:t>
            </w:r>
            <w:r>
              <w:rPr>
                <w:rFonts w:hint="eastAsia" w:ascii="Times New Roman" w:hAnsi="Times New Roman" w:eastAsia="宋体" w:cs="Times New Roman"/>
                <w:color w:val="0000FF"/>
                <w:kern w:val="0"/>
                <w:sz w:val="24"/>
                <w:szCs w:val="24"/>
                <w:lang w:val="en-US" w:eastAsia="zh-CN"/>
              </w:rPr>
              <w:t>，则乙醇量0.634t/a，按照使用过程中，乙醇全部挥发考虑，则医用氧气瓶消毒废气非甲烷总烃无组织排放量为0.634t/a。</w:t>
            </w:r>
          </w:p>
          <w:p w14:paraId="73F8543A">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kern w:val="0"/>
                <w:sz w:val="24"/>
                <w:szCs w:val="24"/>
                <w:lang w:val="en-US" w:eastAsia="zh-CN" w:bidi="ar"/>
              </w:rPr>
            </w:pPr>
            <w:r>
              <w:rPr>
                <w:rFonts w:hint="default" w:ascii="Times New Roman" w:hAnsi="Times New Roman" w:cs="Times New Roman"/>
                <w:b/>
                <w:bCs/>
                <w:color w:val="auto"/>
                <w:kern w:val="0"/>
                <w:sz w:val="24"/>
                <w:szCs w:val="24"/>
                <w:lang w:val="en-US" w:eastAsia="zh-CN" w:bidi="ar"/>
              </w:rPr>
              <w:t>6.1.2 气瓶检验站废气</w:t>
            </w:r>
          </w:p>
          <w:p w14:paraId="7D883D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bCs/>
                <w:i w:val="0"/>
                <w:i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工艺流程分析，项目气瓶检验站废气主要残液回收/卸阀废气、焚烧废气、抛丸粉尘、喷塑粉尘、固化废气、丝印废气，主要污染物包括颗粒物、二氧化硫、氮氧化物、有机废气（以非甲烷总烃计）和臭气浓度。</w:t>
            </w:r>
          </w:p>
          <w:p w14:paraId="548BF8F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i w:val="0"/>
                <w:iCs w:val="0"/>
                <w:color w:val="auto"/>
                <w:sz w:val="24"/>
                <w:szCs w:val="24"/>
                <w:highlight w:val="none"/>
                <w:lang w:val="en-US" w:eastAsia="zh-CN"/>
              </w:rPr>
            </w:pPr>
            <w:r>
              <w:rPr>
                <w:rFonts w:hint="default" w:ascii="Times New Roman" w:hAnsi="Times New Roman" w:cs="Times New Roman"/>
                <w:b/>
                <w:bCs/>
                <w:i w:val="0"/>
                <w:iCs w:val="0"/>
                <w:color w:val="auto"/>
                <w:sz w:val="24"/>
                <w:szCs w:val="24"/>
                <w:highlight w:val="none"/>
                <w:lang w:val="en-US" w:eastAsia="zh-CN"/>
              </w:rPr>
              <w:t>（1）残液回收、卸阀废气</w:t>
            </w:r>
          </w:p>
          <w:p w14:paraId="163608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液化石油气、丙烷回收钢瓶需卸阀，该过程中会有极少量气体逸散到空气中，逸散的气体为丙烷、丁烷等低碳氢烷烃化合物（以非甲烷总烃计）。</w:t>
            </w:r>
            <w:r>
              <w:rPr>
                <w:rFonts w:hint="default" w:ascii="Times New Roman" w:hAnsi="Times New Roman" w:eastAsia="宋体" w:cs="Times New Roman"/>
                <w:b w:val="0"/>
                <w:bCs w:val="0"/>
                <w:color w:val="0000FF"/>
                <w:sz w:val="24"/>
                <w:szCs w:val="24"/>
                <w:highlight w:val="none"/>
                <w:lang w:val="en-US" w:eastAsia="zh-CN"/>
              </w:rPr>
              <w:t>由于项目钢瓶阀口极小且残液抽取后钢瓶内残留气体少，内外压力基本持平，故残液回收、卸阀环节产生的废气极少，主要在区域内无组织排放，主要污染因子为非甲烷总烃。本项目</w:t>
            </w:r>
            <w:r>
              <w:rPr>
                <w:rFonts w:hint="eastAsia" w:ascii="Times New Roman" w:hAnsi="Times New Roman" w:eastAsia="宋体" w:cs="Times New Roman"/>
                <w:b w:val="0"/>
                <w:bCs w:val="0"/>
                <w:color w:val="0000FF"/>
                <w:sz w:val="24"/>
                <w:szCs w:val="24"/>
                <w:highlight w:val="none"/>
                <w:lang w:val="en-US" w:eastAsia="zh-CN"/>
              </w:rPr>
              <w:t>检验LPG</w:t>
            </w:r>
            <w:r>
              <w:rPr>
                <w:rFonts w:hint="default" w:ascii="Times New Roman" w:hAnsi="Times New Roman" w:eastAsia="宋体" w:cs="Times New Roman"/>
                <w:b w:val="0"/>
                <w:bCs w:val="0"/>
                <w:color w:val="0000FF"/>
                <w:sz w:val="24"/>
                <w:szCs w:val="24"/>
                <w:highlight w:val="none"/>
                <w:lang w:val="en-US" w:eastAsia="zh-CN"/>
              </w:rPr>
              <w:t>钢瓶约</w:t>
            </w:r>
            <w:r>
              <w:rPr>
                <w:rFonts w:hint="eastAsia" w:ascii="Times New Roman" w:hAnsi="Times New Roman" w:eastAsia="宋体" w:cs="Times New Roman"/>
                <w:b w:val="0"/>
                <w:bCs w:val="0"/>
                <w:color w:val="0000FF"/>
                <w:sz w:val="24"/>
                <w:szCs w:val="24"/>
                <w:highlight w:val="none"/>
                <w:lang w:val="en-US" w:eastAsia="zh-CN"/>
              </w:rPr>
              <w:t>3</w:t>
            </w:r>
            <w:r>
              <w:rPr>
                <w:rFonts w:hint="default" w:ascii="Times New Roman" w:hAnsi="Times New Roman" w:eastAsia="宋体" w:cs="Times New Roman"/>
                <w:b w:val="0"/>
                <w:bCs w:val="0"/>
                <w:color w:val="0000FF"/>
                <w:sz w:val="24"/>
                <w:szCs w:val="24"/>
                <w:highlight w:val="none"/>
                <w:lang w:val="en-US" w:eastAsia="zh-CN"/>
              </w:rPr>
              <w:t>万只，参考行业经验资料，每只钢瓶残气泄漏的非甲烷总烃产生量约为1g，则本项目非甲烷总烃产生量为</w:t>
            </w:r>
            <w:r>
              <w:rPr>
                <w:rFonts w:hint="eastAsia" w:ascii="Times New Roman" w:hAnsi="Times New Roman" w:eastAsia="宋体" w:cs="Times New Roman"/>
                <w:b w:val="0"/>
                <w:bCs w:val="0"/>
                <w:color w:val="0000FF"/>
                <w:sz w:val="24"/>
                <w:szCs w:val="24"/>
                <w:highlight w:val="none"/>
                <w:lang w:val="en-US" w:eastAsia="zh-CN"/>
              </w:rPr>
              <w:t>0.03</w:t>
            </w:r>
            <w:r>
              <w:rPr>
                <w:rFonts w:hint="default" w:ascii="Times New Roman" w:hAnsi="Times New Roman" w:eastAsia="宋体" w:cs="Times New Roman"/>
                <w:b w:val="0"/>
                <w:bCs w:val="0"/>
                <w:color w:val="0000FF"/>
                <w:sz w:val="24"/>
                <w:szCs w:val="24"/>
                <w:highlight w:val="none"/>
                <w:lang w:val="en-US" w:eastAsia="zh-CN"/>
              </w:rPr>
              <w:t>t/a。</w:t>
            </w:r>
            <w:r>
              <w:rPr>
                <w:rFonts w:hint="default" w:ascii="Times New Roman" w:hAnsi="Times New Roman" w:eastAsia="宋体" w:cs="Times New Roman"/>
                <w:b w:val="0"/>
                <w:bCs w:val="0"/>
                <w:color w:val="auto"/>
                <w:sz w:val="24"/>
                <w:szCs w:val="24"/>
                <w:highlight w:val="none"/>
                <w:lang w:val="en-US" w:eastAsia="zh-CN"/>
              </w:rPr>
              <w:t>且由于液化石油气中加有乙硫醇等加臭剂，亦会伴随有轻微的少量恶臭气味。建议企业加强员工生产过程的规范操作，尽量避免气体的泄漏，并加强车间通风，以减低污染物浓度。</w:t>
            </w:r>
          </w:p>
          <w:p w14:paraId="31AC240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i w:val="0"/>
                <w:iCs w:val="0"/>
                <w:color w:val="0000FF"/>
                <w:sz w:val="24"/>
                <w:szCs w:val="24"/>
                <w:highlight w:val="none"/>
                <w:lang w:val="en-US" w:eastAsia="zh-CN"/>
              </w:rPr>
            </w:pPr>
            <w:r>
              <w:rPr>
                <w:rFonts w:hint="default" w:ascii="Times New Roman" w:hAnsi="Times New Roman" w:eastAsia="宋体" w:cs="Times New Roman"/>
                <w:b/>
                <w:bCs/>
                <w:i w:val="0"/>
                <w:iCs w:val="0"/>
                <w:color w:val="0000FF"/>
                <w:sz w:val="24"/>
                <w:szCs w:val="24"/>
                <w:highlight w:val="none"/>
                <w:lang w:val="en-US" w:eastAsia="zh-CN"/>
              </w:rPr>
              <w:t>（2）焚烧废气</w:t>
            </w:r>
          </w:p>
          <w:p w14:paraId="0F14EE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sz w:val="24"/>
                <w:szCs w:val="24"/>
                <w:highlight w:val="none"/>
                <w:lang w:val="en-US" w:eastAsia="zh-CN"/>
              </w:rPr>
            </w:pPr>
            <w:r>
              <w:rPr>
                <w:rFonts w:hint="default" w:ascii="Times New Roman" w:hAnsi="Times New Roman" w:eastAsia="宋体" w:cs="Times New Roman"/>
                <w:b w:val="0"/>
                <w:bCs w:val="0"/>
                <w:color w:val="0000FF"/>
                <w:sz w:val="24"/>
                <w:szCs w:val="24"/>
                <w:highlight w:val="none"/>
                <w:lang w:val="en-US" w:eastAsia="zh-CN"/>
              </w:rPr>
              <w:t>项目废旧钢瓶表面为旧环氧树脂粉末涂层</w:t>
            </w:r>
            <w:r>
              <w:rPr>
                <w:rFonts w:hint="default" w:ascii="Times New Roman" w:hAnsi="Times New Roman" w:cs="Times New Roman"/>
                <w:b w:val="0"/>
                <w:bCs w:val="0"/>
                <w:color w:val="0000FF"/>
                <w:sz w:val="24"/>
                <w:szCs w:val="24"/>
                <w:highlight w:val="none"/>
                <w:lang w:val="en-US" w:eastAsia="zh-CN"/>
              </w:rPr>
              <w:t>，</w:t>
            </w:r>
            <w:r>
              <w:rPr>
                <w:rFonts w:hint="default" w:ascii="Times New Roman" w:hAnsi="Times New Roman" w:eastAsia="宋体" w:cs="Times New Roman"/>
                <w:b w:val="0"/>
                <w:bCs w:val="0"/>
                <w:color w:val="0000FF"/>
                <w:sz w:val="24"/>
                <w:szCs w:val="24"/>
                <w:highlight w:val="none"/>
                <w:lang w:val="en-US" w:eastAsia="zh-CN"/>
              </w:rPr>
              <w:t>涂料中所用的树脂一般是低分子量的、无定形、含有支链、可以交联的聚合物，分子中含有两个或两个以上环氧基团的有机化合物，它一般由多元醇和多元酸酯化而成，此外含有有少量的颜料和填料，环氧树脂化学元素为碳、</w:t>
            </w:r>
            <w:r>
              <w:rPr>
                <w:rFonts w:hint="default" w:ascii="Times New Roman" w:hAnsi="Times New Roman" w:cs="Times New Roman"/>
                <w:b w:val="0"/>
                <w:bCs w:val="0"/>
                <w:color w:val="0000FF"/>
                <w:sz w:val="24"/>
                <w:szCs w:val="24"/>
                <w:highlight w:val="none"/>
                <w:lang w:val="en-US" w:eastAsia="zh-CN"/>
              </w:rPr>
              <w:t>氢、</w:t>
            </w:r>
            <w:r>
              <w:rPr>
                <w:rFonts w:hint="default" w:ascii="Times New Roman" w:hAnsi="Times New Roman" w:eastAsia="宋体" w:cs="Times New Roman"/>
                <w:b w:val="0"/>
                <w:bCs w:val="0"/>
                <w:color w:val="0000FF"/>
                <w:sz w:val="24"/>
                <w:szCs w:val="24"/>
                <w:highlight w:val="none"/>
                <w:lang w:val="en-US" w:eastAsia="zh-CN"/>
              </w:rPr>
              <w:t>氧，在</w:t>
            </w:r>
            <w:r>
              <w:rPr>
                <w:rFonts w:hint="eastAsia" w:cs="Times New Roman"/>
                <w:b w:val="0"/>
                <w:bCs w:val="0"/>
                <w:color w:val="0000FF"/>
                <w:sz w:val="24"/>
                <w:szCs w:val="24"/>
                <w:highlight w:val="none"/>
                <w:lang w:val="en-US" w:eastAsia="zh-CN"/>
              </w:rPr>
              <w:t>焚烧</w:t>
            </w:r>
            <w:r>
              <w:rPr>
                <w:rFonts w:hint="default" w:ascii="Times New Roman" w:hAnsi="Times New Roman" w:eastAsia="宋体" w:cs="Times New Roman"/>
                <w:b w:val="0"/>
                <w:bCs w:val="0"/>
                <w:color w:val="0000FF"/>
                <w:sz w:val="24"/>
                <w:szCs w:val="24"/>
                <w:highlight w:val="none"/>
                <w:lang w:val="en-US" w:eastAsia="zh-CN"/>
              </w:rPr>
              <w:t>过程中也会产生一定的烟尘，类比同类项目，烟尘产污系数按0.005kg/个计。本项目废旧钢瓶</w:t>
            </w:r>
            <w:r>
              <w:rPr>
                <w:rFonts w:hint="eastAsia" w:cs="Times New Roman"/>
                <w:b w:val="0"/>
                <w:bCs w:val="0"/>
                <w:color w:val="0000FF"/>
                <w:sz w:val="24"/>
                <w:szCs w:val="24"/>
                <w:highlight w:val="none"/>
                <w:lang w:val="en-US" w:eastAsia="zh-CN"/>
              </w:rPr>
              <w:t>焚烧</w:t>
            </w:r>
            <w:r>
              <w:rPr>
                <w:rFonts w:hint="default" w:ascii="Times New Roman" w:hAnsi="Times New Roman" w:eastAsia="宋体" w:cs="Times New Roman"/>
                <w:b w:val="0"/>
                <w:bCs w:val="0"/>
                <w:color w:val="0000FF"/>
                <w:sz w:val="24"/>
                <w:szCs w:val="24"/>
                <w:highlight w:val="none"/>
                <w:lang w:val="en-US" w:eastAsia="zh-CN"/>
              </w:rPr>
              <w:t>量为</w:t>
            </w:r>
            <w:r>
              <w:rPr>
                <w:rFonts w:hint="default" w:ascii="Times New Roman" w:hAnsi="Times New Roman" w:cs="Times New Roman"/>
                <w:b w:val="0"/>
                <w:bCs w:val="0"/>
                <w:color w:val="0000FF"/>
                <w:sz w:val="24"/>
                <w:szCs w:val="24"/>
                <w:highlight w:val="none"/>
                <w:lang w:val="en-US" w:eastAsia="zh-CN"/>
              </w:rPr>
              <w:t>6</w:t>
            </w:r>
            <w:r>
              <w:rPr>
                <w:rFonts w:hint="default" w:ascii="Times New Roman" w:hAnsi="Times New Roman" w:eastAsia="宋体" w:cs="Times New Roman"/>
                <w:b w:val="0"/>
                <w:bCs w:val="0"/>
                <w:color w:val="0000FF"/>
                <w:sz w:val="24"/>
                <w:szCs w:val="24"/>
                <w:highlight w:val="none"/>
                <w:lang w:val="en-US" w:eastAsia="zh-CN"/>
              </w:rPr>
              <w:t>万个，则产生烟尘量为</w:t>
            </w:r>
            <w:r>
              <w:rPr>
                <w:rFonts w:hint="default" w:ascii="Times New Roman" w:hAnsi="Times New Roman" w:cs="Times New Roman"/>
                <w:b w:val="0"/>
                <w:bCs w:val="0"/>
                <w:color w:val="0000FF"/>
                <w:sz w:val="24"/>
                <w:szCs w:val="24"/>
                <w:highlight w:val="none"/>
                <w:lang w:val="en-US" w:eastAsia="zh-CN"/>
              </w:rPr>
              <w:t>0.3</w:t>
            </w:r>
            <w:r>
              <w:rPr>
                <w:rFonts w:hint="default" w:ascii="Times New Roman" w:hAnsi="Times New Roman" w:eastAsia="宋体" w:cs="Times New Roman"/>
                <w:b w:val="0"/>
                <w:bCs w:val="0"/>
                <w:color w:val="0000FF"/>
                <w:sz w:val="24"/>
                <w:szCs w:val="24"/>
                <w:highlight w:val="none"/>
                <w:lang w:val="en-US" w:eastAsia="zh-CN"/>
              </w:rPr>
              <w:t>t</w:t>
            </w:r>
            <w:r>
              <w:rPr>
                <w:rFonts w:hint="default" w:ascii="Times New Roman" w:hAnsi="Times New Roman" w:cs="Times New Roman"/>
                <w:b w:val="0"/>
                <w:bCs w:val="0"/>
                <w:color w:val="0000FF"/>
                <w:sz w:val="24"/>
                <w:szCs w:val="24"/>
                <w:highlight w:val="none"/>
                <w:lang w:val="en-US" w:eastAsia="zh-CN"/>
              </w:rPr>
              <w:t>/</w:t>
            </w:r>
            <w:r>
              <w:rPr>
                <w:rFonts w:hint="default" w:ascii="Times New Roman" w:hAnsi="Times New Roman" w:eastAsia="宋体" w:cs="Times New Roman"/>
                <w:b w:val="0"/>
                <w:bCs w:val="0"/>
                <w:color w:val="0000FF"/>
                <w:sz w:val="24"/>
                <w:szCs w:val="24"/>
                <w:highlight w:val="none"/>
                <w:lang w:val="en-US" w:eastAsia="zh-CN"/>
              </w:rPr>
              <w:t>a。</w:t>
            </w:r>
          </w:p>
          <w:p w14:paraId="4A5D730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sz w:val="24"/>
                <w:szCs w:val="24"/>
                <w:highlight w:val="none"/>
                <w:lang w:val="en-US" w:eastAsia="zh-CN"/>
              </w:rPr>
            </w:pPr>
            <w:r>
              <w:rPr>
                <w:rFonts w:hint="default" w:ascii="Times New Roman" w:hAnsi="Times New Roman" w:eastAsia="宋体" w:cs="Times New Roman"/>
                <w:b w:val="0"/>
                <w:bCs w:val="0"/>
                <w:color w:val="0000FF"/>
                <w:sz w:val="24"/>
                <w:szCs w:val="24"/>
                <w:highlight w:val="none"/>
                <w:lang w:val="en-US" w:eastAsia="zh-CN"/>
              </w:rPr>
              <w:t>项目燃烧机采</w:t>
            </w:r>
            <w:r>
              <w:rPr>
                <w:rFonts w:hint="default" w:ascii="Times New Roman" w:hAnsi="Times New Roman" w:cs="Times New Roman"/>
                <w:b w:val="0"/>
                <w:bCs w:val="0"/>
                <w:color w:val="0000FF"/>
                <w:sz w:val="24"/>
                <w:szCs w:val="24"/>
                <w:highlight w:val="none"/>
                <w:lang w:val="en-US" w:eastAsia="zh-CN"/>
              </w:rPr>
              <w:t>用液化石油气作为燃料</w:t>
            </w:r>
            <w:r>
              <w:rPr>
                <w:rFonts w:hint="default" w:ascii="Times New Roman" w:hAnsi="Times New Roman" w:eastAsia="宋体" w:cs="Times New Roman"/>
                <w:b w:val="0"/>
                <w:bCs w:val="0"/>
                <w:color w:val="0000FF"/>
                <w:sz w:val="24"/>
                <w:szCs w:val="24"/>
                <w:highlight w:val="none"/>
                <w:lang w:val="en-US" w:eastAsia="zh-CN"/>
              </w:rPr>
              <w:t>，所需</w:t>
            </w:r>
            <w:r>
              <w:rPr>
                <w:rFonts w:hint="default" w:ascii="Times New Roman" w:hAnsi="Times New Roman" w:cs="Times New Roman"/>
                <w:b w:val="0"/>
                <w:bCs w:val="0"/>
                <w:color w:val="0000FF"/>
                <w:sz w:val="24"/>
                <w:szCs w:val="24"/>
                <w:highlight w:val="none"/>
                <w:lang w:val="en-US" w:eastAsia="zh-CN"/>
              </w:rPr>
              <w:t>液化石油气</w:t>
            </w:r>
            <w:r>
              <w:rPr>
                <w:rFonts w:hint="default" w:ascii="Times New Roman" w:hAnsi="Times New Roman" w:eastAsia="宋体" w:cs="Times New Roman"/>
                <w:b w:val="0"/>
                <w:bCs w:val="0"/>
                <w:color w:val="0000FF"/>
                <w:sz w:val="24"/>
                <w:szCs w:val="24"/>
                <w:highlight w:val="none"/>
                <w:lang w:val="en-US" w:eastAsia="zh-CN"/>
              </w:rPr>
              <w:t>约</w:t>
            </w:r>
            <w:r>
              <w:rPr>
                <w:rFonts w:hint="default" w:ascii="Times New Roman" w:hAnsi="Times New Roman" w:cs="Times New Roman"/>
                <w:b w:val="0"/>
                <w:bCs w:val="0"/>
                <w:color w:val="0000FF"/>
                <w:sz w:val="24"/>
                <w:szCs w:val="24"/>
                <w:highlight w:val="none"/>
                <w:lang w:val="en-US" w:eastAsia="zh-CN"/>
              </w:rPr>
              <w:t>9000m</w:t>
            </w:r>
            <w:r>
              <w:rPr>
                <w:rFonts w:hint="default" w:ascii="Times New Roman" w:hAnsi="Times New Roman" w:cs="Times New Roman"/>
                <w:b w:val="0"/>
                <w:bCs w:val="0"/>
                <w:color w:val="0000FF"/>
                <w:sz w:val="24"/>
                <w:szCs w:val="24"/>
                <w:highlight w:val="none"/>
                <w:vertAlign w:val="superscript"/>
                <w:lang w:val="en-US" w:eastAsia="zh-CN"/>
              </w:rPr>
              <w:t>3</w:t>
            </w:r>
            <w:r>
              <w:rPr>
                <w:rFonts w:hint="default" w:ascii="Times New Roman" w:hAnsi="Times New Roman" w:cs="Times New Roman"/>
                <w:b w:val="0"/>
                <w:bCs w:val="0"/>
                <w:color w:val="0000FF"/>
                <w:sz w:val="24"/>
                <w:szCs w:val="24"/>
                <w:highlight w:val="none"/>
                <w:lang w:val="en-US" w:eastAsia="zh-CN"/>
              </w:rPr>
              <w:t>/</w:t>
            </w:r>
            <w:r>
              <w:rPr>
                <w:rFonts w:hint="default" w:ascii="Times New Roman" w:hAnsi="Times New Roman" w:eastAsia="宋体" w:cs="Times New Roman"/>
                <w:b w:val="0"/>
                <w:bCs w:val="0"/>
                <w:color w:val="0000FF"/>
                <w:sz w:val="24"/>
                <w:szCs w:val="24"/>
                <w:highlight w:val="none"/>
                <w:lang w:val="en-US" w:eastAsia="zh-CN"/>
              </w:rPr>
              <w:t>a。燃烧机运行过程中会产生燃烧废气，主要成份为二氧化硫、氨氧化物和颗粒物。参考《排放源统计调查产排污核算方法和系数手册》(公告2021年第24号)中“33-37，431-434”机械行业系数的14涂装核算环节，使用</w:t>
            </w:r>
            <w:r>
              <w:rPr>
                <w:rFonts w:hint="default" w:ascii="Times New Roman" w:hAnsi="Times New Roman" w:cs="Times New Roman"/>
                <w:b w:val="0"/>
                <w:bCs w:val="0"/>
                <w:color w:val="0000FF"/>
                <w:sz w:val="24"/>
                <w:szCs w:val="24"/>
                <w:highlight w:val="none"/>
                <w:lang w:val="en-US" w:eastAsia="zh-CN"/>
              </w:rPr>
              <w:t>液化石油气</w:t>
            </w:r>
            <w:r>
              <w:rPr>
                <w:rFonts w:hint="default" w:ascii="Times New Roman" w:hAnsi="Times New Roman" w:eastAsia="宋体" w:cs="Times New Roman"/>
                <w:b w:val="0"/>
                <w:bCs w:val="0"/>
                <w:color w:val="0000FF"/>
                <w:sz w:val="24"/>
                <w:szCs w:val="24"/>
                <w:highlight w:val="none"/>
                <w:lang w:val="en-US" w:eastAsia="zh-CN"/>
              </w:rPr>
              <w:t>作为燃料的工业炉窑污染物产生源强见表4</w:t>
            </w:r>
            <w:r>
              <w:rPr>
                <w:rFonts w:hint="default" w:ascii="Times New Roman" w:hAnsi="Times New Roman" w:cs="Times New Roman"/>
                <w:b w:val="0"/>
                <w:bCs w:val="0"/>
                <w:color w:val="0000FF"/>
                <w:sz w:val="24"/>
                <w:szCs w:val="24"/>
                <w:highlight w:val="none"/>
                <w:lang w:val="en-US" w:eastAsia="zh-CN"/>
              </w:rPr>
              <w:t>.6</w:t>
            </w:r>
            <w:r>
              <w:rPr>
                <w:rFonts w:hint="default" w:ascii="Times New Roman" w:hAnsi="Times New Roman" w:eastAsia="宋体" w:cs="Times New Roman"/>
                <w:b w:val="0"/>
                <w:bCs w:val="0"/>
                <w:color w:val="0000FF"/>
                <w:sz w:val="24"/>
                <w:szCs w:val="24"/>
                <w:highlight w:val="none"/>
                <w:lang w:val="en-US" w:eastAsia="zh-CN"/>
              </w:rPr>
              <w:t>-</w:t>
            </w:r>
            <w:r>
              <w:rPr>
                <w:rFonts w:hint="default" w:ascii="Times New Roman" w:hAnsi="Times New Roman" w:cs="Times New Roman"/>
                <w:b w:val="0"/>
                <w:bCs w:val="0"/>
                <w:color w:val="0000FF"/>
                <w:sz w:val="24"/>
                <w:szCs w:val="24"/>
                <w:highlight w:val="none"/>
                <w:lang w:val="en-US" w:eastAsia="zh-CN"/>
              </w:rPr>
              <w:t>7</w:t>
            </w:r>
            <w:r>
              <w:rPr>
                <w:rFonts w:hint="default" w:ascii="Times New Roman" w:hAnsi="Times New Roman" w:eastAsia="宋体" w:cs="Times New Roman"/>
                <w:b w:val="0"/>
                <w:bCs w:val="0"/>
                <w:color w:val="0000FF"/>
                <w:sz w:val="24"/>
                <w:szCs w:val="24"/>
                <w:highlight w:val="none"/>
                <w:lang w:val="en-US" w:eastAsia="zh-CN"/>
              </w:rPr>
              <w:t>。</w:t>
            </w:r>
          </w:p>
          <w:p w14:paraId="5A27AA17">
            <w:pPr>
              <w:adjustRightInd w:val="0"/>
              <w:snapToGrid w:val="0"/>
              <w:spacing w:before="120" w:beforeLines="50"/>
              <w:jc w:val="center"/>
              <w:rPr>
                <w:rFonts w:hint="default" w:ascii="Times New Roman" w:hAnsi="Times New Roman" w:eastAsia="宋体" w:cs="Times New Roman"/>
                <w:b/>
                <w:color w:val="0000FF"/>
                <w:kern w:val="0"/>
                <w:sz w:val="24"/>
                <w:lang w:val="en-US" w:eastAsia="zh-CN" w:bidi="ar"/>
              </w:rPr>
            </w:pPr>
            <w:r>
              <w:rPr>
                <w:rFonts w:hint="default" w:ascii="Times New Roman" w:hAnsi="Times New Roman" w:eastAsia="宋体" w:cs="Times New Roman"/>
                <w:b/>
                <w:color w:val="0000FF"/>
                <w:kern w:val="0"/>
                <w:sz w:val="24"/>
                <w:lang w:val="en-US" w:eastAsia="zh-CN" w:bidi="ar"/>
              </w:rPr>
              <w:t>表4.6-7  燃烧废气产生排放表</w:t>
            </w:r>
          </w:p>
          <w:tbl>
            <w:tblPr>
              <w:tblStyle w:val="3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1188"/>
              <w:gridCol w:w="971"/>
              <w:gridCol w:w="878"/>
              <w:gridCol w:w="1055"/>
              <w:gridCol w:w="766"/>
              <w:gridCol w:w="804"/>
              <w:gridCol w:w="804"/>
              <w:gridCol w:w="1063"/>
            </w:tblGrid>
            <w:tr w14:paraId="47839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Align w:val="center"/>
                </w:tcPr>
                <w:p w14:paraId="62595296">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污染物</w:t>
                  </w:r>
                </w:p>
              </w:tc>
              <w:tc>
                <w:tcPr>
                  <w:tcW w:w="724" w:type="pct"/>
                  <w:vAlign w:val="center"/>
                </w:tcPr>
                <w:p w14:paraId="0DC8123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产污系数（kg/m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燃料）</w:t>
                  </w:r>
                </w:p>
              </w:tc>
              <w:tc>
                <w:tcPr>
                  <w:tcW w:w="592" w:type="pct"/>
                  <w:vAlign w:val="center"/>
                </w:tcPr>
                <w:p w14:paraId="3158AA7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产生量（t/a）</w:t>
                  </w:r>
                </w:p>
              </w:tc>
              <w:tc>
                <w:tcPr>
                  <w:tcW w:w="535" w:type="pct"/>
                  <w:vAlign w:val="center"/>
                </w:tcPr>
                <w:p w14:paraId="3D3C1FA6">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风机风量（m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h）</w:t>
                  </w:r>
                </w:p>
              </w:tc>
              <w:tc>
                <w:tcPr>
                  <w:tcW w:w="643" w:type="pct"/>
                  <w:vAlign w:val="center"/>
                </w:tcPr>
                <w:p w14:paraId="76ECA57E">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产生浓度（mg/m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w:t>
                  </w:r>
                </w:p>
              </w:tc>
              <w:tc>
                <w:tcPr>
                  <w:tcW w:w="467" w:type="pct"/>
                  <w:vAlign w:val="center"/>
                </w:tcPr>
                <w:p w14:paraId="0455DEB2">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处理措施</w:t>
                  </w:r>
                </w:p>
              </w:tc>
              <w:tc>
                <w:tcPr>
                  <w:tcW w:w="490" w:type="pct"/>
                  <w:vAlign w:val="center"/>
                </w:tcPr>
                <w:p w14:paraId="13C11F0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去除效率（%）</w:t>
                  </w:r>
                </w:p>
              </w:tc>
              <w:tc>
                <w:tcPr>
                  <w:tcW w:w="490" w:type="pct"/>
                  <w:vAlign w:val="center"/>
                </w:tcPr>
                <w:p w14:paraId="3C9B6F7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排放量（t/a）</w:t>
                  </w:r>
                </w:p>
              </w:tc>
              <w:tc>
                <w:tcPr>
                  <w:tcW w:w="643" w:type="pct"/>
                  <w:vAlign w:val="center"/>
                </w:tcPr>
                <w:p w14:paraId="5D88C16D">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排放浓度（mg/m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w:t>
                  </w:r>
                </w:p>
              </w:tc>
            </w:tr>
            <w:tr w14:paraId="3398C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412" w:type="pct"/>
                  <w:vAlign w:val="center"/>
                </w:tcPr>
                <w:p w14:paraId="2DD4C8B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颗粒*物</w:t>
                  </w:r>
                </w:p>
              </w:tc>
              <w:tc>
                <w:tcPr>
                  <w:tcW w:w="724" w:type="pct"/>
                  <w:vAlign w:val="center"/>
                </w:tcPr>
                <w:p w14:paraId="35616E30">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0.00022</w:t>
                  </w:r>
                </w:p>
              </w:tc>
              <w:tc>
                <w:tcPr>
                  <w:tcW w:w="592" w:type="pct"/>
                  <w:vAlign w:val="center"/>
                </w:tcPr>
                <w:p w14:paraId="738D86C9">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0.302 </w:t>
                  </w:r>
                </w:p>
              </w:tc>
              <w:tc>
                <w:tcPr>
                  <w:tcW w:w="535" w:type="pct"/>
                  <w:vMerge w:val="restart"/>
                  <w:vAlign w:val="center"/>
                </w:tcPr>
                <w:p w14:paraId="43B7FC42">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cs="Times New Roman"/>
                      <w:i w:val="0"/>
                      <w:iCs w:val="0"/>
                      <w:color w:val="0000FF"/>
                      <w:kern w:val="0"/>
                      <w:sz w:val="21"/>
                      <w:szCs w:val="21"/>
                      <w:u w:val="none"/>
                      <w:lang w:val="en-US" w:eastAsia="zh-CN" w:bidi="ar"/>
                    </w:rPr>
                    <w:t>2000</w:t>
                  </w:r>
                </w:p>
              </w:tc>
              <w:tc>
                <w:tcPr>
                  <w:tcW w:w="1055" w:type="dxa"/>
                  <w:vAlign w:val="center"/>
                </w:tcPr>
                <w:p w14:paraId="0E1C9E31">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41.942 </w:t>
                  </w:r>
                </w:p>
              </w:tc>
              <w:tc>
                <w:tcPr>
                  <w:tcW w:w="467" w:type="pct"/>
                  <w:vMerge w:val="restart"/>
                  <w:vAlign w:val="center"/>
                </w:tcPr>
                <w:p w14:paraId="4B5E51F6">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低氮燃烧</w:t>
                  </w:r>
                  <w:r>
                    <w:rPr>
                      <w:rFonts w:hint="eastAsia" w:cs="Times New Roman"/>
                      <w:i w:val="0"/>
                      <w:iCs w:val="0"/>
                      <w:color w:val="0000FF"/>
                      <w:kern w:val="0"/>
                      <w:sz w:val="21"/>
                      <w:szCs w:val="21"/>
                      <w:u w:val="none"/>
                      <w:lang w:val="en-US" w:eastAsia="zh-CN" w:bidi="ar"/>
                    </w:rPr>
                    <w:t>法</w:t>
                  </w:r>
                  <w:r>
                    <w:rPr>
                      <w:rFonts w:hint="default" w:ascii="Times New Roman" w:hAnsi="Times New Roman" w:cs="Times New Roman"/>
                      <w:i w:val="0"/>
                      <w:iCs w:val="0"/>
                      <w:color w:val="0000FF"/>
                      <w:kern w:val="0"/>
                      <w:sz w:val="21"/>
                      <w:szCs w:val="21"/>
                      <w:u w:val="none"/>
                      <w:lang w:val="en-US" w:eastAsia="zh-CN" w:bidi="ar"/>
                    </w:rPr>
                    <w:t>+水喷淋</w:t>
                  </w:r>
                </w:p>
              </w:tc>
              <w:tc>
                <w:tcPr>
                  <w:tcW w:w="490" w:type="pct"/>
                  <w:vAlign w:val="center"/>
                </w:tcPr>
                <w:p w14:paraId="11215661">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30</w:t>
                  </w:r>
                </w:p>
              </w:tc>
              <w:tc>
                <w:tcPr>
                  <w:tcW w:w="490" w:type="pct"/>
                  <w:vAlign w:val="center"/>
                </w:tcPr>
                <w:p w14:paraId="696CB9C7">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0.211 </w:t>
                  </w:r>
                </w:p>
              </w:tc>
              <w:tc>
                <w:tcPr>
                  <w:tcW w:w="1063" w:type="dxa"/>
                  <w:vAlign w:val="center"/>
                </w:tcPr>
                <w:p w14:paraId="3F1BE6D0">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29.359 </w:t>
                  </w:r>
                </w:p>
              </w:tc>
            </w:tr>
            <w:tr w14:paraId="43ED0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Align w:val="center"/>
                </w:tcPr>
                <w:p w14:paraId="78D04E26">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SO</w:t>
                  </w:r>
                  <w:r>
                    <w:rPr>
                      <w:rFonts w:hint="default" w:ascii="Times New Roman" w:hAnsi="Times New Roman" w:cs="Times New Roman"/>
                      <w:color w:val="0000FF"/>
                      <w:vertAlign w:val="subscript"/>
                      <w:lang w:val="en-US" w:eastAsia="zh-CN"/>
                    </w:rPr>
                    <w:t>2</w:t>
                  </w:r>
                </w:p>
              </w:tc>
              <w:tc>
                <w:tcPr>
                  <w:tcW w:w="724" w:type="pct"/>
                  <w:vAlign w:val="center"/>
                </w:tcPr>
                <w:p w14:paraId="28CAA00A">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0.000002S*</w:t>
                  </w:r>
                </w:p>
              </w:tc>
              <w:tc>
                <w:tcPr>
                  <w:tcW w:w="592" w:type="pct"/>
                  <w:vAlign w:val="center"/>
                </w:tcPr>
                <w:p w14:paraId="6F11C08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0.006</w:t>
                  </w:r>
                </w:p>
              </w:tc>
              <w:tc>
                <w:tcPr>
                  <w:tcW w:w="535" w:type="pct"/>
                  <w:vMerge w:val="continue"/>
                  <w:vAlign w:val="center"/>
                </w:tcPr>
                <w:p w14:paraId="55BC1361">
                  <w:pPr>
                    <w:pStyle w:val="40"/>
                    <w:bidi w:val="0"/>
                    <w:rPr>
                      <w:rFonts w:hint="default" w:ascii="Times New Roman" w:hAnsi="Times New Roman" w:cs="Times New Roman"/>
                      <w:color w:val="0000FF"/>
                      <w:lang w:val="en-US" w:eastAsia="zh-CN"/>
                    </w:rPr>
                  </w:pPr>
                </w:p>
              </w:tc>
              <w:tc>
                <w:tcPr>
                  <w:tcW w:w="1055" w:type="dxa"/>
                  <w:vAlign w:val="center"/>
                </w:tcPr>
                <w:p w14:paraId="70A3B35C">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0.858 </w:t>
                  </w:r>
                </w:p>
              </w:tc>
              <w:tc>
                <w:tcPr>
                  <w:tcW w:w="467" w:type="pct"/>
                  <w:vMerge w:val="continue"/>
                  <w:vAlign w:val="center"/>
                </w:tcPr>
                <w:p w14:paraId="743DAB6E">
                  <w:pPr>
                    <w:pStyle w:val="40"/>
                    <w:bidi w:val="0"/>
                    <w:rPr>
                      <w:rFonts w:hint="default" w:ascii="Times New Roman" w:hAnsi="Times New Roman" w:cs="Times New Roman"/>
                      <w:color w:val="0000FF"/>
                      <w:lang w:val="en-US" w:eastAsia="zh-CN"/>
                    </w:rPr>
                  </w:pPr>
                </w:p>
              </w:tc>
              <w:tc>
                <w:tcPr>
                  <w:tcW w:w="490" w:type="pct"/>
                  <w:vAlign w:val="center"/>
                </w:tcPr>
                <w:p w14:paraId="78285F3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90" w:type="pct"/>
                  <w:vAlign w:val="center"/>
                </w:tcPr>
                <w:p w14:paraId="118447A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0.006</w:t>
                  </w:r>
                </w:p>
              </w:tc>
              <w:tc>
                <w:tcPr>
                  <w:tcW w:w="1063" w:type="dxa"/>
                  <w:vAlign w:val="center"/>
                </w:tcPr>
                <w:p w14:paraId="4632AE80">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0.858 </w:t>
                  </w:r>
                </w:p>
              </w:tc>
            </w:tr>
            <w:tr w14:paraId="74B02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2" w:type="pct"/>
                  <w:vAlign w:val="center"/>
                </w:tcPr>
                <w:p w14:paraId="3A2C07E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NOx</w:t>
                  </w:r>
                </w:p>
              </w:tc>
              <w:tc>
                <w:tcPr>
                  <w:tcW w:w="724" w:type="pct"/>
                  <w:vAlign w:val="center"/>
                </w:tcPr>
                <w:p w14:paraId="2E566528">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0.00596</w:t>
                  </w:r>
                </w:p>
              </w:tc>
              <w:tc>
                <w:tcPr>
                  <w:tcW w:w="592" w:type="pct"/>
                  <w:vAlign w:val="center"/>
                </w:tcPr>
                <w:p w14:paraId="3710479B">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0.054 </w:t>
                  </w:r>
                </w:p>
              </w:tc>
              <w:tc>
                <w:tcPr>
                  <w:tcW w:w="535" w:type="pct"/>
                  <w:vMerge w:val="continue"/>
                  <w:vAlign w:val="center"/>
                </w:tcPr>
                <w:p w14:paraId="72BD04BE">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u w:val="none"/>
                      <w:lang w:val="en-US" w:eastAsia="zh-CN" w:bidi="ar"/>
                    </w:rPr>
                  </w:pPr>
                </w:p>
              </w:tc>
              <w:tc>
                <w:tcPr>
                  <w:tcW w:w="1055" w:type="dxa"/>
                  <w:vAlign w:val="center"/>
                </w:tcPr>
                <w:p w14:paraId="48A01A03">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7.450 </w:t>
                  </w:r>
                </w:p>
              </w:tc>
              <w:tc>
                <w:tcPr>
                  <w:tcW w:w="467" w:type="pct"/>
                  <w:vMerge w:val="continue"/>
                  <w:vAlign w:val="center"/>
                </w:tcPr>
                <w:p w14:paraId="74F17B42">
                  <w:pPr>
                    <w:jc w:val="center"/>
                    <w:rPr>
                      <w:rFonts w:hint="default" w:ascii="Times New Roman" w:hAnsi="Times New Roman" w:cs="Times New Roman"/>
                      <w:color w:val="0000FF"/>
                      <w:lang w:val="en-US" w:eastAsia="zh-CN"/>
                    </w:rPr>
                  </w:pPr>
                </w:p>
              </w:tc>
              <w:tc>
                <w:tcPr>
                  <w:tcW w:w="490" w:type="pct"/>
                  <w:vAlign w:val="center"/>
                </w:tcPr>
                <w:p w14:paraId="389EF10A">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50</w:t>
                  </w:r>
                </w:p>
              </w:tc>
              <w:tc>
                <w:tcPr>
                  <w:tcW w:w="490" w:type="pct"/>
                  <w:vAlign w:val="center"/>
                </w:tcPr>
                <w:p w14:paraId="5AC42FD3">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0.027 </w:t>
                  </w:r>
                </w:p>
              </w:tc>
              <w:tc>
                <w:tcPr>
                  <w:tcW w:w="1063" w:type="dxa"/>
                  <w:vAlign w:val="center"/>
                </w:tcPr>
                <w:p w14:paraId="0B189679">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3.725 </w:t>
                  </w:r>
                </w:p>
              </w:tc>
            </w:tr>
            <w:tr w14:paraId="67873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9"/>
                  <w:vAlign w:val="center"/>
                </w:tcPr>
                <w:p w14:paraId="2891F81D">
                  <w:pPr>
                    <w:keepNext w:val="0"/>
                    <w:keepLines w:val="0"/>
                    <w:pageBreakBefore w:val="0"/>
                    <w:widowControl/>
                    <w:suppressLineNumbers w:val="0"/>
                    <w:kinsoku/>
                    <w:overflowPunct/>
                    <w:topLinePunct w:val="0"/>
                    <w:autoSpaceDE/>
                    <w:autoSpaceDN/>
                    <w:bidi w:val="0"/>
                    <w:spacing w:line="240" w:lineRule="auto"/>
                    <w:jc w:val="both"/>
                    <w:textAlignment w:val="center"/>
                    <w:rPr>
                      <w:rFonts w:hint="default" w:ascii="Times New Roman" w:hAnsi="Times New Roman" w:eastAsia="宋体" w:cs="Times New Roman"/>
                      <w:i w:val="0"/>
                      <w:iCs w:val="0"/>
                      <w:color w:val="0000FF"/>
                      <w:kern w:val="0"/>
                      <w:sz w:val="21"/>
                      <w:szCs w:val="21"/>
                      <w:u w:val="none"/>
                      <w:lang w:val="en-US" w:eastAsia="zh-CN" w:bidi="ar"/>
                    </w:rPr>
                  </w:pPr>
                  <w:r>
                    <w:rPr>
                      <w:rFonts w:hint="default" w:ascii="Times New Roman" w:hAnsi="Times New Roman" w:eastAsia="宋体" w:cs="Times New Roman"/>
                      <w:i w:val="0"/>
                      <w:iCs w:val="0"/>
                      <w:color w:val="0000FF"/>
                      <w:kern w:val="0"/>
                      <w:sz w:val="21"/>
                      <w:szCs w:val="21"/>
                      <w:u w:val="none"/>
                      <w:lang w:val="en-US" w:eastAsia="zh-CN" w:bidi="ar"/>
                    </w:rPr>
                    <w:t>注：颗粒物产生量为气瓶</w:t>
                  </w:r>
                  <w:r>
                    <w:rPr>
                      <w:rFonts w:hint="eastAsia" w:cs="Times New Roman"/>
                      <w:i w:val="0"/>
                      <w:iCs w:val="0"/>
                      <w:color w:val="0000FF"/>
                      <w:kern w:val="0"/>
                      <w:sz w:val="21"/>
                      <w:szCs w:val="21"/>
                      <w:u w:val="none"/>
                      <w:lang w:val="en-US" w:eastAsia="zh-CN" w:bidi="ar"/>
                    </w:rPr>
                    <w:t>焚烧</w:t>
                  </w:r>
                  <w:r>
                    <w:rPr>
                      <w:rFonts w:hint="default" w:ascii="Times New Roman" w:hAnsi="Times New Roman" w:eastAsia="宋体" w:cs="Times New Roman"/>
                      <w:i w:val="0"/>
                      <w:iCs w:val="0"/>
                      <w:color w:val="0000FF"/>
                      <w:kern w:val="0"/>
                      <w:sz w:val="21"/>
                      <w:szCs w:val="21"/>
                      <w:u w:val="none"/>
                      <w:lang w:val="en-US" w:eastAsia="zh-CN" w:bidi="ar"/>
                    </w:rPr>
                    <w:t>粉尘+燃料燃烧粉尘</w:t>
                  </w:r>
                </w:p>
                <w:p w14:paraId="1ABCC645">
                  <w:pPr>
                    <w:pStyle w:val="43"/>
                    <w:keepNext w:val="0"/>
                    <w:keepLines w:val="0"/>
                    <w:pageBreakBefore w:val="0"/>
                    <w:kinsoku/>
                    <w:overflowPunct/>
                    <w:topLinePunct w:val="0"/>
                    <w:autoSpaceDE/>
                    <w:autoSpaceDN/>
                    <w:bidi w:val="0"/>
                    <w:spacing w:line="240" w:lineRule="auto"/>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S:为含硫量。根据《液化石油气(GB11174-2011)》，液化石油气总硫含量标准应</w:t>
                  </w:r>
                  <w:r>
                    <w:rPr>
                      <w:rFonts w:hint="default" w:ascii="Times New Roman" w:hAnsi="Times New Roman" w:cs="Times New Roman"/>
                      <w:i w:val="0"/>
                      <w:iCs w:val="0"/>
                      <w:color w:val="0000FF"/>
                      <w:kern w:val="0"/>
                      <w:sz w:val="21"/>
                      <w:szCs w:val="21"/>
                      <w:highlight w:val="none"/>
                      <w:u w:val="none"/>
                      <w:lang w:val="en-US" w:eastAsia="zh-CN" w:bidi="ar"/>
                    </w:rPr>
                    <w:t>≤</w:t>
                  </w:r>
                  <w:r>
                    <w:rPr>
                      <w:rFonts w:hint="default" w:ascii="Times New Roman" w:hAnsi="Times New Roman" w:eastAsia="宋体" w:cs="Times New Roman"/>
                      <w:i w:val="0"/>
                      <w:iCs w:val="0"/>
                      <w:color w:val="0000FF"/>
                      <w:kern w:val="0"/>
                      <w:sz w:val="21"/>
                      <w:szCs w:val="21"/>
                      <w:highlight w:val="none"/>
                      <w:u w:val="none"/>
                      <w:lang w:val="en-US" w:eastAsia="zh-CN" w:bidi="ar"/>
                    </w:rPr>
                    <w:t>343mg/m</w:t>
                  </w:r>
                  <w:r>
                    <w:rPr>
                      <w:rFonts w:hint="default" w:ascii="Times New Roman" w:hAnsi="Times New Roman" w:eastAsia="宋体" w:cs="Times New Roman"/>
                      <w:i w:val="0"/>
                      <w:iCs w:val="0"/>
                      <w:color w:val="0000FF"/>
                      <w:kern w:val="0"/>
                      <w:sz w:val="21"/>
                      <w:szCs w:val="21"/>
                      <w:highlight w:val="none"/>
                      <w:u w:val="none"/>
                      <w:vertAlign w:val="superscript"/>
                      <w:lang w:val="en-US" w:eastAsia="zh-CN" w:bidi="ar"/>
                    </w:rPr>
                    <w:t>3</w:t>
                  </w:r>
                  <w:r>
                    <w:rPr>
                      <w:rFonts w:hint="default" w:ascii="Times New Roman" w:hAnsi="Times New Roman" w:eastAsia="宋体" w:cs="Times New Roman"/>
                      <w:i w:val="0"/>
                      <w:iCs w:val="0"/>
                      <w:color w:val="0000FF"/>
                      <w:kern w:val="0"/>
                      <w:sz w:val="21"/>
                      <w:szCs w:val="21"/>
                      <w:highlight w:val="none"/>
                      <w:u w:val="none"/>
                      <w:lang w:val="en-US" w:eastAsia="zh-CN" w:bidi="ar"/>
                    </w:rPr>
                    <w:t>，本项目液化石油气含硫量S取最大值343mg/m</w:t>
                  </w:r>
                  <w:r>
                    <w:rPr>
                      <w:rFonts w:hint="default" w:ascii="Times New Roman" w:hAnsi="Times New Roman" w:eastAsia="宋体" w:cs="Times New Roman"/>
                      <w:i w:val="0"/>
                      <w:iCs w:val="0"/>
                      <w:color w:val="0000FF"/>
                      <w:kern w:val="0"/>
                      <w:sz w:val="21"/>
                      <w:szCs w:val="21"/>
                      <w:highlight w:val="none"/>
                      <w:u w:val="none"/>
                      <w:vertAlign w:val="superscript"/>
                      <w:lang w:val="en-US" w:eastAsia="zh-CN" w:bidi="ar"/>
                    </w:rPr>
                    <w:t>3</w:t>
                  </w:r>
                </w:p>
              </w:tc>
            </w:tr>
          </w:tbl>
          <w:p w14:paraId="0096DCD8">
            <w:pPr>
              <w:pStyle w:val="43"/>
              <w:keepNext w:val="0"/>
              <w:keepLines w:val="0"/>
              <w:pageBreakBefore w:val="0"/>
              <w:widowControl w:val="0"/>
              <w:kinsoku/>
              <w:wordWrap w:val="0"/>
              <w:overflowPunct/>
              <w:topLinePunct w:val="0"/>
              <w:autoSpaceDE/>
              <w:autoSpaceDN/>
              <w:bidi w:val="0"/>
              <w:adjustRightInd w:val="0"/>
              <w:snapToGrid w:val="0"/>
              <w:spacing w:before="313" w:beforeLines="100" w:line="360" w:lineRule="auto"/>
              <w:ind w:firstLine="480" w:firstLineChars="200"/>
              <w:textAlignment w:val="auto"/>
              <w:rPr>
                <w:rFonts w:hint="default" w:ascii="Times New Roman" w:hAnsi="Times New Roman" w:eastAsia="宋体" w:cs="Times New Roman"/>
                <w:b w:val="0"/>
                <w:bCs w:val="0"/>
                <w:color w:val="0000FF"/>
                <w:kern w:val="2"/>
                <w:sz w:val="24"/>
                <w:szCs w:val="24"/>
                <w:highlight w:val="none"/>
                <w:lang w:val="en-US" w:eastAsia="zh-CN" w:bidi="ar-SA"/>
              </w:rPr>
            </w:pPr>
            <w:r>
              <w:rPr>
                <w:rFonts w:hint="default" w:ascii="Times New Roman" w:hAnsi="Times New Roman" w:eastAsia="宋体" w:cs="Times New Roman"/>
                <w:b w:val="0"/>
                <w:bCs w:val="0"/>
                <w:color w:val="0000FF"/>
                <w:kern w:val="2"/>
                <w:sz w:val="24"/>
                <w:szCs w:val="24"/>
                <w:highlight w:val="none"/>
                <w:lang w:val="en-US" w:eastAsia="zh-CN" w:bidi="ar-SA"/>
              </w:rPr>
              <w:t>焚烧</w:t>
            </w:r>
            <w:r>
              <w:rPr>
                <w:rFonts w:hint="eastAsia" w:cs="Times New Roman"/>
                <w:b w:val="0"/>
                <w:bCs w:val="0"/>
                <w:color w:val="0000FF"/>
                <w:kern w:val="2"/>
                <w:sz w:val="24"/>
                <w:szCs w:val="24"/>
                <w:highlight w:val="none"/>
                <w:lang w:val="en-US" w:eastAsia="zh-CN" w:bidi="ar-SA"/>
              </w:rPr>
              <w:t>窑采用低氮燃烧技术，</w:t>
            </w:r>
            <w:r>
              <w:rPr>
                <w:rFonts w:hint="default" w:ascii="Times New Roman" w:hAnsi="Times New Roman" w:eastAsia="宋体" w:cs="Times New Roman"/>
                <w:b w:val="0"/>
                <w:bCs w:val="0"/>
                <w:color w:val="0000FF"/>
                <w:kern w:val="2"/>
                <w:sz w:val="24"/>
                <w:szCs w:val="24"/>
                <w:highlight w:val="none"/>
                <w:lang w:val="en-US" w:eastAsia="zh-CN" w:bidi="ar-SA"/>
              </w:rPr>
              <w:t>废气收集后经</w:t>
            </w:r>
            <w:r>
              <w:rPr>
                <w:rFonts w:hint="eastAsia" w:cs="Times New Roman"/>
                <w:b w:val="0"/>
                <w:bCs w:val="0"/>
                <w:color w:val="0000FF"/>
                <w:kern w:val="2"/>
                <w:sz w:val="24"/>
                <w:szCs w:val="24"/>
                <w:highlight w:val="none"/>
                <w:lang w:val="en-US" w:eastAsia="zh-CN" w:bidi="ar-SA"/>
              </w:rPr>
              <w:t>喷淋塔除尘</w:t>
            </w:r>
            <w:r>
              <w:rPr>
                <w:rFonts w:hint="default" w:ascii="Times New Roman" w:hAnsi="Times New Roman" w:eastAsia="宋体" w:cs="Times New Roman"/>
                <w:b w:val="0"/>
                <w:bCs w:val="0"/>
                <w:color w:val="0000FF"/>
                <w:kern w:val="2"/>
                <w:sz w:val="24"/>
                <w:szCs w:val="24"/>
                <w:highlight w:val="none"/>
                <w:lang w:val="en-US" w:eastAsia="zh-CN" w:bidi="ar-SA"/>
              </w:rPr>
              <w:t>后引至15m排气</w:t>
            </w:r>
            <w:r>
              <w:rPr>
                <w:rFonts w:hint="eastAsia" w:cs="Times New Roman"/>
                <w:b w:val="0"/>
                <w:bCs w:val="0"/>
                <w:color w:val="0000FF"/>
                <w:kern w:val="2"/>
                <w:sz w:val="24"/>
                <w:szCs w:val="24"/>
                <w:highlight w:val="none"/>
                <w:lang w:val="en-US" w:eastAsia="zh-CN" w:bidi="ar-SA"/>
              </w:rPr>
              <w:t>筒（DA001）</w:t>
            </w:r>
            <w:r>
              <w:rPr>
                <w:rFonts w:hint="default" w:ascii="Times New Roman" w:hAnsi="Times New Roman" w:eastAsia="宋体" w:cs="Times New Roman"/>
                <w:b w:val="0"/>
                <w:bCs w:val="0"/>
                <w:color w:val="0000FF"/>
                <w:kern w:val="2"/>
                <w:sz w:val="24"/>
                <w:szCs w:val="24"/>
                <w:highlight w:val="none"/>
                <w:lang w:val="en-US" w:eastAsia="zh-CN" w:bidi="ar-SA"/>
              </w:rPr>
              <w:t>排放。</w:t>
            </w:r>
          </w:p>
          <w:p w14:paraId="081F622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i w:val="0"/>
                <w:iCs w:val="0"/>
                <w:color w:val="auto"/>
                <w:sz w:val="24"/>
                <w:szCs w:val="24"/>
                <w:highlight w:val="none"/>
                <w:lang w:val="en-US" w:eastAsia="zh-CN"/>
              </w:rPr>
            </w:pPr>
            <w:r>
              <w:rPr>
                <w:rFonts w:hint="default" w:ascii="Times New Roman" w:hAnsi="Times New Roman" w:eastAsia="宋体" w:cs="Times New Roman"/>
                <w:b/>
                <w:bCs/>
                <w:i w:val="0"/>
                <w:iCs w:val="0"/>
                <w:color w:val="auto"/>
                <w:sz w:val="24"/>
                <w:szCs w:val="24"/>
                <w:highlight w:val="none"/>
                <w:lang w:val="en-US" w:eastAsia="zh-CN"/>
              </w:rPr>
              <w:t>（3）抛丸废气</w:t>
            </w:r>
          </w:p>
          <w:p w14:paraId="4EB016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产品需要进行抛丸处理，抛丸过程中会产生一定量的抛丸粉尘。根据《排放源统计调查产排污核算方法和系数手册》中《33-37.431-434机械行业系数手册》系数表--06预处理-干式预处理件-抛丸、喷砂、打磨、滚筒-所有规模-颗粒物产物系数为2.19kg/t-原料，本项目需抛丸的原料量为</w:t>
            </w:r>
            <w:r>
              <w:rPr>
                <w:rFonts w:hint="default" w:ascii="Times New Roman" w:hAnsi="Times New Roman" w:cs="Times New Roman"/>
                <w:b w:val="0"/>
                <w:bCs w:val="0"/>
                <w:color w:val="auto"/>
                <w:sz w:val="24"/>
                <w:szCs w:val="24"/>
                <w:highlight w:val="none"/>
                <w:lang w:val="en-US" w:eastAsia="zh-CN"/>
              </w:rPr>
              <w:t>1</w:t>
            </w:r>
            <w:r>
              <w:rPr>
                <w:rFonts w:hint="eastAsia" w:cs="Times New Roman"/>
                <w:b w:val="0"/>
                <w:bCs w:val="0"/>
                <w:color w:val="auto"/>
                <w:sz w:val="24"/>
                <w:szCs w:val="24"/>
                <w:highlight w:val="none"/>
                <w:lang w:val="en-US" w:eastAsia="zh-CN"/>
              </w:rPr>
              <w:t>155t</w:t>
            </w:r>
            <w:r>
              <w:rPr>
                <w:rFonts w:hint="default" w:ascii="Times New Roman" w:hAnsi="Times New Roman" w:eastAsia="宋体"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a</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钢瓶</w:t>
            </w:r>
            <w:r>
              <w:rPr>
                <w:rFonts w:hint="eastAsia" w:cs="Times New Roman"/>
                <w:b w:val="0"/>
                <w:bCs w:val="0"/>
                <w:color w:val="auto"/>
                <w:sz w:val="24"/>
                <w:szCs w:val="24"/>
                <w:highlight w:val="none"/>
                <w:lang w:val="en-US" w:eastAsia="zh-CN"/>
              </w:rPr>
              <w:t>平均</w:t>
            </w:r>
            <w:r>
              <w:rPr>
                <w:rFonts w:hint="default" w:ascii="Times New Roman" w:hAnsi="Times New Roman" w:eastAsia="宋体" w:cs="Times New Roman"/>
                <w:b w:val="0"/>
                <w:bCs w:val="0"/>
                <w:color w:val="auto"/>
                <w:sz w:val="24"/>
                <w:szCs w:val="24"/>
                <w:highlight w:val="none"/>
                <w:lang w:val="en-US" w:eastAsia="zh-CN"/>
              </w:rPr>
              <w:t>重量约1</w:t>
            </w:r>
            <w:r>
              <w:rPr>
                <w:rFonts w:hint="eastAsia" w:cs="Times New Roman"/>
                <w:b w:val="0"/>
                <w:bCs w:val="0"/>
                <w:color w:val="auto"/>
                <w:sz w:val="24"/>
                <w:szCs w:val="24"/>
                <w:highlight w:val="none"/>
                <w:lang w:val="en-US" w:eastAsia="zh-CN"/>
              </w:rPr>
              <w:t>6.5</w:t>
            </w:r>
            <w:r>
              <w:rPr>
                <w:rFonts w:hint="default" w:ascii="Times New Roman" w:hAnsi="Times New Roman" w:eastAsia="宋体" w:cs="Times New Roman"/>
                <w:b w:val="0"/>
                <w:bCs w:val="0"/>
                <w:color w:val="auto"/>
                <w:sz w:val="24"/>
                <w:szCs w:val="24"/>
                <w:highlight w:val="none"/>
                <w:lang w:val="en-US" w:eastAsia="zh-CN"/>
              </w:rPr>
              <w:t>kg/只，共7万只</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，则抛丸粉尘为</w:t>
            </w:r>
            <w:r>
              <w:rPr>
                <w:rFonts w:hint="default" w:ascii="Times New Roman" w:hAnsi="Times New Roman" w:cs="Times New Roman"/>
                <w:b w:val="0"/>
                <w:bCs w:val="0"/>
                <w:color w:val="auto"/>
                <w:sz w:val="24"/>
                <w:szCs w:val="24"/>
                <w:highlight w:val="none"/>
                <w:lang w:val="en-US" w:eastAsia="zh-CN"/>
              </w:rPr>
              <w:t>2.</w:t>
            </w:r>
            <w:r>
              <w:rPr>
                <w:rFonts w:hint="eastAsia" w:cs="Times New Roman"/>
                <w:b w:val="0"/>
                <w:bCs w:val="0"/>
                <w:color w:val="auto"/>
                <w:sz w:val="24"/>
                <w:szCs w:val="24"/>
                <w:highlight w:val="none"/>
                <w:lang w:val="en-US" w:eastAsia="zh-CN"/>
              </w:rPr>
              <w:t>53</w:t>
            </w:r>
            <w:r>
              <w:rPr>
                <w:rFonts w:hint="default" w:ascii="Times New Roman" w:hAnsi="Times New Roman" w:eastAsia="宋体" w:cs="Times New Roman"/>
                <w:b w:val="0"/>
                <w:bCs w:val="0"/>
                <w:color w:val="auto"/>
                <w:sz w:val="24"/>
                <w:szCs w:val="24"/>
                <w:highlight w:val="none"/>
                <w:lang w:val="en-US" w:eastAsia="zh-CN"/>
              </w:rPr>
              <w:t>t</w:t>
            </w:r>
            <w:r>
              <w:rPr>
                <w:rFonts w:hint="eastAsia"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a。抛丸粉尘经自带布袋除尘装置</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风机风量</w:t>
            </w:r>
            <w:r>
              <w:rPr>
                <w:rFonts w:hint="default" w:ascii="Times New Roman" w:hAnsi="Times New Roman" w:cs="Times New Roman"/>
                <w:b w:val="0"/>
                <w:bCs w:val="0"/>
                <w:color w:val="auto"/>
                <w:sz w:val="24"/>
                <w:szCs w:val="24"/>
                <w:highlight w:val="none"/>
                <w:lang w:val="en-US" w:eastAsia="zh-CN"/>
              </w:rPr>
              <w:t>2500</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h，集气效率按95%计，除尘效率以95%计</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除尘后，通过</w:t>
            </w:r>
            <w:r>
              <w:rPr>
                <w:rFonts w:hint="eastAsia" w:cs="Times New Roman"/>
                <w:b w:val="0"/>
                <w:bCs w:val="0"/>
                <w:color w:val="auto"/>
                <w:sz w:val="24"/>
                <w:szCs w:val="24"/>
                <w:highlight w:val="none"/>
                <w:lang w:val="en-US" w:eastAsia="zh-CN"/>
              </w:rPr>
              <w:t>车间</w:t>
            </w:r>
            <w:r>
              <w:rPr>
                <w:rFonts w:hint="default" w:ascii="Times New Roman" w:hAnsi="Times New Roman" w:eastAsia="宋体" w:cs="Times New Roman"/>
                <w:b w:val="0"/>
                <w:bCs w:val="0"/>
                <w:color w:val="auto"/>
                <w:sz w:val="24"/>
                <w:szCs w:val="24"/>
                <w:highlight w:val="none"/>
                <w:lang w:val="en-US" w:eastAsia="zh-CN"/>
              </w:rPr>
              <w:t>15m高排气</w:t>
            </w:r>
            <w:r>
              <w:rPr>
                <w:rFonts w:hint="eastAsia" w:cs="Times New Roman"/>
                <w:b w:val="0"/>
                <w:bCs w:val="0"/>
                <w:color w:val="auto"/>
                <w:sz w:val="24"/>
                <w:szCs w:val="24"/>
                <w:highlight w:val="none"/>
                <w:lang w:val="en-US" w:eastAsia="zh-CN"/>
              </w:rPr>
              <w:t>筒（DA001）</w:t>
            </w:r>
            <w:r>
              <w:rPr>
                <w:rFonts w:hint="default" w:ascii="Times New Roman" w:hAnsi="Times New Roman" w:eastAsia="宋体" w:cs="Times New Roman"/>
                <w:b w:val="0"/>
                <w:bCs w:val="0"/>
                <w:color w:val="auto"/>
                <w:sz w:val="24"/>
                <w:szCs w:val="24"/>
                <w:highlight w:val="none"/>
                <w:lang w:val="en-US" w:eastAsia="zh-CN"/>
              </w:rPr>
              <w:t>排放，则有组织粉尘排放量为</w:t>
            </w:r>
            <w:r>
              <w:rPr>
                <w:rFonts w:hint="default" w:ascii="Times New Roman" w:hAnsi="Times New Roman" w:cs="Times New Roman"/>
                <w:b w:val="0"/>
                <w:bCs w:val="0"/>
                <w:color w:val="auto"/>
                <w:sz w:val="24"/>
                <w:szCs w:val="24"/>
                <w:highlight w:val="none"/>
                <w:lang w:val="en-US" w:eastAsia="zh-CN"/>
              </w:rPr>
              <w:t>0.1</w:t>
            </w:r>
            <w:r>
              <w:rPr>
                <w:rFonts w:hint="eastAsia" w:cs="Times New Roman"/>
                <w:b w:val="0"/>
                <w:bCs w:val="0"/>
                <w:color w:val="auto"/>
                <w:sz w:val="24"/>
                <w:szCs w:val="24"/>
                <w:highlight w:val="none"/>
                <w:lang w:val="en-US" w:eastAsia="zh-CN"/>
              </w:rPr>
              <w:t>20</w:t>
            </w:r>
            <w:r>
              <w:rPr>
                <w:rFonts w:hint="default" w:ascii="Times New Roman" w:hAnsi="Times New Roman" w:eastAsia="宋体" w:cs="Times New Roman"/>
                <w:b w:val="0"/>
                <w:bCs w:val="0"/>
                <w:color w:val="auto"/>
                <w:sz w:val="24"/>
                <w:szCs w:val="24"/>
                <w:highlight w:val="none"/>
                <w:lang w:val="en-US" w:eastAsia="zh-CN"/>
              </w:rPr>
              <w:t>t</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a，排放速率为</w:t>
            </w:r>
            <w:r>
              <w:rPr>
                <w:rFonts w:hint="default" w:ascii="Times New Roman" w:hAnsi="Times New Roman" w:cs="Times New Roman"/>
                <w:b w:val="0"/>
                <w:bCs w:val="0"/>
                <w:color w:val="auto"/>
                <w:sz w:val="24"/>
                <w:szCs w:val="24"/>
                <w:highlight w:val="none"/>
                <w:lang w:val="en-US" w:eastAsia="zh-CN"/>
              </w:rPr>
              <w:t>0.03</w:t>
            </w:r>
            <w:r>
              <w:rPr>
                <w:rFonts w:hint="eastAsia"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val="en-US" w:eastAsia="zh-CN"/>
              </w:rPr>
              <w:t>kg</w:t>
            </w:r>
            <w:r>
              <w:rPr>
                <w:rFonts w:hint="default" w:ascii="Times New Roman" w:hAnsi="Times New Roman" w:cs="Times New Roman"/>
                <w:b w:val="0"/>
                <w:bCs w:val="0"/>
                <w:color w:val="auto"/>
                <w:sz w:val="24"/>
                <w:szCs w:val="24"/>
                <w:highlight w:val="none"/>
                <w:lang w:val="en-US" w:eastAsia="zh-CN"/>
              </w:rPr>
              <w:t>/h</w:t>
            </w:r>
            <w:r>
              <w:rPr>
                <w:rFonts w:hint="default" w:ascii="Times New Roman" w:hAnsi="Times New Roman" w:eastAsia="宋体" w:cs="Times New Roman"/>
                <w:b w:val="0"/>
                <w:bCs w:val="0"/>
                <w:color w:val="auto"/>
                <w:sz w:val="24"/>
                <w:szCs w:val="24"/>
                <w:highlight w:val="none"/>
                <w:lang w:val="en-US" w:eastAsia="zh-CN"/>
              </w:rPr>
              <w:t>，排放浓度为</w:t>
            </w:r>
            <w:r>
              <w:rPr>
                <w:rFonts w:hint="eastAsia" w:cs="Times New Roman"/>
                <w:b w:val="0"/>
                <w:bCs w:val="0"/>
                <w:color w:val="auto"/>
                <w:sz w:val="24"/>
                <w:szCs w:val="24"/>
                <w:highlight w:val="none"/>
                <w:lang w:val="en-US" w:eastAsia="zh-CN"/>
              </w:rPr>
              <w:t>13.35</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无组织废气颗粒物产生量为0.1</w:t>
            </w:r>
            <w:r>
              <w:rPr>
                <w:rFonts w:hint="eastAsia" w:cs="Times New Roman"/>
                <w:b w:val="0"/>
                <w:bCs w:val="0"/>
                <w:color w:val="auto"/>
                <w:sz w:val="24"/>
                <w:szCs w:val="24"/>
                <w:highlight w:val="none"/>
                <w:lang w:val="en-US" w:eastAsia="zh-CN"/>
              </w:rPr>
              <w:t>26</w:t>
            </w:r>
            <w:r>
              <w:rPr>
                <w:rFonts w:hint="default" w:ascii="Times New Roman" w:hAnsi="Times New Roman" w:cs="Times New Roman"/>
                <w:b w:val="0"/>
                <w:bCs w:val="0"/>
                <w:color w:val="auto"/>
                <w:sz w:val="24"/>
                <w:szCs w:val="24"/>
                <w:highlight w:val="none"/>
                <w:lang w:val="en-US" w:eastAsia="zh-CN"/>
              </w:rPr>
              <w:t>t/a，在车间内部分沉降后，无组织排放，沉降效率按60%计，无组织排放量为0.0</w:t>
            </w:r>
            <w:r>
              <w:rPr>
                <w:rFonts w:hint="eastAsia" w:cs="Times New Roman"/>
                <w:b w:val="0"/>
                <w:bCs w:val="0"/>
                <w:color w:val="auto"/>
                <w:sz w:val="24"/>
                <w:szCs w:val="24"/>
                <w:highlight w:val="none"/>
                <w:lang w:val="en-US" w:eastAsia="zh-CN"/>
              </w:rPr>
              <w:t>51</w:t>
            </w:r>
            <w:r>
              <w:rPr>
                <w:rFonts w:hint="default" w:ascii="Times New Roman" w:hAnsi="Times New Roman" w:cs="Times New Roman"/>
                <w:b w:val="0"/>
                <w:bCs w:val="0"/>
                <w:color w:val="auto"/>
                <w:sz w:val="24"/>
                <w:szCs w:val="24"/>
                <w:highlight w:val="none"/>
                <w:lang w:val="en-US" w:eastAsia="zh-CN"/>
              </w:rPr>
              <w:t>t/a，排放速率为0.01</w:t>
            </w:r>
            <w:r>
              <w:rPr>
                <w:rFonts w:hint="eastAsia" w:cs="Times New Roman"/>
                <w:b w:val="0"/>
                <w:bCs w:val="0"/>
                <w:color w:val="auto"/>
                <w:sz w:val="24"/>
                <w:szCs w:val="24"/>
                <w:highlight w:val="none"/>
                <w:lang w:val="en-US" w:eastAsia="zh-CN"/>
              </w:rPr>
              <w:t>4</w:t>
            </w:r>
            <w:r>
              <w:rPr>
                <w:rFonts w:hint="default" w:ascii="Times New Roman" w:hAnsi="Times New Roman" w:cs="Times New Roman"/>
                <w:b w:val="0"/>
                <w:bCs w:val="0"/>
                <w:color w:val="auto"/>
                <w:sz w:val="24"/>
                <w:szCs w:val="24"/>
                <w:highlight w:val="none"/>
                <w:lang w:val="en-US" w:eastAsia="zh-CN"/>
              </w:rPr>
              <w:t>kg/h。</w:t>
            </w:r>
          </w:p>
          <w:p w14:paraId="3E6C96E1">
            <w:pPr>
              <w:pStyle w:val="44"/>
              <w:rPr>
                <w:rFonts w:hint="default" w:ascii="Times New Roman" w:hAnsi="Times New Roman" w:cs="Times New Roman"/>
                <w:lang w:val="en-US" w:eastAsia="zh-CN"/>
              </w:rPr>
            </w:pPr>
            <w:r>
              <w:rPr>
                <w:rFonts w:hint="default" w:ascii="Times New Roman" w:hAnsi="Times New Roman" w:cs="Times New Roman"/>
                <w:b w:val="0"/>
                <w:bCs w:val="0"/>
                <w:color w:val="auto"/>
                <w:sz w:val="24"/>
                <w:szCs w:val="24"/>
                <w:highlight w:val="none"/>
                <w:lang w:val="en-US" w:eastAsia="zh-CN"/>
              </w:rPr>
              <w:t>根据</w:t>
            </w:r>
            <w:r>
              <w:rPr>
                <w:rFonts w:hint="default" w:ascii="Times New Roman" w:hAnsi="Times New Roman" w:eastAsia="宋体" w:cs="Times New Roman"/>
                <w:b w:val="0"/>
                <w:bCs w:val="0"/>
                <w:color w:val="auto"/>
                <w:sz w:val="24"/>
                <w:szCs w:val="24"/>
                <w:highlight w:val="none"/>
                <w:lang w:val="en-US" w:eastAsia="zh-CN"/>
              </w:rPr>
              <w:t>《排放源统计调查产排污核算方法和系数手册》中《33-37.431-434机械行业系数手册》系数表--06预处理-干式预处理件-抛丸、喷砂、打磨、滚筒，抛丸粉尘采用袋式除尘</w:t>
            </w:r>
            <w:r>
              <w:rPr>
                <w:rFonts w:hint="default" w:ascii="Times New Roman" w:hAnsi="Times New Roman" w:cs="Times New Roman"/>
                <w:b w:val="0"/>
                <w:bCs w:val="0"/>
                <w:color w:val="auto"/>
                <w:sz w:val="24"/>
                <w:szCs w:val="24"/>
                <w:highlight w:val="none"/>
                <w:lang w:val="en-US" w:eastAsia="zh-CN"/>
              </w:rPr>
              <w:t>为推荐末端治理技术，除尘效率建议取值为95%。因此，</w:t>
            </w:r>
            <w:r>
              <w:rPr>
                <w:rFonts w:hint="default" w:ascii="Times New Roman" w:hAnsi="Times New Roman" w:eastAsia="宋体" w:cs="Times New Roman"/>
                <w:b w:val="0"/>
                <w:bCs w:val="0"/>
                <w:color w:val="auto"/>
                <w:sz w:val="24"/>
                <w:szCs w:val="24"/>
                <w:highlight w:val="none"/>
                <w:lang w:val="en-US" w:eastAsia="zh-CN"/>
              </w:rPr>
              <w:t>抛丸粉尘采用袋式除尘属于可行技术。</w:t>
            </w:r>
          </w:p>
          <w:p w14:paraId="007C9C2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i w:val="0"/>
                <w:iCs w:val="0"/>
                <w:color w:val="auto"/>
                <w:sz w:val="24"/>
                <w:szCs w:val="24"/>
                <w:highlight w:val="none"/>
                <w:lang w:val="en-US" w:eastAsia="zh-CN"/>
              </w:rPr>
            </w:pPr>
            <w:r>
              <w:rPr>
                <w:rFonts w:hint="default" w:ascii="Times New Roman" w:hAnsi="Times New Roman" w:eastAsia="宋体" w:cs="Times New Roman"/>
                <w:b/>
                <w:bCs/>
                <w:i w:val="0"/>
                <w:iCs w:val="0"/>
                <w:color w:val="auto"/>
                <w:sz w:val="24"/>
                <w:szCs w:val="24"/>
                <w:highlight w:val="none"/>
                <w:lang w:val="en-US" w:eastAsia="zh-CN"/>
              </w:rPr>
              <w:t>（4）喷塑</w:t>
            </w:r>
            <w:r>
              <w:rPr>
                <w:rFonts w:hint="eastAsia" w:cs="Times New Roman"/>
                <w:b/>
                <w:bCs/>
                <w:i w:val="0"/>
                <w:iCs w:val="0"/>
                <w:color w:val="auto"/>
                <w:sz w:val="24"/>
                <w:szCs w:val="24"/>
                <w:highlight w:val="none"/>
                <w:lang w:val="en-US" w:eastAsia="zh-CN"/>
              </w:rPr>
              <w:t>废气</w:t>
            </w:r>
          </w:p>
          <w:p w14:paraId="612474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本项目设有1条喷塑生产线，喷塑工艺在密闭式喷塑房内进行，采用静电喷塑工艺。</w:t>
            </w:r>
          </w:p>
          <w:p w14:paraId="6F4E5B22">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1）用量匹配性分析</w:t>
            </w:r>
          </w:p>
          <w:p w14:paraId="3EE4D622">
            <w:pPr>
              <w:adjustRightInd w:val="0"/>
              <w:snapToGrid w:val="0"/>
              <w:spacing w:line="360" w:lineRule="auto"/>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本项目</w:t>
            </w:r>
            <w:r>
              <w:rPr>
                <w:rFonts w:hint="default" w:ascii="Times New Roman" w:hAnsi="Times New Roman" w:cs="Times New Roman"/>
                <w:color w:val="000000"/>
                <w:sz w:val="24"/>
                <w:szCs w:val="24"/>
                <w:lang w:val="en-US" w:eastAsia="zh-CN"/>
              </w:rPr>
              <w:t>涂料</w:t>
            </w:r>
            <w:r>
              <w:rPr>
                <w:rFonts w:hint="default" w:ascii="Times New Roman" w:hAnsi="Times New Roman" w:cs="Times New Roman"/>
                <w:color w:val="000000"/>
                <w:sz w:val="24"/>
                <w:szCs w:val="24"/>
              </w:rPr>
              <w:t>用量计算公式如下，使用量见</w:t>
            </w:r>
            <w:r>
              <w:rPr>
                <w:rFonts w:hint="default" w:ascii="Times New Roman" w:hAnsi="Times New Roman" w:cs="Times New Roman"/>
                <w:color w:val="000000"/>
                <w:sz w:val="24"/>
                <w:szCs w:val="24"/>
                <w:lang w:val="en-US" w:eastAsia="zh-CN"/>
              </w:rPr>
              <w:t>下</w:t>
            </w:r>
            <w:r>
              <w:rPr>
                <w:rFonts w:hint="default" w:ascii="Times New Roman" w:hAnsi="Times New Roman" w:cs="Times New Roman"/>
                <w:color w:val="000000"/>
                <w:sz w:val="24"/>
                <w:szCs w:val="24"/>
              </w:rPr>
              <w:t>表：</w:t>
            </w:r>
          </w:p>
          <w:p w14:paraId="44296B81">
            <w:pPr>
              <w:adjustRightInd w:val="0"/>
              <w:snapToGrid w:val="0"/>
              <w:spacing w:line="360" w:lineRule="auto"/>
              <w:ind w:firstLine="630" w:firstLineChars="300"/>
              <w:rPr>
                <w:rFonts w:hint="default" w:ascii="Times New Roman" w:hAnsi="Times New Roman" w:cs="Times New Roman"/>
                <w:color w:val="000000"/>
                <w:szCs w:val="21"/>
              </w:rPr>
            </w:pPr>
            <w:r>
              <w:rPr>
                <w:rFonts w:hint="default" w:ascii="Times New Roman" w:hAnsi="Times New Roman" w:eastAsia="宋体" w:cs="Times New Roman"/>
                <w:color w:val="000000"/>
                <w:position w:val="-10"/>
                <w:lang w:eastAsia="zh-CN"/>
              </w:rPr>
              <w:object>
                <v:shape id="_x0000_i1034" o:spt="75" type="#_x0000_t75" style="height:18pt;width:117pt;" o:ole="t" filled="f" o:preferrelative="t" stroked="f" coordsize="21600,21600">
                  <v:path/>
                  <v:fill on="f" focussize="0,0"/>
                  <v:stroke on="f"/>
                  <v:imagedata r:id="rId49" o:title=""/>
                  <o:lock v:ext="edit" aspectratio="t"/>
                  <w10:wrap type="none"/>
                  <w10:anchorlock/>
                </v:shape>
                <o:OLEObject Type="Embed" ProgID="Equation.KSEE3" ShapeID="_x0000_i1034" DrawAspect="Content" ObjectID="_1468075734" r:id="rId48">
                  <o:LockedField>false</o:LockedField>
                </o:OLEObject>
              </w:object>
            </w:r>
          </w:p>
          <w:p w14:paraId="16F2EE40">
            <w:pPr>
              <w:pStyle w:val="43"/>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m-涂料总用量（t/a);</w:t>
            </w:r>
          </w:p>
          <w:p w14:paraId="545E9A6E">
            <w:pPr>
              <w:pStyle w:val="43"/>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ρ-涂料密度（g/cm</w:t>
            </w:r>
            <w:r>
              <w:rPr>
                <w:rFonts w:hint="default" w:ascii="Times New Roman" w:hAnsi="Times New Roman" w:eastAsia="宋体" w:cs="Times New Roman"/>
                <w:color w:val="000000"/>
                <w:sz w:val="24"/>
                <w:szCs w:val="24"/>
                <w:vertAlign w:val="superscript"/>
                <w:lang w:val="en-US" w:eastAsia="zh-CN"/>
              </w:rPr>
              <w:t>3</w:t>
            </w:r>
            <w:r>
              <w:rPr>
                <w:rFonts w:hint="default" w:ascii="Times New Roman" w:hAnsi="Times New Roman" w:eastAsia="宋体" w:cs="Times New Roman"/>
                <w:color w:val="000000"/>
                <w:sz w:val="24"/>
                <w:szCs w:val="24"/>
                <w:lang w:val="en-US" w:eastAsia="zh-CN"/>
              </w:rPr>
              <w:t>）；</w:t>
            </w:r>
          </w:p>
          <w:p w14:paraId="187F47EA">
            <w:pPr>
              <w:pStyle w:val="43"/>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δ-涂层厚度（um）；</w:t>
            </w:r>
          </w:p>
          <w:p w14:paraId="02FEB2B9">
            <w:pPr>
              <w:pStyle w:val="43"/>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S-涂层总面积（m</w:t>
            </w:r>
            <w:r>
              <w:rPr>
                <w:rFonts w:hint="default" w:ascii="Times New Roman" w:hAnsi="Times New Roman" w:eastAsia="宋体" w:cs="Times New Roman"/>
                <w:color w:val="000000"/>
                <w:sz w:val="24"/>
                <w:szCs w:val="24"/>
                <w:vertAlign w:val="superscript"/>
                <w:lang w:val="en-US" w:eastAsia="zh-CN"/>
              </w:rPr>
              <w:t>2</w:t>
            </w:r>
            <w:r>
              <w:rPr>
                <w:rFonts w:hint="default" w:ascii="Times New Roman" w:hAnsi="Times New Roman" w:eastAsia="宋体" w:cs="Times New Roman"/>
                <w:color w:val="000000"/>
                <w:sz w:val="24"/>
                <w:szCs w:val="24"/>
                <w:lang w:val="en-US" w:eastAsia="zh-CN"/>
              </w:rPr>
              <w:t>/年）；</w:t>
            </w:r>
          </w:p>
          <w:p w14:paraId="20A8507A">
            <w:pPr>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NV-</w:t>
            </w:r>
            <w:r>
              <w:rPr>
                <w:rFonts w:hint="default" w:ascii="Times New Roman" w:hAnsi="Times New Roman" w:cs="Times New Roman"/>
                <w:color w:val="000000"/>
                <w:sz w:val="24"/>
                <w:szCs w:val="24"/>
                <w:lang w:val="en-US" w:eastAsia="zh-CN"/>
              </w:rPr>
              <w:t>涂料中</w:t>
            </w:r>
            <w:r>
              <w:rPr>
                <w:rFonts w:hint="default" w:ascii="Times New Roman" w:hAnsi="Times New Roman" w:cs="Times New Roman"/>
                <w:color w:val="000000"/>
                <w:sz w:val="24"/>
                <w:szCs w:val="24"/>
                <w:lang w:eastAsia="zh-CN"/>
              </w:rPr>
              <w:t>固体分</w:t>
            </w:r>
            <w:r>
              <w:rPr>
                <w:rFonts w:hint="default" w:ascii="Times New Roman" w:hAnsi="Times New Roman" w:cs="Times New Roman"/>
                <w:color w:val="000000"/>
                <w:sz w:val="24"/>
                <w:szCs w:val="24"/>
                <w:lang w:val="en-US" w:eastAsia="zh-CN"/>
              </w:rPr>
              <w:t>。</w:t>
            </w:r>
          </w:p>
          <w:p w14:paraId="7A0F76B5">
            <w:pPr>
              <w:pStyle w:val="43"/>
              <w:keepNext w:val="0"/>
              <w:keepLines w:val="0"/>
              <w:pageBreakBefore w:val="0"/>
              <w:widowControl w:val="0"/>
              <w:kinsoku/>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ε-涂料利用率。</w:t>
            </w:r>
          </w:p>
          <w:p w14:paraId="4EFC5C0E">
            <w:pPr>
              <w:adjustRightInd w:val="0"/>
              <w:snapToGrid w:val="0"/>
              <w:spacing w:line="240" w:lineRule="auto"/>
              <w:jc w:val="center"/>
              <w:rPr>
                <w:rFonts w:hint="default" w:ascii="Times New Roman" w:hAnsi="Times New Roman" w:cs="Times New Roman"/>
                <w:b/>
                <w:color w:val="000000"/>
                <w:sz w:val="21"/>
                <w:szCs w:val="21"/>
              </w:rPr>
            </w:pPr>
            <w:r>
              <w:rPr>
                <w:rFonts w:hint="default" w:ascii="Times New Roman" w:hAnsi="Times New Roman" w:cs="Times New Roman"/>
                <w:b/>
                <w:color w:val="000000"/>
                <w:sz w:val="21"/>
                <w:szCs w:val="21"/>
              </w:rPr>
              <w:t>表</w:t>
            </w:r>
            <w:r>
              <w:rPr>
                <w:rFonts w:hint="default" w:ascii="Times New Roman" w:hAnsi="Times New Roman" w:cs="Times New Roman"/>
                <w:b/>
                <w:color w:val="000000"/>
                <w:sz w:val="21"/>
                <w:szCs w:val="21"/>
                <w:lang w:val="en-US" w:eastAsia="zh-CN"/>
              </w:rPr>
              <w:t>4.6-8</w:t>
            </w:r>
            <w:r>
              <w:rPr>
                <w:rFonts w:hint="default" w:ascii="Times New Roman" w:hAnsi="Times New Roman" w:cs="Times New Roman"/>
                <w:b/>
                <w:color w:val="000000"/>
                <w:sz w:val="21"/>
                <w:szCs w:val="21"/>
              </w:rPr>
              <w:t xml:space="preserve"> </w:t>
            </w:r>
            <w:r>
              <w:rPr>
                <w:rFonts w:hint="default" w:ascii="Times New Roman" w:hAnsi="Times New Roman" w:cs="Times New Roman"/>
                <w:b/>
                <w:color w:val="000000"/>
                <w:sz w:val="21"/>
                <w:szCs w:val="21"/>
                <w:lang w:val="en-US" w:eastAsia="zh-CN"/>
              </w:rPr>
              <w:t xml:space="preserve">  本项目涂装线静电喷涂粉末用量</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0"/>
              <w:gridCol w:w="1291"/>
              <w:gridCol w:w="1066"/>
              <w:gridCol w:w="1326"/>
              <w:gridCol w:w="956"/>
              <w:gridCol w:w="956"/>
              <w:gridCol w:w="1592"/>
            </w:tblGrid>
            <w:tr w14:paraId="4BE7B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621" w:type="pct"/>
                  <w:noWrap w:val="0"/>
                  <w:vAlign w:val="center"/>
                </w:tcPr>
                <w:p w14:paraId="772E081D">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生产线</w:t>
                  </w:r>
                </w:p>
              </w:tc>
              <w:tc>
                <w:tcPr>
                  <w:tcW w:w="786" w:type="pct"/>
                  <w:noWrap w:val="0"/>
                  <w:vAlign w:val="center"/>
                </w:tcPr>
                <w:p w14:paraId="69A3C825">
                  <w:pPr>
                    <w:adjustRightInd w:val="0"/>
                    <w:snapToGrid w:val="0"/>
                    <w:spacing w:line="240" w:lineRule="auto"/>
                    <w:jc w:val="center"/>
                    <w:rPr>
                      <w:rFonts w:hint="default" w:ascii="Times New Roman" w:hAnsi="Times New Roman" w:cs="Times New Roman"/>
                      <w:color w:val="000000"/>
                      <w:sz w:val="21"/>
                      <w:szCs w:val="21"/>
                      <w:lang w:val="en-US" w:eastAsia="zh-CN"/>
                    </w:rPr>
                  </w:pPr>
                  <w:r>
                    <w:rPr>
                      <w:rFonts w:hint="default" w:ascii="Times New Roman" w:hAnsi="Times New Roman" w:cs="Times New Roman"/>
                      <w:color w:val="000000"/>
                      <w:sz w:val="21"/>
                      <w:szCs w:val="21"/>
                      <w:lang w:val="en-US" w:eastAsia="zh-CN"/>
                    </w:rPr>
                    <w:t>S</w:t>
                  </w:r>
                </w:p>
                <w:p w14:paraId="15298E20">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2</w:t>
                  </w:r>
                  <w:r>
                    <w:rPr>
                      <w:rFonts w:hint="default" w:ascii="Times New Roman" w:hAnsi="Times New Roman" w:cs="Times New Roman"/>
                      <w:color w:val="000000"/>
                      <w:sz w:val="21"/>
                      <w:szCs w:val="21"/>
                      <w:vertAlign w:val="baseline"/>
                      <w:lang w:val="en-US" w:eastAsia="zh-CN"/>
                    </w:rPr>
                    <w:t>/年</w:t>
                  </w:r>
                  <w:r>
                    <w:rPr>
                      <w:rFonts w:hint="default" w:ascii="Times New Roman" w:hAnsi="Times New Roman" w:cs="Times New Roman"/>
                      <w:color w:val="000000"/>
                      <w:sz w:val="21"/>
                      <w:szCs w:val="21"/>
                    </w:rPr>
                    <w:t>）</w:t>
                  </w:r>
                </w:p>
              </w:tc>
              <w:tc>
                <w:tcPr>
                  <w:tcW w:w="649" w:type="pct"/>
                  <w:noWrap w:val="0"/>
                  <w:vAlign w:val="center"/>
                </w:tcPr>
                <w:p w14:paraId="27B83601">
                  <w:pPr>
                    <w:adjustRightInd w:val="0"/>
                    <w:snapToGrid w:val="0"/>
                    <w:spacing w:line="240" w:lineRule="auto"/>
                    <w:jc w:val="center"/>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δ</w:t>
                  </w:r>
                </w:p>
                <w:p w14:paraId="1A6BBEDC">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（um）</w:t>
                  </w:r>
                </w:p>
              </w:tc>
              <w:tc>
                <w:tcPr>
                  <w:tcW w:w="807" w:type="pct"/>
                  <w:noWrap w:val="0"/>
                  <w:vAlign w:val="center"/>
                </w:tcPr>
                <w:p w14:paraId="7DB6DDC6">
                  <w:pPr>
                    <w:adjustRightInd w:val="0"/>
                    <w:snapToGrid w:val="0"/>
                    <w:spacing w:line="240" w:lineRule="auto"/>
                    <w:jc w:val="center"/>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ρ</w:t>
                  </w:r>
                </w:p>
                <w:p w14:paraId="40C21068">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（g/</w:t>
                  </w:r>
                  <w:r>
                    <w:rPr>
                      <w:rFonts w:hint="default" w:ascii="Times New Roman" w:hAnsi="Times New Roman" w:cs="Times New Roman"/>
                      <w:color w:val="000000"/>
                      <w:sz w:val="21"/>
                      <w:szCs w:val="21"/>
                      <w:lang w:val="en-US" w:eastAsia="zh-CN"/>
                    </w:rPr>
                    <w:t>c</w:t>
                  </w:r>
                  <w:r>
                    <w:rPr>
                      <w:rFonts w:hint="default" w:ascii="Times New Roman" w:hAnsi="Times New Roman" w:cs="Times New Roman"/>
                      <w:color w:val="000000"/>
                      <w:sz w:val="21"/>
                      <w:szCs w:val="21"/>
                    </w:rPr>
                    <w:t>m</w:t>
                  </w:r>
                  <w:r>
                    <w:rPr>
                      <w:rFonts w:hint="default" w:ascii="Times New Roman" w:hAnsi="Times New Roman" w:cs="Times New Roman"/>
                      <w:color w:val="000000"/>
                      <w:sz w:val="21"/>
                      <w:szCs w:val="21"/>
                      <w:vertAlign w:val="superscript"/>
                    </w:rPr>
                    <w:t>3</w:t>
                  </w:r>
                  <w:r>
                    <w:rPr>
                      <w:rFonts w:hint="default" w:ascii="Times New Roman" w:hAnsi="Times New Roman" w:cs="Times New Roman"/>
                      <w:color w:val="000000"/>
                      <w:sz w:val="21"/>
                      <w:szCs w:val="21"/>
                    </w:rPr>
                    <w:t>）</w:t>
                  </w:r>
                </w:p>
              </w:tc>
              <w:tc>
                <w:tcPr>
                  <w:tcW w:w="582" w:type="pct"/>
                  <w:noWrap w:val="0"/>
                  <w:vAlign w:val="center"/>
                </w:tcPr>
                <w:p w14:paraId="5D9BB4F2">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NV</w:t>
                  </w:r>
                </w:p>
                <w:p w14:paraId="30BA1251">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582" w:type="pct"/>
                  <w:noWrap w:val="0"/>
                  <w:vAlign w:val="center"/>
                </w:tcPr>
                <w:p w14:paraId="66F4C63F">
                  <w:pPr>
                    <w:adjustRightInd w:val="0"/>
                    <w:snapToGrid w:val="0"/>
                    <w:spacing w:line="240" w:lineRule="auto"/>
                    <w:jc w:val="center"/>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ε</w:t>
                  </w:r>
                </w:p>
                <w:p w14:paraId="11A5E48D">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w:t>
                  </w:r>
                </w:p>
              </w:tc>
              <w:tc>
                <w:tcPr>
                  <w:tcW w:w="969" w:type="pct"/>
                  <w:noWrap w:val="0"/>
                  <w:vAlign w:val="center"/>
                </w:tcPr>
                <w:p w14:paraId="58E4E688">
                  <w:pPr>
                    <w:adjustRightInd w:val="0"/>
                    <w:snapToGrid w:val="0"/>
                    <w:spacing w:line="240" w:lineRule="auto"/>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用漆量（t/a）</w:t>
                  </w:r>
                </w:p>
              </w:tc>
            </w:tr>
            <w:tr w14:paraId="4386F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1" w:type="pct"/>
                  <w:noWrap w:val="0"/>
                  <w:vAlign w:val="center"/>
                </w:tcPr>
                <w:p w14:paraId="0C2B5D1A">
                  <w:pPr>
                    <w:adjustRightInd w:val="0"/>
                    <w:snapToGrid w:val="0"/>
                    <w:spacing w:line="240" w:lineRule="auto"/>
                    <w:jc w:val="center"/>
                    <w:rPr>
                      <w:rFonts w:hint="default" w:ascii="Times New Roman" w:hAnsi="Times New Roman" w:eastAsia="宋体" w:cs="Times New Roman"/>
                      <w:color w:val="000000"/>
                      <w:sz w:val="21"/>
                      <w:szCs w:val="21"/>
                      <w:lang w:eastAsia="zh-CN"/>
                    </w:rPr>
                  </w:pPr>
                  <w:r>
                    <w:rPr>
                      <w:rFonts w:hint="default" w:ascii="Times New Roman" w:hAnsi="Times New Roman" w:cs="Times New Roman"/>
                      <w:color w:val="000000"/>
                      <w:sz w:val="21"/>
                      <w:szCs w:val="21"/>
                      <w:lang w:val="en-US" w:eastAsia="zh-CN"/>
                    </w:rPr>
                    <w:t>喷粉</w:t>
                  </w:r>
                  <w:r>
                    <w:rPr>
                      <w:rFonts w:hint="default" w:ascii="Times New Roman" w:hAnsi="Times New Roman" w:cs="Times New Roman"/>
                      <w:color w:val="000000"/>
                      <w:sz w:val="21"/>
                      <w:szCs w:val="21"/>
                      <w:lang w:eastAsia="zh-CN"/>
                    </w:rPr>
                    <w:t>线</w:t>
                  </w:r>
                </w:p>
              </w:tc>
              <w:tc>
                <w:tcPr>
                  <w:tcW w:w="1267" w:type="dxa"/>
                  <w:noWrap w:val="0"/>
                  <w:vAlign w:val="center"/>
                </w:tcPr>
                <w:p w14:paraId="1565AF7E">
                  <w:pPr>
                    <w:keepNext w:val="0"/>
                    <w:keepLines w:val="0"/>
                    <w:widowControl/>
                    <w:suppressLineNumbers w:val="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121100</w:t>
                  </w:r>
                </w:p>
              </w:tc>
              <w:tc>
                <w:tcPr>
                  <w:tcW w:w="1046" w:type="dxa"/>
                  <w:noWrap w:val="0"/>
                  <w:vAlign w:val="center"/>
                </w:tcPr>
                <w:p w14:paraId="58DEF306">
                  <w:pPr>
                    <w:keepNext w:val="0"/>
                    <w:keepLines w:val="0"/>
                    <w:widowControl/>
                    <w:suppressLineNumbers w:val="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15-25</w:t>
                  </w:r>
                </w:p>
              </w:tc>
              <w:tc>
                <w:tcPr>
                  <w:tcW w:w="1301" w:type="dxa"/>
                  <w:noWrap w:val="0"/>
                  <w:vAlign w:val="center"/>
                </w:tcPr>
                <w:p w14:paraId="51681418">
                  <w:pPr>
                    <w:keepNext w:val="0"/>
                    <w:keepLines w:val="0"/>
                    <w:widowControl/>
                    <w:suppressLineNumbers w:val="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1.55</w:t>
                  </w:r>
                </w:p>
              </w:tc>
              <w:tc>
                <w:tcPr>
                  <w:tcW w:w="938" w:type="dxa"/>
                  <w:noWrap w:val="0"/>
                  <w:vAlign w:val="center"/>
                </w:tcPr>
                <w:p w14:paraId="4E991A7E">
                  <w:pPr>
                    <w:keepNext w:val="0"/>
                    <w:keepLines w:val="0"/>
                    <w:widowControl/>
                    <w:suppressLineNumbers w:val="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938" w:type="dxa"/>
                  <w:noWrap w:val="0"/>
                  <w:vAlign w:val="center"/>
                </w:tcPr>
                <w:p w14:paraId="6C84F725">
                  <w:pPr>
                    <w:keepNext w:val="0"/>
                    <w:keepLines w:val="0"/>
                    <w:widowControl/>
                    <w:suppressLineNumbers w:val="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cs="Times New Roman"/>
                      <w:i w:val="0"/>
                      <w:iCs w:val="0"/>
                      <w:color w:val="000000"/>
                      <w:kern w:val="0"/>
                      <w:sz w:val="21"/>
                      <w:szCs w:val="21"/>
                      <w:u w:val="none"/>
                      <w:lang w:val="en-US" w:eastAsia="zh-CN" w:bidi="ar"/>
                    </w:rPr>
                    <w:t>65</w:t>
                  </w:r>
                </w:p>
              </w:tc>
              <w:tc>
                <w:tcPr>
                  <w:tcW w:w="1562" w:type="dxa"/>
                  <w:noWrap w:val="0"/>
                  <w:vAlign w:val="center"/>
                </w:tcPr>
                <w:p w14:paraId="55623E17">
                  <w:pPr>
                    <w:keepNext w:val="0"/>
                    <w:keepLines w:val="0"/>
                    <w:widowControl/>
                    <w:suppressLineNumbers w:val="0"/>
                    <w:jc w:val="center"/>
                    <w:textAlignment w:val="center"/>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7.22 </w:t>
                  </w:r>
                </w:p>
              </w:tc>
            </w:tr>
          </w:tbl>
          <w:p w14:paraId="69B7A78E">
            <w:pPr>
              <w:pStyle w:val="43"/>
              <w:spacing w:line="240" w:lineRule="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备注：喷粉产品规模为70000只/年，统一按照YSP-118型号考虑，表面积为1.73m</w:t>
            </w:r>
            <w:r>
              <w:rPr>
                <w:rFonts w:hint="default" w:ascii="Times New Roman" w:hAnsi="Times New Roman" w:eastAsia="宋体" w:cs="Times New Roman"/>
                <w:color w:val="000000"/>
                <w:sz w:val="21"/>
                <w:szCs w:val="21"/>
                <w:vertAlign w:val="superscript"/>
                <w:lang w:val="en-US" w:eastAsia="zh-CN"/>
              </w:rPr>
              <w:t>2</w:t>
            </w:r>
            <w:r>
              <w:rPr>
                <w:rFonts w:hint="default" w:ascii="Times New Roman" w:hAnsi="Times New Roman" w:eastAsia="宋体" w:cs="Times New Roman"/>
                <w:color w:val="000000"/>
                <w:sz w:val="21"/>
                <w:szCs w:val="21"/>
                <w:lang w:val="en-US" w:eastAsia="zh-CN"/>
              </w:rPr>
              <w:t>/只；涂层厚度δ取最大值25um，粉末喷涂涂料附着率取值65%。</w:t>
            </w:r>
          </w:p>
          <w:p w14:paraId="75C91067">
            <w:pPr>
              <w:pStyle w:val="43"/>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sz w:val="24"/>
                <w:szCs w:val="24"/>
                <w:lang w:val="en-US" w:eastAsia="zh-CN"/>
              </w:rPr>
            </w:pPr>
            <w:r>
              <w:rPr>
                <w:rFonts w:hint="default" w:ascii="Times New Roman" w:hAnsi="Times New Roman" w:eastAsia="宋体" w:cs="Times New Roman"/>
                <w:color w:val="000000"/>
                <w:sz w:val="24"/>
                <w:szCs w:val="24"/>
                <w:lang w:val="en-US" w:eastAsia="zh-CN"/>
              </w:rPr>
              <w:t>2）喷塑废气</w:t>
            </w:r>
          </w:p>
          <w:p w14:paraId="0C1077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根据《排放源统计调查产排污核算方法和系数手册》中《33-37,431-434机械行业系数手册》系数表：粉末涂料-喷塑-颗粒物产污系数为300kg/t-涂料，项目塑粉消耗量7.22t/a，则颗粒物产生量为2.166t/a。</w:t>
            </w:r>
            <w:r>
              <w:rPr>
                <w:rFonts w:hint="default" w:ascii="Times New Roman" w:hAnsi="Times New Roman" w:eastAsia="宋体" w:cs="Times New Roman"/>
                <w:color w:val="000000"/>
                <w:kern w:val="2"/>
                <w:sz w:val="24"/>
                <w:szCs w:val="24"/>
                <w:lang w:val="en-US" w:eastAsia="zh-CN" w:bidi="ar"/>
              </w:rPr>
              <w:t>本项目设置1条喷粉生产线，</w:t>
            </w:r>
            <w:r>
              <w:rPr>
                <w:rFonts w:hint="default" w:ascii="Times New Roman" w:hAnsi="Times New Roman" w:eastAsia="宋体" w:cs="Times New Roman"/>
                <w:b w:val="0"/>
                <w:bCs w:val="0"/>
                <w:color w:val="auto"/>
                <w:sz w:val="24"/>
                <w:szCs w:val="24"/>
                <w:highlight w:val="none"/>
                <w:lang w:val="en-US" w:eastAsia="zh-CN"/>
              </w:rPr>
              <w:t>每天喷塑时间12h，年工作300天，</w:t>
            </w:r>
            <w:r>
              <w:rPr>
                <w:rFonts w:hint="default" w:ascii="Times New Roman" w:hAnsi="Times New Roman" w:eastAsia="宋体" w:cs="Times New Roman"/>
                <w:color w:val="000000"/>
                <w:kern w:val="2"/>
                <w:sz w:val="24"/>
                <w:szCs w:val="24"/>
                <w:lang w:val="en-US" w:eastAsia="zh-CN" w:bidi="ar"/>
              </w:rPr>
              <w:t>年作业时间3600h。</w:t>
            </w:r>
            <w:r>
              <w:rPr>
                <w:rFonts w:hint="default" w:ascii="Times New Roman" w:hAnsi="Times New Roman" w:eastAsia="宋体" w:cs="Times New Roman"/>
                <w:b w:val="0"/>
                <w:bCs w:val="0"/>
                <w:color w:val="auto"/>
                <w:sz w:val="24"/>
                <w:szCs w:val="24"/>
                <w:highlight w:val="none"/>
                <w:lang w:val="en-US" w:eastAsia="zh-CN"/>
              </w:rPr>
              <w:t>喷塑过程位于密闭的喷粉柜内，产生的喷塑</w:t>
            </w:r>
            <w:r>
              <w:rPr>
                <w:rFonts w:hint="default" w:ascii="Times New Roman" w:hAnsi="Times New Roman" w:eastAsia="宋体" w:cs="Times New Roman"/>
                <w:color w:val="000000"/>
                <w:kern w:val="2"/>
                <w:sz w:val="24"/>
                <w:szCs w:val="24"/>
                <w:lang w:val="en-US" w:eastAsia="zh-CN" w:bidi="ar"/>
              </w:rPr>
              <w:t>喷粉</w:t>
            </w:r>
            <w:r>
              <w:rPr>
                <w:rFonts w:hint="default" w:ascii="Times New Roman" w:hAnsi="Times New Roman" w:eastAsia="宋体" w:cs="Times New Roman"/>
                <w:b w:val="0"/>
                <w:bCs w:val="0"/>
                <w:color w:val="auto"/>
                <w:sz w:val="24"/>
                <w:szCs w:val="24"/>
                <w:highlight w:val="none"/>
                <w:lang w:val="en-US" w:eastAsia="zh-CN"/>
              </w:rPr>
              <w:t>通过引风收集后，经</w:t>
            </w:r>
            <w:r>
              <w:rPr>
                <w:rFonts w:hint="default" w:ascii="Times New Roman" w:hAnsi="Times New Roman" w:eastAsia="宋体" w:cs="Times New Roman"/>
                <w:color w:val="000000"/>
                <w:kern w:val="2"/>
                <w:sz w:val="24"/>
                <w:szCs w:val="24"/>
                <w:lang w:val="en-US" w:eastAsia="zh-CN" w:bidi="ar"/>
              </w:rPr>
              <w:t>自带的滤芯过滤装置</w:t>
            </w:r>
            <w:r>
              <w:rPr>
                <w:rFonts w:hint="default" w:ascii="Times New Roman" w:hAnsi="Times New Roman" w:eastAsia="宋体" w:cs="Times New Roman"/>
                <w:b w:val="0"/>
                <w:bCs w:val="0"/>
                <w:color w:val="auto"/>
                <w:sz w:val="24"/>
                <w:szCs w:val="24"/>
                <w:highlight w:val="none"/>
                <w:lang w:val="en-US" w:eastAsia="zh-CN"/>
              </w:rPr>
              <w:t>回收系统除尘后，通过15m高排气筒</w:t>
            </w:r>
            <w:r>
              <w:rPr>
                <w:rFonts w:hint="eastAsia" w:cs="Times New Roman"/>
                <w:b w:val="0"/>
                <w:bCs w:val="0"/>
                <w:color w:val="auto"/>
                <w:sz w:val="24"/>
                <w:szCs w:val="24"/>
                <w:highlight w:val="none"/>
                <w:lang w:val="en-US" w:eastAsia="zh-CN"/>
              </w:rPr>
              <w:t>（DA001）</w:t>
            </w:r>
            <w:r>
              <w:rPr>
                <w:rFonts w:hint="default" w:ascii="Times New Roman" w:hAnsi="Times New Roman" w:eastAsia="宋体" w:cs="Times New Roman"/>
                <w:b w:val="0"/>
                <w:bCs w:val="0"/>
                <w:color w:val="auto"/>
                <w:sz w:val="24"/>
                <w:szCs w:val="24"/>
                <w:highlight w:val="none"/>
                <w:lang w:val="en-US" w:eastAsia="zh-CN"/>
              </w:rPr>
              <w:t>排放。粉尘回收收集系统设计风机风量为</w:t>
            </w:r>
            <w:r>
              <w:rPr>
                <w:rFonts w:hint="default" w:ascii="Times New Roman" w:hAnsi="Times New Roman"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000m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/h，集气效率99%，粉尘回收效率为95%，则经处理后喷塑线有组织颗粒物排放量为0.107t/a，排放速率0.030kg/h，排放浓度</w:t>
            </w:r>
            <w:r>
              <w:rPr>
                <w:rFonts w:hint="default" w:ascii="Times New Roman" w:hAnsi="Times New Roman" w:cs="Times New Roman"/>
                <w:b w:val="0"/>
                <w:bCs w:val="0"/>
                <w:color w:val="auto"/>
                <w:sz w:val="24"/>
                <w:szCs w:val="24"/>
                <w:highlight w:val="none"/>
                <w:lang w:val="en-US" w:eastAsia="zh-CN"/>
              </w:rPr>
              <w:t>14.89</w:t>
            </w:r>
            <w:r>
              <w:rPr>
                <w:rFonts w:hint="default" w:ascii="Times New Roman" w:hAnsi="Times New Roman" w:eastAsia="宋体" w:cs="Times New Roman"/>
                <w:b w:val="0"/>
                <w:bCs w:val="0"/>
                <w:color w:val="auto"/>
                <w:sz w:val="24"/>
                <w:szCs w:val="24"/>
                <w:highlight w:val="none"/>
                <w:lang w:val="en-US" w:eastAsia="zh-CN"/>
              </w:rPr>
              <w:t>mg/m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无组织废气颗粒物产生量为0.022t/a，在车间内部分沉降后，无组织排放，沉降效率按60%计，无组织排放量为0.009t/a，排放速率为0.002kg/h。</w:t>
            </w:r>
          </w:p>
          <w:p w14:paraId="3EDF4D67">
            <w:pPr>
              <w:pStyle w:val="4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根据</w:t>
            </w:r>
            <w:r>
              <w:rPr>
                <w:rFonts w:hint="default" w:ascii="Times New Roman" w:hAnsi="Times New Roman" w:eastAsia="宋体" w:cs="Times New Roman"/>
                <w:b w:val="0"/>
                <w:bCs w:val="0"/>
                <w:color w:val="auto"/>
                <w:sz w:val="24"/>
                <w:szCs w:val="24"/>
                <w:highlight w:val="none"/>
                <w:lang w:val="en-US" w:eastAsia="zh-CN"/>
              </w:rPr>
              <w:t>《排放源统计调查产排污核算方法和系数手册》中《33-37.431-434机械行业系数手册》系数表--粉末涂料-喷塑，喷塑粉尘采用袋式除尘</w:t>
            </w:r>
            <w:r>
              <w:rPr>
                <w:rFonts w:hint="default" w:ascii="Times New Roman" w:hAnsi="Times New Roman" w:cs="Times New Roman"/>
                <w:b w:val="0"/>
                <w:bCs w:val="0"/>
                <w:color w:val="auto"/>
                <w:sz w:val="24"/>
                <w:szCs w:val="24"/>
                <w:highlight w:val="none"/>
                <w:lang w:val="en-US" w:eastAsia="zh-CN"/>
              </w:rPr>
              <w:t>为推荐末端治理技术，除尘效率建议取值为95%。因此，</w:t>
            </w:r>
            <w:r>
              <w:rPr>
                <w:rFonts w:hint="default" w:ascii="Times New Roman" w:hAnsi="Times New Roman" w:eastAsia="宋体" w:cs="Times New Roman"/>
                <w:b w:val="0"/>
                <w:bCs w:val="0"/>
                <w:color w:val="auto"/>
                <w:sz w:val="24"/>
                <w:szCs w:val="24"/>
                <w:highlight w:val="none"/>
                <w:lang w:val="en-US" w:eastAsia="zh-CN"/>
              </w:rPr>
              <w:t>喷塑粉尘采用袋式除尘属于可行技术。</w:t>
            </w:r>
          </w:p>
          <w:p w14:paraId="424615F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i w:val="0"/>
                <w:iCs w:val="0"/>
                <w:color w:val="auto"/>
                <w:sz w:val="24"/>
                <w:szCs w:val="24"/>
                <w:highlight w:val="none"/>
                <w:lang w:val="en-US" w:eastAsia="zh-CN"/>
              </w:rPr>
            </w:pPr>
            <w:r>
              <w:rPr>
                <w:rFonts w:hint="default" w:ascii="Times New Roman" w:hAnsi="Times New Roman" w:eastAsia="宋体" w:cs="Times New Roman"/>
                <w:b/>
                <w:bCs/>
                <w:i w:val="0"/>
                <w:iCs w:val="0"/>
                <w:color w:val="auto"/>
                <w:sz w:val="24"/>
                <w:szCs w:val="24"/>
                <w:highlight w:val="none"/>
                <w:lang w:val="en-US" w:eastAsia="zh-CN"/>
              </w:rPr>
              <w:t>（5）固化废气、丝印废气</w:t>
            </w:r>
          </w:p>
          <w:p w14:paraId="0EE01AE0">
            <w:pPr>
              <w:pStyle w:val="4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项目工件喷塑后需经烘道进行高温固化，该会产生少量有机废气（以非甲烷总烃计），根据《排放源统计调查产排污核算方法和系数手册》中《33-37.431-434机械行业系数手册》:粉末涂料-喷塑后烘干-挥发性有机物产污系数为1.20kg/t-涂料，本项目喷塑涂料用量为7.22t/a，则固化有机废气产生量为0.009t/a，初始源强为0.002kg/h。</w:t>
            </w:r>
          </w:p>
          <w:p w14:paraId="4812DF23">
            <w:pPr>
              <w:pStyle w:val="4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项目需在钢瓶产品表面印字，配套有1台丝印机（丝印版外购），使用已调配好的油墨，用量0.12t/a，其丝印和电加热烘干过程中产生有机废气，油墨成分中环己酮（65%）等有机溶剂全部挥发，产生的废气以非甲烷总烃计，产生量约0.078t/a，初始源强为0.022kg/h。</w:t>
            </w:r>
          </w:p>
          <w:p w14:paraId="613E6BA3">
            <w:pPr>
              <w:pStyle w:val="4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根据《挥发性有机物无组织排放控制标准（GB 37822-2019）》，</w:t>
            </w:r>
            <w:r>
              <w:rPr>
                <w:rFonts w:hint="default" w:ascii="Times New Roman" w:hAnsi="Times New Roman" w:cs="Times New Roman"/>
                <w:b w:val="0"/>
                <w:bCs w:val="0"/>
                <w:color w:val="auto"/>
                <w:sz w:val="24"/>
                <w:szCs w:val="24"/>
                <w:highlight w:val="none"/>
                <w:lang w:val="en-US" w:eastAsia="zh-CN"/>
              </w:rPr>
              <w:t>“7.2.1 VOCs 质量占比大于等于10%的含VOCs产品，其使用过程应采用密闭设备或在密闭空间内操作，废气应排至VOCs废气收集处理系统；无法密闭的，应采取局部气体收集措施，废气应排至VOC废气收集处理系统。含VOCs产品的使用过程包括但不限于以下作业:b)涂装(喷涂、浸涂、淋涂、辊涂、刷涂、涂布等)”；</w:t>
            </w:r>
            <w:r>
              <w:rPr>
                <w:rFonts w:hint="default" w:ascii="Times New Roman" w:hAnsi="Times New Roman" w:eastAsia="宋体" w:cs="Times New Roman"/>
                <w:b w:val="0"/>
                <w:bCs w:val="0"/>
                <w:color w:val="auto"/>
                <w:sz w:val="24"/>
                <w:szCs w:val="24"/>
                <w:highlight w:val="none"/>
                <w:lang w:val="en-US" w:eastAsia="zh-CN"/>
              </w:rPr>
              <w:t>“10.3 VOCs 排放控制要求-10.3.2 收集的废气中NMHC初始排放速率&gt;3 kg</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h 时，应配置 VOCs 处理设施，处理效率不应低于80%；对于重点地区，收集的废气中NMHC初始排放速率&gt;2kg</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h时，应配置VOCs处理设施，处理效率不应低于80%；采用的原辅材料符合国家有关低VOCs含量产品规定的除外。”</w:t>
            </w:r>
          </w:p>
          <w:p w14:paraId="50D1B159">
            <w:pPr>
              <w:pStyle w:val="4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本项目固化、丝印废气初始源强分别为0.002kg/h，0.022kg/h，均低于2kg/h，需对废气进行收集，不需配置处理设施。因此固化废气、丝印废气进行采用集气罩进行收集后，合并通过1根15m高的排气筒</w:t>
            </w:r>
            <w:r>
              <w:rPr>
                <w:rFonts w:hint="eastAsia" w:cs="Times New Roman"/>
                <w:b w:val="0"/>
                <w:bCs w:val="0"/>
                <w:color w:val="auto"/>
                <w:sz w:val="24"/>
                <w:szCs w:val="24"/>
                <w:highlight w:val="none"/>
                <w:lang w:val="en-US" w:eastAsia="zh-CN"/>
              </w:rPr>
              <w:t>（DA001）</w:t>
            </w:r>
            <w:r>
              <w:rPr>
                <w:rFonts w:hint="default" w:ascii="Times New Roman" w:hAnsi="Times New Roman" w:cs="Times New Roman"/>
                <w:b w:val="0"/>
                <w:bCs w:val="0"/>
                <w:color w:val="auto"/>
                <w:sz w:val="24"/>
                <w:szCs w:val="24"/>
                <w:highlight w:val="none"/>
                <w:lang w:val="en-US" w:eastAsia="zh-CN"/>
              </w:rPr>
              <w:t>直接排放，风量为1000</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/h，集气效率9</w:t>
            </w:r>
            <w:r>
              <w:rPr>
                <w:rFonts w:hint="default" w:ascii="Times New Roman" w:hAnsi="Times New Roman"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有组织排放浓度为22.87</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mg/m</w:t>
            </w:r>
            <w:r>
              <w:rPr>
                <w:rFonts w:hint="default" w:ascii="Times New Roman" w:hAnsi="Times New Roman"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cs="Times New Roman"/>
                <w:b w:val="0"/>
                <w:bCs w:val="0"/>
                <w:color w:val="auto"/>
                <w:sz w:val="24"/>
                <w:szCs w:val="24"/>
                <w:highlight w:val="none"/>
                <w:lang w:val="en-US" w:eastAsia="zh-CN"/>
              </w:rPr>
              <w:t>，排放速率为0.023kg/h，排放量为0.082t/a，无组织排排放速率为0.001kg/h，排放量为0.004t/a。废气污染物排放浓度满足《印刷工业大气污染物排放标准》（GB41616-2022）表1要求。</w:t>
            </w:r>
          </w:p>
          <w:p w14:paraId="518471C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i w:val="0"/>
                <w:iCs w:val="0"/>
                <w:color w:val="auto"/>
                <w:sz w:val="24"/>
                <w:szCs w:val="24"/>
                <w:highlight w:val="none"/>
                <w:lang w:val="en-US" w:eastAsia="zh-CN"/>
              </w:rPr>
            </w:pPr>
            <w:r>
              <w:rPr>
                <w:rFonts w:hint="default" w:ascii="Times New Roman" w:hAnsi="Times New Roman" w:eastAsia="宋体" w:cs="Times New Roman"/>
                <w:b/>
                <w:bCs/>
                <w:i w:val="0"/>
                <w:iCs w:val="0"/>
                <w:color w:val="auto"/>
                <w:sz w:val="24"/>
                <w:szCs w:val="24"/>
                <w:highlight w:val="none"/>
                <w:lang w:val="en-US" w:eastAsia="zh-CN"/>
              </w:rPr>
              <w:t>（6）恶臭</w:t>
            </w:r>
          </w:p>
          <w:p w14:paraId="0BCDC081">
            <w:pPr>
              <w:pStyle w:val="4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项目液化气残液含有微量加臭剂，在采用负压回收装置进行抽残回收的情况下，残液泄露量极小。</w:t>
            </w:r>
          </w:p>
          <w:p w14:paraId="54DBEA61">
            <w:pPr>
              <w:pStyle w:val="44"/>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根据对同类车间的现场踏勘，正常情况下车间内几乎闻不到气味。对照北京环境监测中心提出的恶臭6级分级法，项目车间内恶等级在1级左右，车间外未闻到有任何气味，恶臭等级在0级左右。车间内臭气浓度较低，加强车间通风后，无组织排放可满足《恶臭污染物排放标准》（GB14554-93）恶臭污染物表1中厂界标准。</w:t>
            </w:r>
          </w:p>
          <w:p w14:paraId="7375DD8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i w:val="0"/>
                <w:iCs w:val="0"/>
                <w:color w:val="auto"/>
                <w:sz w:val="24"/>
                <w:szCs w:val="24"/>
                <w:highlight w:val="none"/>
                <w:lang w:val="en-US" w:eastAsia="zh-CN"/>
              </w:rPr>
            </w:pPr>
            <w:r>
              <w:rPr>
                <w:rFonts w:hint="eastAsia" w:ascii="Times New Roman" w:hAnsi="Times New Roman" w:eastAsia="宋体" w:cs="Times New Roman"/>
                <w:b/>
                <w:bCs/>
                <w:i w:val="0"/>
                <w:iCs w:val="0"/>
                <w:color w:val="auto"/>
                <w:sz w:val="24"/>
                <w:szCs w:val="24"/>
                <w:highlight w:val="none"/>
                <w:lang w:val="en-US" w:eastAsia="zh-CN"/>
              </w:rPr>
              <w:t>（7）小结</w:t>
            </w:r>
          </w:p>
          <w:p w14:paraId="1E1EEA3D">
            <w:pPr>
              <w:pStyle w:val="44"/>
              <w:rPr>
                <w:rFonts w:hint="default" w:ascii="Times New Roman" w:hAnsi="Times New Roman" w:eastAsia="宋体" w:cs="Times New Roman"/>
                <w:b w:val="0"/>
                <w:bCs w:val="0"/>
                <w:color w:val="0000FF"/>
                <w:kern w:val="2"/>
                <w:sz w:val="24"/>
                <w:szCs w:val="24"/>
                <w:highlight w:val="none"/>
                <w:lang w:val="en-US" w:eastAsia="zh-CN" w:bidi="ar-SA"/>
              </w:rPr>
            </w:pPr>
            <w:r>
              <w:rPr>
                <w:rFonts w:hint="eastAsia" w:ascii="Times New Roman" w:hAnsi="Times New Roman" w:eastAsia="宋体" w:cs="Times New Roman"/>
                <w:b w:val="0"/>
                <w:bCs w:val="0"/>
                <w:color w:val="0000FF"/>
                <w:kern w:val="2"/>
                <w:sz w:val="24"/>
                <w:szCs w:val="24"/>
                <w:highlight w:val="none"/>
                <w:lang w:val="en-US" w:eastAsia="zh-CN" w:bidi="ar-SA"/>
              </w:rPr>
              <w:t>本项目气瓶检验站气瓶焚烧废气、抛丸废气、喷塑废气、固化/丝印废气经各自废气收集及净化设施处理后，尾气合并通过1根15m高排气筒（DA001）排放。</w:t>
            </w:r>
          </w:p>
          <w:p w14:paraId="064CFF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lang w:val="en-US" w:eastAsia="zh-CN"/>
              </w:rPr>
            </w:pPr>
            <w:r>
              <w:rPr>
                <w:rFonts w:hint="default" w:ascii="Times New Roman" w:hAnsi="Times New Roman" w:eastAsia="宋体" w:cs="Times New Roman"/>
                <w:b w:val="0"/>
                <w:bCs w:val="0"/>
                <w:color w:val="auto"/>
                <w:sz w:val="24"/>
                <w:szCs w:val="24"/>
                <w:highlight w:val="none"/>
                <w:lang w:val="en-US" w:eastAsia="zh-CN"/>
              </w:rPr>
              <w:t>本项目废气处理措施及产排污汇总见表4</w:t>
            </w:r>
            <w:r>
              <w:rPr>
                <w:rFonts w:hint="default" w:ascii="Times New Roman" w:hAnsi="Times New Roman" w:cs="Times New Roman"/>
                <w:b w:val="0"/>
                <w:bCs w:val="0"/>
                <w:color w:val="auto"/>
                <w:sz w:val="24"/>
                <w:szCs w:val="24"/>
                <w:highlight w:val="none"/>
                <w:lang w:val="en-US" w:eastAsia="zh-CN"/>
              </w:rPr>
              <w:t>.6</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9</w:t>
            </w:r>
            <w:r>
              <w:rPr>
                <w:rFonts w:hint="eastAsia" w:cs="Times New Roman"/>
                <w:b w:val="0"/>
                <w:bCs w:val="0"/>
                <w:color w:val="auto"/>
                <w:sz w:val="24"/>
                <w:szCs w:val="24"/>
                <w:highlight w:val="none"/>
                <w:lang w:val="en-US" w:eastAsia="zh-CN"/>
              </w:rPr>
              <w:t>、4.6-10</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污染源排放口参数见表4.6-1</w:t>
            </w:r>
            <w:r>
              <w:rPr>
                <w:rFonts w:hint="eastAsia" w:cs="Times New Roman"/>
                <w:b w:val="0"/>
                <w:bCs w:val="0"/>
                <w:color w:val="auto"/>
                <w:sz w:val="24"/>
                <w:szCs w:val="24"/>
                <w:highlight w:val="none"/>
                <w:lang w:val="en-US" w:eastAsia="zh-CN"/>
              </w:rPr>
              <w:t>1</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eastAsia="宋体" w:cs="Times New Roman"/>
                <w:b w:val="0"/>
                <w:bCs w:val="0"/>
                <w:color w:val="auto"/>
                <w:sz w:val="24"/>
                <w:szCs w:val="24"/>
                <w:highlight w:val="none"/>
                <w:lang w:val="en-US" w:eastAsia="zh-CN"/>
              </w:rPr>
              <w:t>大气污染物年排放量核算表见表4</w:t>
            </w:r>
            <w:r>
              <w:rPr>
                <w:rFonts w:hint="default" w:ascii="Times New Roman" w:hAnsi="Times New Roman" w:cs="Times New Roman"/>
                <w:b w:val="0"/>
                <w:bCs w:val="0"/>
                <w:color w:val="auto"/>
                <w:sz w:val="24"/>
                <w:szCs w:val="24"/>
                <w:highlight w:val="none"/>
                <w:lang w:val="en-US" w:eastAsia="zh-CN"/>
              </w:rPr>
              <w:t>.6</w:t>
            </w:r>
            <w:r>
              <w:rPr>
                <w:rFonts w:hint="default" w:ascii="Times New Roman" w:hAnsi="Times New Roman" w:eastAsia="宋体" w:cs="Times New Roman"/>
                <w:b w:val="0"/>
                <w:bCs w:val="0"/>
                <w:color w:val="auto"/>
                <w:sz w:val="24"/>
                <w:szCs w:val="24"/>
                <w:highlight w:val="none"/>
                <w:lang w:val="en-US" w:eastAsia="zh-CN"/>
              </w:rPr>
              <w:t>-</w:t>
            </w:r>
            <w:r>
              <w:rPr>
                <w:rFonts w:hint="default" w:ascii="Times New Roman" w:hAnsi="Times New Roman" w:cs="Times New Roman"/>
                <w:b w:val="0"/>
                <w:bCs w:val="0"/>
                <w:color w:val="auto"/>
                <w:sz w:val="24"/>
                <w:szCs w:val="24"/>
                <w:highlight w:val="none"/>
                <w:lang w:val="en-US" w:eastAsia="zh-CN"/>
              </w:rPr>
              <w:t>1</w:t>
            </w:r>
            <w:r>
              <w:rPr>
                <w:rFonts w:hint="eastAsia"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w:t>
            </w:r>
          </w:p>
        </w:tc>
      </w:tr>
    </w:tbl>
    <w:p w14:paraId="657AA780">
      <w:pPr>
        <w:adjustRightInd w:val="0"/>
        <w:snapToGrid w:val="0"/>
        <w:spacing w:line="360" w:lineRule="auto"/>
        <w:rPr>
          <w:rFonts w:hint="default" w:ascii="Times New Roman" w:hAnsi="Times New Roman" w:cs="Times New Roman"/>
          <w:b/>
          <w:color w:val="auto"/>
          <w:kern w:val="0"/>
          <w:sz w:val="28"/>
          <w:szCs w:val="28"/>
        </w:rPr>
        <w:sectPr>
          <w:pgSz w:w="11907" w:h="16840"/>
          <w:pgMar w:top="1701" w:right="1531" w:bottom="1729"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1"/>
        <w:gridCol w:w="12607"/>
      </w:tblGrid>
      <w:tr w14:paraId="23AC0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7" w:hRule="atLeast"/>
        </w:trPr>
        <w:tc>
          <w:tcPr>
            <w:tcW w:w="621" w:type="dxa"/>
          </w:tcPr>
          <w:p w14:paraId="54D28551">
            <w:pPr>
              <w:pStyle w:val="44"/>
              <w:rPr>
                <w:rFonts w:hint="default" w:ascii="Times New Roman" w:hAnsi="Times New Roman" w:cs="Times New Roman"/>
                <w:vertAlign w:val="baseline"/>
              </w:rPr>
            </w:pPr>
          </w:p>
        </w:tc>
        <w:tc>
          <w:tcPr>
            <w:tcW w:w="12607" w:type="dxa"/>
          </w:tcPr>
          <w:p w14:paraId="5E1529CB">
            <w:pPr>
              <w:pStyle w:val="44"/>
              <w:jc w:val="center"/>
              <w:rPr>
                <w:rFonts w:hint="default" w:ascii="Times New Roman" w:hAnsi="Times New Roman" w:eastAsia="宋体" w:cs="Times New Roman"/>
                <w:b/>
                <w:bCs/>
                <w:sz w:val="21"/>
                <w:szCs w:val="20"/>
                <w:vertAlign w:val="baseline"/>
                <w:lang w:val="en-US" w:eastAsia="zh-CN"/>
              </w:rPr>
            </w:pPr>
            <w:r>
              <w:rPr>
                <w:rFonts w:hint="default" w:ascii="Times New Roman" w:hAnsi="Times New Roman" w:cs="Times New Roman"/>
                <w:b/>
                <w:bCs/>
                <w:sz w:val="21"/>
                <w:szCs w:val="20"/>
                <w:vertAlign w:val="baseline"/>
                <w:lang w:val="en-US" w:eastAsia="zh-CN"/>
              </w:rPr>
              <w:t>表4.6-9  本项目废气</w:t>
            </w:r>
            <w:r>
              <w:rPr>
                <w:rFonts w:hint="eastAsia" w:cs="Times New Roman"/>
                <w:b/>
                <w:bCs/>
                <w:sz w:val="21"/>
                <w:szCs w:val="20"/>
                <w:vertAlign w:val="baseline"/>
                <w:lang w:val="en-US" w:eastAsia="zh-CN"/>
              </w:rPr>
              <w:t>有组织</w:t>
            </w:r>
            <w:r>
              <w:rPr>
                <w:rFonts w:hint="default" w:ascii="Times New Roman" w:hAnsi="Times New Roman" w:cs="Times New Roman"/>
                <w:b/>
                <w:bCs/>
                <w:sz w:val="21"/>
                <w:szCs w:val="20"/>
                <w:vertAlign w:val="baseline"/>
                <w:lang w:val="en-US" w:eastAsia="zh-CN"/>
              </w:rPr>
              <w:t>污染源源强核算结果汇总表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29"/>
              <w:gridCol w:w="640"/>
              <w:gridCol w:w="569"/>
              <w:gridCol w:w="374"/>
              <w:gridCol w:w="374"/>
              <w:gridCol w:w="707"/>
              <w:gridCol w:w="918"/>
              <w:gridCol w:w="1099"/>
              <w:gridCol w:w="725"/>
              <w:gridCol w:w="725"/>
              <w:gridCol w:w="725"/>
              <w:gridCol w:w="832"/>
              <w:gridCol w:w="536"/>
              <w:gridCol w:w="707"/>
              <w:gridCol w:w="918"/>
              <w:gridCol w:w="1099"/>
              <w:gridCol w:w="804"/>
            </w:tblGrid>
            <w:tr w14:paraId="426CC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29" w:type="dxa"/>
                  <w:vMerge w:val="restart"/>
                  <w:vAlign w:val="center"/>
                </w:tcPr>
                <w:p w14:paraId="0247C27D">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工序</w:t>
                  </w:r>
                </w:p>
              </w:tc>
              <w:tc>
                <w:tcPr>
                  <w:tcW w:w="640" w:type="dxa"/>
                  <w:vMerge w:val="restart"/>
                  <w:vAlign w:val="center"/>
                </w:tcPr>
                <w:p w14:paraId="6E23F5AC">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污染源</w:t>
                  </w:r>
                </w:p>
              </w:tc>
              <w:tc>
                <w:tcPr>
                  <w:tcW w:w="569" w:type="dxa"/>
                  <w:vMerge w:val="restart"/>
                  <w:vAlign w:val="center"/>
                </w:tcPr>
                <w:p w14:paraId="7695DE2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污染物</w:t>
                  </w:r>
                </w:p>
              </w:tc>
              <w:tc>
                <w:tcPr>
                  <w:tcW w:w="374" w:type="dxa"/>
                  <w:vMerge w:val="restart"/>
                  <w:vAlign w:val="center"/>
                </w:tcPr>
                <w:p w14:paraId="6C10D88F">
                  <w:pPr>
                    <w:pStyle w:val="40"/>
                    <w:bidi w:val="0"/>
                    <w:rPr>
                      <w:rFonts w:hint="default" w:ascii="Times New Roman" w:hAnsi="Times New Roman" w:cs="Times New Roman"/>
                      <w:lang w:val="en-US" w:eastAsia="zh-CN"/>
                    </w:rPr>
                  </w:pPr>
                  <w:r>
                    <w:rPr>
                      <w:rFonts w:hint="eastAsia" w:cs="Times New Roman"/>
                      <w:lang w:val="en-US" w:eastAsia="zh-CN"/>
                    </w:rPr>
                    <w:t>核算方法</w:t>
                  </w:r>
                </w:p>
              </w:tc>
              <w:tc>
                <w:tcPr>
                  <w:tcW w:w="374" w:type="dxa"/>
                  <w:vMerge w:val="restart"/>
                  <w:vAlign w:val="center"/>
                </w:tcPr>
                <w:p w14:paraId="5194F734">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排放形式</w:t>
                  </w:r>
                </w:p>
              </w:tc>
              <w:tc>
                <w:tcPr>
                  <w:tcW w:w="2724" w:type="dxa"/>
                  <w:gridSpan w:val="3"/>
                  <w:vAlign w:val="center"/>
                </w:tcPr>
                <w:p w14:paraId="10DBFEF0">
                  <w:pPr>
                    <w:pStyle w:val="40"/>
                    <w:bidi w:val="0"/>
                    <w:rPr>
                      <w:rFonts w:hint="default" w:ascii="Times New Roman" w:hAnsi="Times New Roman" w:cs="Times New Roman"/>
                    </w:rPr>
                  </w:pPr>
                  <w:r>
                    <w:rPr>
                      <w:rFonts w:hint="default" w:ascii="Times New Roman" w:hAnsi="Times New Roman" w:cs="Times New Roman"/>
                      <w:lang w:val="en-US" w:eastAsia="zh-CN"/>
                    </w:rPr>
                    <w:t>产生情况</w:t>
                  </w:r>
                </w:p>
              </w:tc>
              <w:tc>
                <w:tcPr>
                  <w:tcW w:w="3543" w:type="dxa"/>
                  <w:gridSpan w:val="5"/>
                  <w:vAlign w:val="center"/>
                </w:tcPr>
                <w:p w14:paraId="4FB8D3E9">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污染防治措施</w:t>
                  </w:r>
                </w:p>
              </w:tc>
              <w:tc>
                <w:tcPr>
                  <w:tcW w:w="2724" w:type="dxa"/>
                  <w:gridSpan w:val="3"/>
                  <w:vAlign w:val="center"/>
                </w:tcPr>
                <w:p w14:paraId="7C82EACD">
                  <w:pPr>
                    <w:pStyle w:val="40"/>
                    <w:bidi w:val="0"/>
                    <w:rPr>
                      <w:rFonts w:hint="default" w:ascii="Times New Roman" w:hAnsi="Times New Roman" w:cs="Times New Roman"/>
                    </w:rPr>
                  </w:pPr>
                  <w:r>
                    <w:rPr>
                      <w:rFonts w:hint="default" w:ascii="Times New Roman" w:hAnsi="Times New Roman" w:cs="Times New Roman"/>
                      <w:lang w:val="en-US" w:eastAsia="zh-CN"/>
                    </w:rPr>
                    <w:t>排放情况</w:t>
                  </w:r>
                </w:p>
              </w:tc>
              <w:tc>
                <w:tcPr>
                  <w:tcW w:w="804" w:type="dxa"/>
                  <w:vMerge w:val="restart"/>
                  <w:vAlign w:val="center"/>
                </w:tcPr>
                <w:p w14:paraId="22C440BC">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排放时间（h/a）</w:t>
                  </w:r>
                </w:p>
              </w:tc>
            </w:tr>
            <w:tr w14:paraId="5DB64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Merge w:val="continue"/>
                  <w:vAlign w:val="center"/>
                </w:tcPr>
                <w:p w14:paraId="0E946DB7">
                  <w:pPr>
                    <w:pStyle w:val="40"/>
                    <w:bidi w:val="0"/>
                    <w:rPr>
                      <w:rFonts w:hint="default" w:ascii="Times New Roman" w:hAnsi="Times New Roman" w:cs="Times New Roman"/>
                    </w:rPr>
                  </w:pPr>
                </w:p>
              </w:tc>
              <w:tc>
                <w:tcPr>
                  <w:tcW w:w="640" w:type="dxa"/>
                  <w:vMerge w:val="continue"/>
                  <w:vAlign w:val="center"/>
                </w:tcPr>
                <w:p w14:paraId="52984DF8">
                  <w:pPr>
                    <w:pStyle w:val="40"/>
                    <w:bidi w:val="0"/>
                    <w:rPr>
                      <w:rFonts w:hint="default" w:ascii="Times New Roman" w:hAnsi="Times New Roman" w:cs="Times New Roman"/>
                    </w:rPr>
                  </w:pPr>
                </w:p>
              </w:tc>
              <w:tc>
                <w:tcPr>
                  <w:tcW w:w="569" w:type="dxa"/>
                  <w:vMerge w:val="continue"/>
                  <w:vAlign w:val="center"/>
                </w:tcPr>
                <w:p w14:paraId="449DE173">
                  <w:pPr>
                    <w:pStyle w:val="40"/>
                    <w:bidi w:val="0"/>
                    <w:rPr>
                      <w:rFonts w:hint="default" w:ascii="Times New Roman" w:hAnsi="Times New Roman" w:cs="Times New Roman"/>
                    </w:rPr>
                  </w:pPr>
                </w:p>
              </w:tc>
              <w:tc>
                <w:tcPr>
                  <w:tcW w:w="374" w:type="dxa"/>
                  <w:vMerge w:val="continue"/>
                  <w:vAlign w:val="center"/>
                </w:tcPr>
                <w:p w14:paraId="1D5BABDF">
                  <w:pPr>
                    <w:pStyle w:val="40"/>
                    <w:bidi w:val="0"/>
                    <w:rPr>
                      <w:rFonts w:hint="default" w:ascii="Times New Roman" w:hAnsi="Times New Roman" w:cs="Times New Roman"/>
                    </w:rPr>
                  </w:pPr>
                </w:p>
              </w:tc>
              <w:tc>
                <w:tcPr>
                  <w:tcW w:w="374" w:type="dxa"/>
                  <w:vMerge w:val="continue"/>
                  <w:vAlign w:val="center"/>
                </w:tcPr>
                <w:p w14:paraId="799646FD">
                  <w:pPr>
                    <w:pStyle w:val="40"/>
                    <w:bidi w:val="0"/>
                    <w:rPr>
                      <w:rFonts w:hint="default" w:ascii="Times New Roman" w:hAnsi="Times New Roman" w:cs="Times New Roman"/>
                    </w:rPr>
                  </w:pPr>
                </w:p>
              </w:tc>
              <w:tc>
                <w:tcPr>
                  <w:tcW w:w="707" w:type="dxa"/>
                  <w:vAlign w:val="center"/>
                </w:tcPr>
                <w:p w14:paraId="28862422">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产生量（t/a）</w:t>
                  </w:r>
                </w:p>
              </w:tc>
              <w:tc>
                <w:tcPr>
                  <w:tcW w:w="918" w:type="dxa"/>
                  <w:vAlign w:val="center"/>
                </w:tcPr>
                <w:p w14:paraId="67F8DA1C">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产生速率（kg/h）</w:t>
                  </w:r>
                </w:p>
              </w:tc>
              <w:tc>
                <w:tcPr>
                  <w:tcW w:w="1099" w:type="dxa"/>
                  <w:vAlign w:val="center"/>
                </w:tcPr>
                <w:p w14:paraId="2404A221">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产生浓度（mg/m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tc>
              <w:tc>
                <w:tcPr>
                  <w:tcW w:w="725" w:type="dxa"/>
                  <w:vAlign w:val="center"/>
                </w:tcPr>
                <w:p w14:paraId="270EF35B">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治理工艺</w:t>
                  </w:r>
                </w:p>
              </w:tc>
              <w:tc>
                <w:tcPr>
                  <w:tcW w:w="725" w:type="dxa"/>
                  <w:vAlign w:val="center"/>
                </w:tcPr>
                <w:p w14:paraId="14F0D1B1">
                  <w:pPr>
                    <w:pStyle w:val="40"/>
                    <w:bidi w:val="0"/>
                    <w:rPr>
                      <w:rFonts w:hint="default" w:ascii="Times New Roman" w:hAnsi="Times New Roman" w:cs="Times New Roman"/>
                    </w:rPr>
                  </w:pPr>
                  <w:r>
                    <w:rPr>
                      <w:rFonts w:hint="default" w:ascii="Times New Roman" w:hAnsi="Times New Roman" w:cs="Times New Roman"/>
                      <w:lang w:val="en-US" w:eastAsia="zh-CN"/>
                    </w:rPr>
                    <w:t>收集效率（%）</w:t>
                  </w:r>
                </w:p>
              </w:tc>
              <w:tc>
                <w:tcPr>
                  <w:tcW w:w="725" w:type="dxa"/>
                  <w:vAlign w:val="center"/>
                </w:tcPr>
                <w:p w14:paraId="344F60A5">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去除效率（%）</w:t>
                  </w:r>
                </w:p>
              </w:tc>
              <w:tc>
                <w:tcPr>
                  <w:tcW w:w="832" w:type="dxa"/>
                  <w:vAlign w:val="center"/>
                </w:tcPr>
                <w:p w14:paraId="6F1300B1">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风量（m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/h）</w:t>
                  </w:r>
                </w:p>
              </w:tc>
              <w:tc>
                <w:tcPr>
                  <w:tcW w:w="536" w:type="dxa"/>
                  <w:vAlign w:val="center"/>
                </w:tcPr>
                <w:p w14:paraId="1074F4D9">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是否为可行技术</w:t>
                  </w:r>
                </w:p>
              </w:tc>
              <w:tc>
                <w:tcPr>
                  <w:tcW w:w="707" w:type="dxa"/>
                  <w:shd w:val="clear" w:color="auto" w:fill="auto"/>
                  <w:vAlign w:val="center"/>
                </w:tcPr>
                <w:p w14:paraId="141869D8">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排放量（t/a）</w:t>
                  </w:r>
                </w:p>
              </w:tc>
              <w:tc>
                <w:tcPr>
                  <w:tcW w:w="918" w:type="dxa"/>
                  <w:shd w:val="clear" w:color="auto" w:fill="auto"/>
                  <w:vAlign w:val="center"/>
                </w:tcPr>
                <w:p w14:paraId="5B3074D0">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排放速率（kg/h）</w:t>
                  </w:r>
                </w:p>
              </w:tc>
              <w:tc>
                <w:tcPr>
                  <w:tcW w:w="1099" w:type="dxa"/>
                  <w:shd w:val="clear" w:color="auto" w:fill="auto"/>
                  <w:vAlign w:val="center"/>
                </w:tcPr>
                <w:p w14:paraId="6A891C3E">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排放浓度（mg/m</w:t>
                  </w:r>
                  <w:r>
                    <w:rPr>
                      <w:rFonts w:hint="default" w:ascii="Times New Roman" w:hAnsi="Times New Roman" w:cs="Times New Roman"/>
                      <w:vertAlign w:val="superscript"/>
                      <w:lang w:val="en-US" w:eastAsia="zh-CN"/>
                    </w:rPr>
                    <w:t>3</w:t>
                  </w:r>
                  <w:r>
                    <w:rPr>
                      <w:rFonts w:hint="default" w:ascii="Times New Roman" w:hAnsi="Times New Roman" w:cs="Times New Roman"/>
                      <w:lang w:val="en-US" w:eastAsia="zh-CN"/>
                    </w:rPr>
                    <w:t>）</w:t>
                  </w:r>
                </w:p>
              </w:tc>
              <w:tc>
                <w:tcPr>
                  <w:tcW w:w="804" w:type="dxa"/>
                  <w:vMerge w:val="continue"/>
                  <w:vAlign w:val="center"/>
                </w:tcPr>
                <w:p w14:paraId="774A1DEA">
                  <w:pPr>
                    <w:pStyle w:val="40"/>
                    <w:bidi w:val="0"/>
                    <w:rPr>
                      <w:rFonts w:hint="default" w:ascii="Times New Roman" w:hAnsi="Times New Roman" w:cs="Times New Roman"/>
                      <w:lang w:val="en-US" w:eastAsia="zh-CN"/>
                    </w:rPr>
                  </w:pPr>
                </w:p>
              </w:tc>
            </w:tr>
            <w:tr w14:paraId="02676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Merge w:val="restart"/>
                  <w:vAlign w:val="center"/>
                </w:tcPr>
                <w:p w14:paraId="3A45E052">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气瓶焚烧</w:t>
                  </w:r>
                </w:p>
              </w:tc>
              <w:tc>
                <w:tcPr>
                  <w:tcW w:w="640" w:type="dxa"/>
                  <w:vMerge w:val="restart"/>
                  <w:vAlign w:val="center"/>
                </w:tcPr>
                <w:p w14:paraId="4CFB4D1F">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焚烧废气</w:t>
                  </w:r>
                </w:p>
              </w:tc>
              <w:tc>
                <w:tcPr>
                  <w:tcW w:w="569" w:type="dxa"/>
                  <w:vAlign w:val="center"/>
                </w:tcPr>
                <w:p w14:paraId="042CA53F">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颗粒物</w:t>
                  </w:r>
                </w:p>
              </w:tc>
              <w:tc>
                <w:tcPr>
                  <w:tcW w:w="374" w:type="dxa"/>
                  <w:vAlign w:val="center"/>
                </w:tcPr>
                <w:p w14:paraId="7C665ABD">
                  <w:pPr>
                    <w:pStyle w:val="40"/>
                    <w:bidi w:val="0"/>
                    <w:rPr>
                      <w:rFonts w:hint="default" w:ascii="Times New Roman" w:hAnsi="Times New Roman" w:cs="Times New Roman"/>
                      <w:lang w:val="en-US" w:eastAsia="zh-CN"/>
                    </w:rPr>
                  </w:pPr>
                  <w:r>
                    <w:rPr>
                      <w:rFonts w:hint="eastAsia" w:cs="Times New Roman"/>
                      <w:lang w:val="en-US" w:eastAsia="zh-CN"/>
                    </w:rPr>
                    <w:t>系数法</w:t>
                  </w:r>
                </w:p>
              </w:tc>
              <w:tc>
                <w:tcPr>
                  <w:tcW w:w="374" w:type="dxa"/>
                  <w:vMerge w:val="restart"/>
                  <w:vAlign w:val="center"/>
                </w:tcPr>
                <w:p w14:paraId="34419D5E">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有组织</w:t>
                  </w:r>
                </w:p>
              </w:tc>
              <w:tc>
                <w:tcPr>
                  <w:tcW w:w="707" w:type="dxa"/>
                  <w:vAlign w:val="center"/>
                </w:tcPr>
                <w:p w14:paraId="4F5A69F4">
                  <w:pPr>
                    <w:pStyle w:val="40"/>
                    <w:bidi w:val="0"/>
                    <w:rPr>
                      <w:rFonts w:hint="default"/>
                    </w:rPr>
                  </w:pPr>
                  <w:r>
                    <w:rPr>
                      <w:rFonts w:hint="default"/>
                      <w:lang w:val="en-US" w:eastAsia="zh-CN"/>
                    </w:rPr>
                    <w:t xml:space="preserve">0.302 </w:t>
                  </w:r>
                </w:p>
              </w:tc>
              <w:tc>
                <w:tcPr>
                  <w:tcW w:w="918" w:type="dxa"/>
                  <w:vAlign w:val="center"/>
                </w:tcPr>
                <w:p w14:paraId="2C7E4097">
                  <w:pPr>
                    <w:pStyle w:val="40"/>
                    <w:bidi w:val="0"/>
                    <w:rPr>
                      <w:rFonts w:hint="default"/>
                    </w:rPr>
                  </w:pPr>
                  <w:r>
                    <w:rPr>
                      <w:rFonts w:hint="default"/>
                      <w:lang w:val="en-US" w:eastAsia="zh-CN"/>
                    </w:rPr>
                    <w:t xml:space="preserve">0.084 </w:t>
                  </w:r>
                </w:p>
              </w:tc>
              <w:tc>
                <w:tcPr>
                  <w:tcW w:w="1099" w:type="dxa"/>
                  <w:vAlign w:val="center"/>
                </w:tcPr>
                <w:p w14:paraId="34AB5FAF">
                  <w:pPr>
                    <w:pStyle w:val="40"/>
                    <w:bidi w:val="0"/>
                    <w:rPr>
                      <w:rFonts w:hint="default"/>
                    </w:rPr>
                  </w:pPr>
                  <w:r>
                    <w:rPr>
                      <w:rFonts w:hint="default"/>
                      <w:lang w:val="en-US" w:eastAsia="zh-CN"/>
                    </w:rPr>
                    <w:t xml:space="preserve">41.94 </w:t>
                  </w:r>
                </w:p>
              </w:tc>
              <w:tc>
                <w:tcPr>
                  <w:tcW w:w="725" w:type="dxa"/>
                  <w:vMerge w:val="restart"/>
                  <w:vAlign w:val="center"/>
                </w:tcPr>
                <w:p w14:paraId="505965EA">
                  <w:pPr>
                    <w:pStyle w:val="40"/>
                    <w:bidi w:val="0"/>
                    <w:rPr>
                      <w:rFonts w:hint="default"/>
                      <w:lang w:val="en-US" w:eastAsia="zh-CN"/>
                    </w:rPr>
                  </w:pPr>
                  <w:r>
                    <w:rPr>
                      <w:rFonts w:hint="eastAsia"/>
                      <w:lang w:val="en-US" w:eastAsia="zh-CN"/>
                    </w:rPr>
                    <w:t>低氮燃烧法+水喷淋除尘</w:t>
                  </w:r>
                </w:p>
              </w:tc>
              <w:tc>
                <w:tcPr>
                  <w:tcW w:w="725" w:type="dxa"/>
                  <w:vAlign w:val="center"/>
                </w:tcPr>
                <w:p w14:paraId="7C7D0F2F">
                  <w:pPr>
                    <w:pStyle w:val="40"/>
                    <w:bidi w:val="0"/>
                    <w:rPr>
                      <w:rFonts w:hint="default"/>
                      <w:lang w:val="en-US" w:eastAsia="zh-CN"/>
                    </w:rPr>
                  </w:pPr>
                  <w:r>
                    <w:rPr>
                      <w:rFonts w:hint="default"/>
                      <w:lang w:val="en-US" w:eastAsia="zh-CN"/>
                    </w:rPr>
                    <w:t>100</w:t>
                  </w:r>
                </w:p>
              </w:tc>
              <w:tc>
                <w:tcPr>
                  <w:tcW w:w="725" w:type="dxa"/>
                  <w:vAlign w:val="center"/>
                </w:tcPr>
                <w:p w14:paraId="1017B28B">
                  <w:pPr>
                    <w:pStyle w:val="40"/>
                    <w:bidi w:val="0"/>
                    <w:rPr>
                      <w:rFonts w:hint="default"/>
                      <w:lang w:val="en-US" w:eastAsia="zh-CN"/>
                    </w:rPr>
                  </w:pPr>
                  <w:r>
                    <w:rPr>
                      <w:rFonts w:hint="default"/>
                      <w:lang w:val="en-US" w:eastAsia="zh-CN"/>
                    </w:rPr>
                    <w:t>30</w:t>
                  </w:r>
                </w:p>
              </w:tc>
              <w:tc>
                <w:tcPr>
                  <w:tcW w:w="832" w:type="dxa"/>
                  <w:vMerge w:val="restart"/>
                  <w:vAlign w:val="center"/>
                </w:tcPr>
                <w:p w14:paraId="465A58B2">
                  <w:pPr>
                    <w:pStyle w:val="40"/>
                    <w:bidi w:val="0"/>
                    <w:rPr>
                      <w:rFonts w:hint="default"/>
                      <w:lang w:val="en-US" w:eastAsia="zh-CN"/>
                    </w:rPr>
                  </w:pPr>
                  <w:r>
                    <w:rPr>
                      <w:rFonts w:hint="default"/>
                      <w:lang w:val="en-US" w:eastAsia="zh-CN"/>
                    </w:rPr>
                    <w:t>2000</w:t>
                  </w:r>
                </w:p>
              </w:tc>
              <w:tc>
                <w:tcPr>
                  <w:tcW w:w="536" w:type="dxa"/>
                  <w:vAlign w:val="center"/>
                </w:tcPr>
                <w:p w14:paraId="43F87EE4">
                  <w:pPr>
                    <w:pStyle w:val="40"/>
                    <w:bidi w:val="0"/>
                    <w:rPr>
                      <w:rFonts w:hint="default"/>
                      <w:lang w:val="en-US" w:eastAsia="zh-CN"/>
                    </w:rPr>
                  </w:pPr>
                  <w:r>
                    <w:rPr>
                      <w:rFonts w:hint="eastAsia"/>
                      <w:lang w:val="en-US" w:eastAsia="zh-CN"/>
                    </w:rPr>
                    <w:t>是</w:t>
                  </w:r>
                </w:p>
              </w:tc>
              <w:tc>
                <w:tcPr>
                  <w:tcW w:w="707" w:type="dxa"/>
                  <w:vAlign w:val="center"/>
                </w:tcPr>
                <w:p w14:paraId="23A07FCF">
                  <w:pPr>
                    <w:pStyle w:val="40"/>
                    <w:bidi w:val="0"/>
                    <w:rPr>
                      <w:rFonts w:hint="default"/>
                    </w:rPr>
                  </w:pPr>
                  <w:r>
                    <w:rPr>
                      <w:rFonts w:hint="default"/>
                      <w:lang w:val="en-US" w:eastAsia="zh-CN"/>
                    </w:rPr>
                    <w:t xml:space="preserve">0.211 </w:t>
                  </w:r>
                </w:p>
              </w:tc>
              <w:tc>
                <w:tcPr>
                  <w:tcW w:w="918" w:type="dxa"/>
                  <w:vAlign w:val="center"/>
                </w:tcPr>
                <w:p w14:paraId="04CD521D">
                  <w:pPr>
                    <w:pStyle w:val="40"/>
                    <w:bidi w:val="0"/>
                    <w:rPr>
                      <w:rFonts w:hint="default"/>
                    </w:rPr>
                  </w:pPr>
                  <w:r>
                    <w:rPr>
                      <w:rFonts w:hint="default"/>
                      <w:lang w:val="en-US" w:eastAsia="zh-CN"/>
                    </w:rPr>
                    <w:t xml:space="preserve">0.059 </w:t>
                  </w:r>
                </w:p>
              </w:tc>
              <w:tc>
                <w:tcPr>
                  <w:tcW w:w="1099" w:type="dxa"/>
                  <w:vAlign w:val="center"/>
                </w:tcPr>
                <w:p w14:paraId="182157CD">
                  <w:pPr>
                    <w:pStyle w:val="40"/>
                    <w:bidi w:val="0"/>
                    <w:rPr>
                      <w:rFonts w:hint="default"/>
                    </w:rPr>
                  </w:pPr>
                  <w:r>
                    <w:rPr>
                      <w:rFonts w:hint="default"/>
                      <w:lang w:val="en-US" w:eastAsia="zh-CN"/>
                    </w:rPr>
                    <w:t xml:space="preserve">29.36 </w:t>
                  </w:r>
                </w:p>
              </w:tc>
              <w:tc>
                <w:tcPr>
                  <w:tcW w:w="804" w:type="dxa"/>
                  <w:vAlign w:val="center"/>
                </w:tcPr>
                <w:p w14:paraId="76126523">
                  <w:pPr>
                    <w:pStyle w:val="40"/>
                    <w:bidi w:val="0"/>
                    <w:rPr>
                      <w:rFonts w:hint="default"/>
                    </w:rPr>
                  </w:pPr>
                  <w:r>
                    <w:rPr>
                      <w:rFonts w:hint="default"/>
                      <w:lang w:val="en-US" w:eastAsia="zh-CN"/>
                    </w:rPr>
                    <w:t>3600</w:t>
                  </w:r>
                </w:p>
              </w:tc>
            </w:tr>
            <w:tr w14:paraId="466B8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Merge w:val="continue"/>
                  <w:vAlign w:val="center"/>
                </w:tcPr>
                <w:p w14:paraId="3291CA21">
                  <w:pPr>
                    <w:pStyle w:val="40"/>
                    <w:bidi w:val="0"/>
                    <w:rPr>
                      <w:rFonts w:hint="default" w:ascii="Times New Roman" w:hAnsi="Times New Roman" w:cs="Times New Roman"/>
                    </w:rPr>
                  </w:pPr>
                </w:p>
              </w:tc>
              <w:tc>
                <w:tcPr>
                  <w:tcW w:w="640" w:type="dxa"/>
                  <w:vMerge w:val="continue"/>
                  <w:vAlign w:val="center"/>
                </w:tcPr>
                <w:p w14:paraId="754356F0">
                  <w:pPr>
                    <w:pStyle w:val="40"/>
                    <w:bidi w:val="0"/>
                    <w:rPr>
                      <w:rFonts w:hint="default" w:ascii="Times New Roman" w:hAnsi="Times New Roman" w:cs="Times New Roman"/>
                    </w:rPr>
                  </w:pPr>
                </w:p>
              </w:tc>
              <w:tc>
                <w:tcPr>
                  <w:tcW w:w="569" w:type="dxa"/>
                  <w:vAlign w:val="center"/>
                </w:tcPr>
                <w:p w14:paraId="1B228DB2">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SO</w:t>
                  </w:r>
                  <w:r>
                    <w:rPr>
                      <w:rFonts w:hint="default" w:ascii="Times New Roman" w:hAnsi="Times New Roman" w:cs="Times New Roman"/>
                      <w:vertAlign w:val="subscript"/>
                      <w:lang w:val="en-US" w:eastAsia="zh-CN"/>
                    </w:rPr>
                    <w:t>2</w:t>
                  </w:r>
                </w:p>
              </w:tc>
              <w:tc>
                <w:tcPr>
                  <w:tcW w:w="374" w:type="dxa"/>
                  <w:vAlign w:val="center"/>
                </w:tcPr>
                <w:p w14:paraId="12D1F5B9">
                  <w:pPr>
                    <w:pStyle w:val="40"/>
                    <w:bidi w:val="0"/>
                    <w:rPr>
                      <w:rFonts w:hint="default" w:ascii="Times New Roman" w:hAnsi="Times New Roman" w:cs="Times New Roman"/>
                    </w:rPr>
                  </w:pPr>
                  <w:r>
                    <w:rPr>
                      <w:rFonts w:hint="eastAsia" w:cs="Times New Roman"/>
                      <w:lang w:val="en-US" w:eastAsia="zh-CN"/>
                    </w:rPr>
                    <w:t>系数法</w:t>
                  </w:r>
                </w:p>
              </w:tc>
              <w:tc>
                <w:tcPr>
                  <w:tcW w:w="374" w:type="dxa"/>
                  <w:vMerge w:val="continue"/>
                  <w:vAlign w:val="center"/>
                </w:tcPr>
                <w:p w14:paraId="1E27E727">
                  <w:pPr>
                    <w:pStyle w:val="40"/>
                    <w:bidi w:val="0"/>
                    <w:rPr>
                      <w:rFonts w:hint="default" w:ascii="Times New Roman" w:hAnsi="Times New Roman" w:cs="Times New Roman"/>
                    </w:rPr>
                  </w:pPr>
                </w:p>
              </w:tc>
              <w:tc>
                <w:tcPr>
                  <w:tcW w:w="707" w:type="dxa"/>
                  <w:vAlign w:val="center"/>
                </w:tcPr>
                <w:p w14:paraId="6B10839B">
                  <w:pPr>
                    <w:pStyle w:val="40"/>
                    <w:bidi w:val="0"/>
                    <w:rPr>
                      <w:rFonts w:hint="default"/>
                    </w:rPr>
                  </w:pPr>
                  <w:r>
                    <w:rPr>
                      <w:rFonts w:hint="default"/>
                      <w:lang w:val="en-US" w:eastAsia="zh-CN"/>
                    </w:rPr>
                    <w:t xml:space="preserve">0.006 </w:t>
                  </w:r>
                </w:p>
              </w:tc>
              <w:tc>
                <w:tcPr>
                  <w:tcW w:w="918" w:type="dxa"/>
                  <w:vAlign w:val="center"/>
                </w:tcPr>
                <w:p w14:paraId="3124D5AD">
                  <w:pPr>
                    <w:pStyle w:val="40"/>
                    <w:bidi w:val="0"/>
                    <w:rPr>
                      <w:rFonts w:hint="default"/>
                    </w:rPr>
                  </w:pPr>
                  <w:r>
                    <w:rPr>
                      <w:rFonts w:hint="default"/>
                      <w:lang w:val="en-US" w:eastAsia="zh-CN"/>
                    </w:rPr>
                    <w:t xml:space="preserve">0.002 </w:t>
                  </w:r>
                </w:p>
              </w:tc>
              <w:tc>
                <w:tcPr>
                  <w:tcW w:w="1099" w:type="dxa"/>
                  <w:vAlign w:val="center"/>
                </w:tcPr>
                <w:p w14:paraId="416E184D">
                  <w:pPr>
                    <w:pStyle w:val="40"/>
                    <w:bidi w:val="0"/>
                    <w:rPr>
                      <w:rFonts w:hint="default"/>
                    </w:rPr>
                  </w:pPr>
                  <w:r>
                    <w:rPr>
                      <w:rFonts w:hint="default"/>
                      <w:lang w:val="en-US" w:eastAsia="zh-CN"/>
                    </w:rPr>
                    <w:t xml:space="preserve">0.86 </w:t>
                  </w:r>
                </w:p>
              </w:tc>
              <w:tc>
                <w:tcPr>
                  <w:tcW w:w="725" w:type="dxa"/>
                  <w:vMerge w:val="continue"/>
                  <w:vAlign w:val="center"/>
                </w:tcPr>
                <w:p w14:paraId="7D72D597">
                  <w:pPr>
                    <w:pStyle w:val="40"/>
                    <w:bidi w:val="0"/>
                    <w:rPr>
                      <w:rFonts w:hint="default"/>
                    </w:rPr>
                  </w:pPr>
                </w:p>
              </w:tc>
              <w:tc>
                <w:tcPr>
                  <w:tcW w:w="725" w:type="dxa"/>
                  <w:vAlign w:val="center"/>
                </w:tcPr>
                <w:p w14:paraId="4C308A4D">
                  <w:pPr>
                    <w:pStyle w:val="40"/>
                    <w:bidi w:val="0"/>
                    <w:rPr>
                      <w:rFonts w:hint="default"/>
                      <w:lang w:val="en-US" w:eastAsia="zh-CN"/>
                    </w:rPr>
                  </w:pPr>
                  <w:r>
                    <w:rPr>
                      <w:rFonts w:hint="default"/>
                      <w:lang w:val="en-US" w:eastAsia="zh-CN"/>
                    </w:rPr>
                    <w:t>100</w:t>
                  </w:r>
                </w:p>
              </w:tc>
              <w:tc>
                <w:tcPr>
                  <w:tcW w:w="725" w:type="dxa"/>
                  <w:vAlign w:val="center"/>
                </w:tcPr>
                <w:p w14:paraId="13A54D13">
                  <w:pPr>
                    <w:pStyle w:val="40"/>
                    <w:bidi w:val="0"/>
                    <w:rPr>
                      <w:rFonts w:hint="default"/>
                      <w:lang w:val="en-US" w:eastAsia="zh-CN"/>
                    </w:rPr>
                  </w:pPr>
                  <w:r>
                    <w:rPr>
                      <w:rFonts w:hint="default"/>
                      <w:lang w:val="en-US" w:eastAsia="zh-CN"/>
                    </w:rPr>
                    <w:t>/</w:t>
                  </w:r>
                </w:p>
              </w:tc>
              <w:tc>
                <w:tcPr>
                  <w:tcW w:w="832" w:type="dxa"/>
                  <w:vMerge w:val="continue"/>
                  <w:vAlign w:val="center"/>
                </w:tcPr>
                <w:p w14:paraId="6E4A732D">
                  <w:pPr>
                    <w:pStyle w:val="40"/>
                    <w:bidi w:val="0"/>
                    <w:rPr>
                      <w:rFonts w:hint="default"/>
                    </w:rPr>
                  </w:pPr>
                </w:p>
              </w:tc>
              <w:tc>
                <w:tcPr>
                  <w:tcW w:w="536" w:type="dxa"/>
                  <w:vAlign w:val="center"/>
                </w:tcPr>
                <w:p w14:paraId="04751384">
                  <w:pPr>
                    <w:pStyle w:val="40"/>
                    <w:bidi w:val="0"/>
                    <w:rPr>
                      <w:rFonts w:hint="default"/>
                      <w:lang w:val="en-US" w:eastAsia="zh-CN"/>
                    </w:rPr>
                  </w:pPr>
                  <w:r>
                    <w:rPr>
                      <w:rFonts w:hint="default"/>
                      <w:lang w:val="en-US" w:eastAsia="zh-CN"/>
                    </w:rPr>
                    <w:t>/</w:t>
                  </w:r>
                </w:p>
              </w:tc>
              <w:tc>
                <w:tcPr>
                  <w:tcW w:w="707" w:type="dxa"/>
                  <w:vAlign w:val="center"/>
                </w:tcPr>
                <w:p w14:paraId="11E4E13D">
                  <w:pPr>
                    <w:pStyle w:val="40"/>
                    <w:bidi w:val="0"/>
                    <w:rPr>
                      <w:rFonts w:hint="default"/>
                    </w:rPr>
                  </w:pPr>
                  <w:r>
                    <w:rPr>
                      <w:rFonts w:hint="default"/>
                      <w:lang w:val="en-US" w:eastAsia="zh-CN"/>
                    </w:rPr>
                    <w:t xml:space="preserve">0.006 </w:t>
                  </w:r>
                </w:p>
              </w:tc>
              <w:tc>
                <w:tcPr>
                  <w:tcW w:w="918" w:type="dxa"/>
                  <w:vAlign w:val="center"/>
                </w:tcPr>
                <w:p w14:paraId="5B21F964">
                  <w:pPr>
                    <w:pStyle w:val="40"/>
                    <w:bidi w:val="0"/>
                    <w:rPr>
                      <w:rFonts w:hint="default"/>
                    </w:rPr>
                  </w:pPr>
                  <w:r>
                    <w:rPr>
                      <w:rFonts w:hint="default"/>
                      <w:lang w:val="en-US" w:eastAsia="zh-CN"/>
                    </w:rPr>
                    <w:t xml:space="preserve">0.002 </w:t>
                  </w:r>
                </w:p>
              </w:tc>
              <w:tc>
                <w:tcPr>
                  <w:tcW w:w="1099" w:type="dxa"/>
                  <w:vAlign w:val="center"/>
                </w:tcPr>
                <w:p w14:paraId="2C5392E4">
                  <w:pPr>
                    <w:pStyle w:val="40"/>
                    <w:bidi w:val="0"/>
                    <w:rPr>
                      <w:rFonts w:hint="default"/>
                    </w:rPr>
                  </w:pPr>
                  <w:r>
                    <w:rPr>
                      <w:rFonts w:hint="default"/>
                      <w:lang w:val="en-US" w:eastAsia="zh-CN"/>
                    </w:rPr>
                    <w:t xml:space="preserve">0.86 </w:t>
                  </w:r>
                </w:p>
              </w:tc>
              <w:tc>
                <w:tcPr>
                  <w:tcW w:w="804" w:type="dxa"/>
                  <w:vAlign w:val="center"/>
                </w:tcPr>
                <w:p w14:paraId="76F0F136">
                  <w:pPr>
                    <w:pStyle w:val="40"/>
                    <w:bidi w:val="0"/>
                    <w:rPr>
                      <w:rFonts w:hint="default"/>
                    </w:rPr>
                  </w:pPr>
                  <w:r>
                    <w:rPr>
                      <w:rFonts w:hint="default"/>
                      <w:lang w:val="en-US" w:eastAsia="zh-CN"/>
                    </w:rPr>
                    <w:t>3600</w:t>
                  </w:r>
                </w:p>
              </w:tc>
            </w:tr>
            <w:tr w14:paraId="03B99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Merge w:val="continue"/>
                  <w:vAlign w:val="center"/>
                </w:tcPr>
                <w:p w14:paraId="5D57AB1D">
                  <w:pPr>
                    <w:pStyle w:val="40"/>
                    <w:bidi w:val="0"/>
                    <w:rPr>
                      <w:rFonts w:hint="default" w:ascii="Times New Roman" w:hAnsi="Times New Roman" w:cs="Times New Roman"/>
                    </w:rPr>
                  </w:pPr>
                </w:p>
              </w:tc>
              <w:tc>
                <w:tcPr>
                  <w:tcW w:w="640" w:type="dxa"/>
                  <w:vMerge w:val="continue"/>
                  <w:vAlign w:val="center"/>
                </w:tcPr>
                <w:p w14:paraId="4DC3CFBC">
                  <w:pPr>
                    <w:pStyle w:val="40"/>
                    <w:bidi w:val="0"/>
                    <w:rPr>
                      <w:rFonts w:hint="default" w:ascii="Times New Roman" w:hAnsi="Times New Roman" w:cs="Times New Roman"/>
                    </w:rPr>
                  </w:pPr>
                </w:p>
              </w:tc>
              <w:tc>
                <w:tcPr>
                  <w:tcW w:w="569" w:type="dxa"/>
                  <w:vAlign w:val="center"/>
                </w:tcPr>
                <w:p w14:paraId="3BCC7B2D">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NOx</w:t>
                  </w:r>
                </w:p>
              </w:tc>
              <w:tc>
                <w:tcPr>
                  <w:tcW w:w="374" w:type="dxa"/>
                  <w:vAlign w:val="center"/>
                </w:tcPr>
                <w:p w14:paraId="58494CF6">
                  <w:pPr>
                    <w:pStyle w:val="40"/>
                    <w:bidi w:val="0"/>
                    <w:rPr>
                      <w:rFonts w:hint="default" w:ascii="Times New Roman" w:hAnsi="Times New Roman" w:cs="Times New Roman"/>
                    </w:rPr>
                  </w:pPr>
                  <w:r>
                    <w:rPr>
                      <w:rFonts w:hint="eastAsia" w:cs="Times New Roman"/>
                      <w:lang w:val="en-US" w:eastAsia="zh-CN"/>
                    </w:rPr>
                    <w:t>系数法</w:t>
                  </w:r>
                </w:p>
              </w:tc>
              <w:tc>
                <w:tcPr>
                  <w:tcW w:w="374" w:type="dxa"/>
                  <w:vMerge w:val="continue"/>
                  <w:vAlign w:val="center"/>
                </w:tcPr>
                <w:p w14:paraId="7CE46AC3">
                  <w:pPr>
                    <w:pStyle w:val="40"/>
                    <w:bidi w:val="0"/>
                    <w:rPr>
                      <w:rFonts w:hint="default" w:ascii="Times New Roman" w:hAnsi="Times New Roman" w:cs="Times New Roman"/>
                    </w:rPr>
                  </w:pPr>
                </w:p>
              </w:tc>
              <w:tc>
                <w:tcPr>
                  <w:tcW w:w="707" w:type="dxa"/>
                  <w:vAlign w:val="center"/>
                </w:tcPr>
                <w:p w14:paraId="117B2074">
                  <w:pPr>
                    <w:pStyle w:val="40"/>
                    <w:bidi w:val="0"/>
                    <w:rPr>
                      <w:rFonts w:hint="default"/>
                    </w:rPr>
                  </w:pPr>
                  <w:r>
                    <w:rPr>
                      <w:rFonts w:hint="default"/>
                      <w:lang w:val="en-US" w:eastAsia="zh-CN"/>
                    </w:rPr>
                    <w:t xml:space="preserve">0.054 </w:t>
                  </w:r>
                </w:p>
              </w:tc>
              <w:tc>
                <w:tcPr>
                  <w:tcW w:w="918" w:type="dxa"/>
                  <w:vAlign w:val="center"/>
                </w:tcPr>
                <w:p w14:paraId="0B723B4F">
                  <w:pPr>
                    <w:pStyle w:val="40"/>
                    <w:bidi w:val="0"/>
                    <w:rPr>
                      <w:rFonts w:hint="default"/>
                    </w:rPr>
                  </w:pPr>
                  <w:r>
                    <w:rPr>
                      <w:rFonts w:hint="default"/>
                      <w:lang w:val="en-US" w:eastAsia="zh-CN"/>
                    </w:rPr>
                    <w:t xml:space="preserve">0.015 </w:t>
                  </w:r>
                </w:p>
              </w:tc>
              <w:tc>
                <w:tcPr>
                  <w:tcW w:w="1099" w:type="dxa"/>
                  <w:vAlign w:val="center"/>
                </w:tcPr>
                <w:p w14:paraId="5D6EF6F7">
                  <w:pPr>
                    <w:pStyle w:val="40"/>
                    <w:bidi w:val="0"/>
                    <w:rPr>
                      <w:rFonts w:hint="default"/>
                    </w:rPr>
                  </w:pPr>
                  <w:r>
                    <w:rPr>
                      <w:rFonts w:hint="default"/>
                      <w:lang w:val="en-US" w:eastAsia="zh-CN"/>
                    </w:rPr>
                    <w:t xml:space="preserve">7.45 </w:t>
                  </w:r>
                </w:p>
              </w:tc>
              <w:tc>
                <w:tcPr>
                  <w:tcW w:w="725" w:type="dxa"/>
                  <w:vMerge w:val="continue"/>
                  <w:vAlign w:val="center"/>
                </w:tcPr>
                <w:p w14:paraId="7DAC6DAB">
                  <w:pPr>
                    <w:pStyle w:val="40"/>
                    <w:bidi w:val="0"/>
                    <w:rPr>
                      <w:rFonts w:hint="default"/>
                    </w:rPr>
                  </w:pPr>
                </w:p>
              </w:tc>
              <w:tc>
                <w:tcPr>
                  <w:tcW w:w="725" w:type="dxa"/>
                  <w:vAlign w:val="center"/>
                </w:tcPr>
                <w:p w14:paraId="583A65CC">
                  <w:pPr>
                    <w:pStyle w:val="40"/>
                    <w:bidi w:val="0"/>
                    <w:rPr>
                      <w:rFonts w:hint="default"/>
                      <w:lang w:val="en-US" w:eastAsia="zh-CN"/>
                    </w:rPr>
                  </w:pPr>
                  <w:r>
                    <w:rPr>
                      <w:rFonts w:hint="default"/>
                      <w:lang w:val="en-US" w:eastAsia="zh-CN"/>
                    </w:rPr>
                    <w:t>100</w:t>
                  </w:r>
                </w:p>
              </w:tc>
              <w:tc>
                <w:tcPr>
                  <w:tcW w:w="725" w:type="dxa"/>
                  <w:vAlign w:val="center"/>
                </w:tcPr>
                <w:p w14:paraId="596E4FD6">
                  <w:pPr>
                    <w:pStyle w:val="40"/>
                    <w:bidi w:val="0"/>
                    <w:rPr>
                      <w:rFonts w:hint="default"/>
                      <w:lang w:val="en-US" w:eastAsia="zh-CN"/>
                    </w:rPr>
                  </w:pPr>
                  <w:r>
                    <w:rPr>
                      <w:rFonts w:hint="default"/>
                      <w:lang w:val="en-US" w:eastAsia="zh-CN"/>
                    </w:rPr>
                    <w:t>50</w:t>
                  </w:r>
                </w:p>
              </w:tc>
              <w:tc>
                <w:tcPr>
                  <w:tcW w:w="832" w:type="dxa"/>
                  <w:vMerge w:val="continue"/>
                  <w:vAlign w:val="center"/>
                </w:tcPr>
                <w:p w14:paraId="4EFDD3C1">
                  <w:pPr>
                    <w:pStyle w:val="40"/>
                    <w:bidi w:val="0"/>
                    <w:rPr>
                      <w:rFonts w:hint="default"/>
                    </w:rPr>
                  </w:pPr>
                </w:p>
              </w:tc>
              <w:tc>
                <w:tcPr>
                  <w:tcW w:w="536" w:type="dxa"/>
                  <w:vAlign w:val="center"/>
                </w:tcPr>
                <w:p w14:paraId="70CB379C">
                  <w:pPr>
                    <w:pStyle w:val="40"/>
                    <w:bidi w:val="0"/>
                    <w:rPr>
                      <w:rFonts w:hint="default"/>
                      <w:lang w:val="en-US" w:eastAsia="zh-CN"/>
                    </w:rPr>
                  </w:pPr>
                  <w:r>
                    <w:rPr>
                      <w:rFonts w:hint="eastAsia"/>
                      <w:lang w:val="en-US" w:eastAsia="zh-CN"/>
                    </w:rPr>
                    <w:t>是</w:t>
                  </w:r>
                </w:p>
              </w:tc>
              <w:tc>
                <w:tcPr>
                  <w:tcW w:w="707" w:type="dxa"/>
                  <w:vAlign w:val="center"/>
                </w:tcPr>
                <w:p w14:paraId="1A52C8B7">
                  <w:pPr>
                    <w:pStyle w:val="40"/>
                    <w:bidi w:val="0"/>
                    <w:rPr>
                      <w:rFonts w:hint="default"/>
                    </w:rPr>
                  </w:pPr>
                  <w:r>
                    <w:rPr>
                      <w:rFonts w:hint="default"/>
                      <w:lang w:val="en-US" w:eastAsia="zh-CN"/>
                    </w:rPr>
                    <w:t xml:space="preserve">0.027 </w:t>
                  </w:r>
                </w:p>
              </w:tc>
              <w:tc>
                <w:tcPr>
                  <w:tcW w:w="918" w:type="dxa"/>
                  <w:vAlign w:val="center"/>
                </w:tcPr>
                <w:p w14:paraId="497CB778">
                  <w:pPr>
                    <w:pStyle w:val="40"/>
                    <w:bidi w:val="0"/>
                    <w:rPr>
                      <w:rFonts w:hint="default"/>
                    </w:rPr>
                  </w:pPr>
                  <w:r>
                    <w:rPr>
                      <w:rFonts w:hint="default"/>
                      <w:lang w:val="en-US" w:eastAsia="zh-CN"/>
                    </w:rPr>
                    <w:t xml:space="preserve">0.007 </w:t>
                  </w:r>
                </w:p>
              </w:tc>
              <w:tc>
                <w:tcPr>
                  <w:tcW w:w="1099" w:type="dxa"/>
                  <w:vAlign w:val="center"/>
                </w:tcPr>
                <w:p w14:paraId="7128FEAC">
                  <w:pPr>
                    <w:pStyle w:val="40"/>
                    <w:bidi w:val="0"/>
                    <w:rPr>
                      <w:rFonts w:hint="default"/>
                    </w:rPr>
                  </w:pPr>
                  <w:r>
                    <w:rPr>
                      <w:rFonts w:hint="default"/>
                      <w:lang w:val="en-US" w:eastAsia="zh-CN"/>
                    </w:rPr>
                    <w:t xml:space="preserve">3.73 </w:t>
                  </w:r>
                </w:p>
              </w:tc>
              <w:tc>
                <w:tcPr>
                  <w:tcW w:w="804" w:type="dxa"/>
                  <w:vAlign w:val="center"/>
                </w:tcPr>
                <w:p w14:paraId="1315A899">
                  <w:pPr>
                    <w:pStyle w:val="40"/>
                    <w:bidi w:val="0"/>
                    <w:rPr>
                      <w:rFonts w:hint="default"/>
                    </w:rPr>
                  </w:pPr>
                  <w:r>
                    <w:rPr>
                      <w:rFonts w:hint="default"/>
                      <w:lang w:val="en-US" w:eastAsia="zh-CN"/>
                    </w:rPr>
                    <w:t>3600</w:t>
                  </w:r>
                </w:p>
              </w:tc>
            </w:tr>
            <w:tr w14:paraId="7CBF5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Align w:val="center"/>
                </w:tcPr>
                <w:p w14:paraId="1DB24599">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抛丸</w:t>
                  </w:r>
                </w:p>
              </w:tc>
              <w:tc>
                <w:tcPr>
                  <w:tcW w:w="640" w:type="dxa"/>
                  <w:vAlign w:val="center"/>
                </w:tcPr>
                <w:p w14:paraId="0DF56DAB">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抛丸粉尘</w:t>
                  </w:r>
                </w:p>
              </w:tc>
              <w:tc>
                <w:tcPr>
                  <w:tcW w:w="569" w:type="dxa"/>
                  <w:vAlign w:val="center"/>
                </w:tcPr>
                <w:p w14:paraId="3ADDD8A7">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颗粒物</w:t>
                  </w:r>
                </w:p>
              </w:tc>
              <w:tc>
                <w:tcPr>
                  <w:tcW w:w="374" w:type="dxa"/>
                  <w:vAlign w:val="center"/>
                </w:tcPr>
                <w:p w14:paraId="46D54F3F">
                  <w:pPr>
                    <w:pStyle w:val="40"/>
                    <w:bidi w:val="0"/>
                    <w:rPr>
                      <w:rFonts w:hint="default" w:ascii="Times New Roman" w:hAnsi="Times New Roman" w:cs="Times New Roman"/>
                      <w:lang w:val="en-US" w:eastAsia="zh-CN"/>
                    </w:rPr>
                  </w:pPr>
                  <w:r>
                    <w:rPr>
                      <w:rFonts w:hint="eastAsia" w:cs="Times New Roman"/>
                      <w:lang w:val="en-US" w:eastAsia="zh-CN"/>
                    </w:rPr>
                    <w:t>系数法</w:t>
                  </w:r>
                </w:p>
              </w:tc>
              <w:tc>
                <w:tcPr>
                  <w:tcW w:w="374" w:type="dxa"/>
                  <w:vAlign w:val="center"/>
                </w:tcPr>
                <w:p w14:paraId="56261E55">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有组织</w:t>
                  </w:r>
                </w:p>
              </w:tc>
              <w:tc>
                <w:tcPr>
                  <w:tcW w:w="707" w:type="dxa"/>
                  <w:vAlign w:val="center"/>
                </w:tcPr>
                <w:p w14:paraId="0E33543A">
                  <w:pPr>
                    <w:pStyle w:val="40"/>
                    <w:bidi w:val="0"/>
                    <w:rPr>
                      <w:rFonts w:hint="default"/>
                    </w:rPr>
                  </w:pPr>
                  <w:r>
                    <w:rPr>
                      <w:rFonts w:hint="default"/>
                      <w:lang w:val="en-US" w:eastAsia="zh-CN"/>
                    </w:rPr>
                    <w:t xml:space="preserve">2.403 </w:t>
                  </w:r>
                </w:p>
              </w:tc>
              <w:tc>
                <w:tcPr>
                  <w:tcW w:w="918" w:type="dxa"/>
                  <w:vAlign w:val="center"/>
                </w:tcPr>
                <w:p w14:paraId="001D9C07">
                  <w:pPr>
                    <w:pStyle w:val="40"/>
                    <w:bidi w:val="0"/>
                    <w:rPr>
                      <w:rFonts w:hint="default"/>
                    </w:rPr>
                  </w:pPr>
                  <w:r>
                    <w:rPr>
                      <w:rFonts w:hint="default"/>
                      <w:lang w:val="en-US" w:eastAsia="zh-CN"/>
                    </w:rPr>
                    <w:t xml:space="preserve">0.667 </w:t>
                  </w:r>
                </w:p>
              </w:tc>
              <w:tc>
                <w:tcPr>
                  <w:tcW w:w="1099" w:type="dxa"/>
                  <w:vAlign w:val="center"/>
                </w:tcPr>
                <w:p w14:paraId="3E805AC6">
                  <w:pPr>
                    <w:pStyle w:val="40"/>
                    <w:bidi w:val="0"/>
                    <w:rPr>
                      <w:rFonts w:hint="default"/>
                    </w:rPr>
                  </w:pPr>
                  <w:r>
                    <w:rPr>
                      <w:rFonts w:hint="default"/>
                      <w:lang w:val="en-US" w:eastAsia="zh-CN"/>
                    </w:rPr>
                    <w:t xml:space="preserve">267.00 </w:t>
                  </w:r>
                </w:p>
              </w:tc>
              <w:tc>
                <w:tcPr>
                  <w:tcW w:w="725" w:type="dxa"/>
                  <w:vAlign w:val="center"/>
                </w:tcPr>
                <w:p w14:paraId="4EFD7AB9">
                  <w:pPr>
                    <w:pStyle w:val="40"/>
                    <w:bidi w:val="0"/>
                    <w:rPr>
                      <w:rFonts w:hint="default"/>
                      <w:lang w:val="en-US" w:eastAsia="zh-CN"/>
                    </w:rPr>
                  </w:pPr>
                  <w:r>
                    <w:rPr>
                      <w:rFonts w:hint="eastAsia"/>
                      <w:lang w:val="en-US" w:eastAsia="zh-CN"/>
                    </w:rPr>
                    <w:t>集气罩</w:t>
                  </w:r>
                  <w:r>
                    <w:rPr>
                      <w:rFonts w:hint="default"/>
                      <w:lang w:val="en-US" w:eastAsia="zh-CN"/>
                    </w:rPr>
                    <w:t>+</w:t>
                  </w:r>
                  <w:r>
                    <w:rPr>
                      <w:rFonts w:hint="eastAsia"/>
                      <w:lang w:val="en-US" w:eastAsia="zh-CN"/>
                    </w:rPr>
                    <w:t>布袋除尘</w:t>
                  </w:r>
                </w:p>
              </w:tc>
              <w:tc>
                <w:tcPr>
                  <w:tcW w:w="725" w:type="dxa"/>
                  <w:vAlign w:val="center"/>
                </w:tcPr>
                <w:p w14:paraId="5784535A">
                  <w:pPr>
                    <w:pStyle w:val="40"/>
                    <w:bidi w:val="0"/>
                    <w:rPr>
                      <w:rFonts w:hint="default"/>
                      <w:lang w:val="en-US" w:eastAsia="zh-CN"/>
                    </w:rPr>
                  </w:pPr>
                  <w:r>
                    <w:rPr>
                      <w:rFonts w:hint="default"/>
                      <w:lang w:val="en-US" w:eastAsia="zh-CN"/>
                    </w:rPr>
                    <w:t>95</w:t>
                  </w:r>
                </w:p>
              </w:tc>
              <w:tc>
                <w:tcPr>
                  <w:tcW w:w="725" w:type="dxa"/>
                  <w:vAlign w:val="center"/>
                </w:tcPr>
                <w:p w14:paraId="2756310D">
                  <w:pPr>
                    <w:pStyle w:val="40"/>
                    <w:bidi w:val="0"/>
                    <w:rPr>
                      <w:rFonts w:hint="default"/>
                      <w:lang w:val="en-US" w:eastAsia="zh-CN"/>
                    </w:rPr>
                  </w:pPr>
                  <w:r>
                    <w:rPr>
                      <w:rFonts w:hint="default"/>
                      <w:lang w:val="en-US" w:eastAsia="zh-CN"/>
                    </w:rPr>
                    <w:t>95</w:t>
                  </w:r>
                </w:p>
              </w:tc>
              <w:tc>
                <w:tcPr>
                  <w:tcW w:w="832" w:type="dxa"/>
                  <w:vAlign w:val="center"/>
                </w:tcPr>
                <w:p w14:paraId="3EB77381">
                  <w:pPr>
                    <w:pStyle w:val="40"/>
                    <w:bidi w:val="0"/>
                    <w:rPr>
                      <w:rFonts w:hint="default"/>
                      <w:lang w:val="en-US" w:eastAsia="zh-CN"/>
                    </w:rPr>
                  </w:pPr>
                  <w:r>
                    <w:rPr>
                      <w:rFonts w:hint="default"/>
                      <w:lang w:val="en-US" w:eastAsia="zh-CN"/>
                    </w:rPr>
                    <w:t>2500</w:t>
                  </w:r>
                </w:p>
              </w:tc>
              <w:tc>
                <w:tcPr>
                  <w:tcW w:w="536" w:type="dxa"/>
                  <w:vAlign w:val="center"/>
                </w:tcPr>
                <w:p w14:paraId="59C998AF">
                  <w:pPr>
                    <w:pStyle w:val="40"/>
                    <w:bidi w:val="0"/>
                    <w:rPr>
                      <w:rFonts w:hint="default"/>
                      <w:lang w:val="en-US" w:eastAsia="zh-CN"/>
                    </w:rPr>
                  </w:pPr>
                  <w:r>
                    <w:rPr>
                      <w:rFonts w:hint="eastAsia"/>
                      <w:lang w:val="en-US" w:eastAsia="zh-CN"/>
                    </w:rPr>
                    <w:t>是</w:t>
                  </w:r>
                </w:p>
              </w:tc>
              <w:tc>
                <w:tcPr>
                  <w:tcW w:w="707" w:type="dxa"/>
                  <w:vAlign w:val="center"/>
                </w:tcPr>
                <w:p w14:paraId="169E2222">
                  <w:pPr>
                    <w:pStyle w:val="40"/>
                    <w:bidi w:val="0"/>
                    <w:rPr>
                      <w:rFonts w:hint="default"/>
                    </w:rPr>
                  </w:pPr>
                  <w:r>
                    <w:rPr>
                      <w:rFonts w:hint="default"/>
                      <w:lang w:val="en-US" w:eastAsia="zh-CN"/>
                    </w:rPr>
                    <w:t xml:space="preserve">0.120 </w:t>
                  </w:r>
                </w:p>
              </w:tc>
              <w:tc>
                <w:tcPr>
                  <w:tcW w:w="918" w:type="dxa"/>
                  <w:vAlign w:val="center"/>
                </w:tcPr>
                <w:p w14:paraId="136112E9">
                  <w:pPr>
                    <w:pStyle w:val="40"/>
                    <w:bidi w:val="0"/>
                    <w:rPr>
                      <w:rFonts w:hint="default"/>
                    </w:rPr>
                  </w:pPr>
                  <w:r>
                    <w:rPr>
                      <w:rFonts w:hint="default"/>
                      <w:lang w:val="en-US" w:eastAsia="zh-CN"/>
                    </w:rPr>
                    <w:t xml:space="preserve">0.033 </w:t>
                  </w:r>
                </w:p>
              </w:tc>
              <w:tc>
                <w:tcPr>
                  <w:tcW w:w="1099" w:type="dxa"/>
                  <w:vAlign w:val="center"/>
                </w:tcPr>
                <w:p w14:paraId="49A19E84">
                  <w:pPr>
                    <w:pStyle w:val="40"/>
                    <w:bidi w:val="0"/>
                    <w:rPr>
                      <w:rFonts w:hint="default"/>
                    </w:rPr>
                  </w:pPr>
                  <w:r>
                    <w:rPr>
                      <w:rFonts w:hint="default"/>
                      <w:lang w:val="en-US" w:eastAsia="zh-CN"/>
                    </w:rPr>
                    <w:t xml:space="preserve">13.35 </w:t>
                  </w:r>
                </w:p>
              </w:tc>
              <w:tc>
                <w:tcPr>
                  <w:tcW w:w="804" w:type="dxa"/>
                  <w:vAlign w:val="center"/>
                </w:tcPr>
                <w:p w14:paraId="77461FB0">
                  <w:pPr>
                    <w:pStyle w:val="40"/>
                    <w:bidi w:val="0"/>
                    <w:rPr>
                      <w:rFonts w:hint="default"/>
                    </w:rPr>
                  </w:pPr>
                  <w:r>
                    <w:rPr>
                      <w:rFonts w:hint="default"/>
                      <w:lang w:val="en-US" w:eastAsia="zh-CN"/>
                    </w:rPr>
                    <w:t>3600</w:t>
                  </w:r>
                </w:p>
              </w:tc>
            </w:tr>
            <w:tr w14:paraId="1D8A0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Align w:val="center"/>
                </w:tcPr>
                <w:p w14:paraId="1B2266D8">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喷塑</w:t>
                  </w:r>
                </w:p>
              </w:tc>
              <w:tc>
                <w:tcPr>
                  <w:tcW w:w="640" w:type="dxa"/>
                  <w:vAlign w:val="center"/>
                </w:tcPr>
                <w:p w14:paraId="752AC34D">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喷塑粉尘</w:t>
                  </w:r>
                </w:p>
              </w:tc>
              <w:tc>
                <w:tcPr>
                  <w:tcW w:w="569" w:type="dxa"/>
                  <w:vAlign w:val="center"/>
                </w:tcPr>
                <w:p w14:paraId="79A00792">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颗粒物</w:t>
                  </w:r>
                </w:p>
              </w:tc>
              <w:tc>
                <w:tcPr>
                  <w:tcW w:w="374" w:type="dxa"/>
                  <w:vAlign w:val="center"/>
                </w:tcPr>
                <w:p w14:paraId="572CB314">
                  <w:pPr>
                    <w:pStyle w:val="40"/>
                    <w:bidi w:val="0"/>
                    <w:rPr>
                      <w:rFonts w:hint="default" w:ascii="Times New Roman" w:hAnsi="Times New Roman" w:cs="Times New Roman"/>
                      <w:lang w:val="en-US" w:eastAsia="zh-CN"/>
                    </w:rPr>
                  </w:pPr>
                  <w:r>
                    <w:rPr>
                      <w:rFonts w:hint="eastAsia" w:cs="Times New Roman"/>
                      <w:lang w:val="en-US" w:eastAsia="zh-CN"/>
                    </w:rPr>
                    <w:t>系数法</w:t>
                  </w:r>
                </w:p>
              </w:tc>
              <w:tc>
                <w:tcPr>
                  <w:tcW w:w="374" w:type="dxa"/>
                  <w:vAlign w:val="center"/>
                </w:tcPr>
                <w:p w14:paraId="182AFFE1">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有组织</w:t>
                  </w:r>
                </w:p>
              </w:tc>
              <w:tc>
                <w:tcPr>
                  <w:tcW w:w="707" w:type="dxa"/>
                  <w:vAlign w:val="center"/>
                </w:tcPr>
                <w:p w14:paraId="43209FB0">
                  <w:pPr>
                    <w:pStyle w:val="40"/>
                    <w:bidi w:val="0"/>
                    <w:rPr>
                      <w:rFonts w:hint="default"/>
                    </w:rPr>
                  </w:pPr>
                  <w:r>
                    <w:rPr>
                      <w:rFonts w:hint="default"/>
                      <w:lang w:val="en-US" w:eastAsia="zh-CN"/>
                    </w:rPr>
                    <w:t xml:space="preserve">2.144 </w:t>
                  </w:r>
                </w:p>
              </w:tc>
              <w:tc>
                <w:tcPr>
                  <w:tcW w:w="918" w:type="dxa"/>
                  <w:vAlign w:val="center"/>
                </w:tcPr>
                <w:p w14:paraId="6F83A03A">
                  <w:pPr>
                    <w:pStyle w:val="40"/>
                    <w:bidi w:val="0"/>
                    <w:rPr>
                      <w:rFonts w:hint="default"/>
                    </w:rPr>
                  </w:pPr>
                  <w:r>
                    <w:rPr>
                      <w:rFonts w:hint="default"/>
                      <w:lang w:val="en-US" w:eastAsia="zh-CN"/>
                    </w:rPr>
                    <w:t xml:space="preserve">0.596 </w:t>
                  </w:r>
                </w:p>
              </w:tc>
              <w:tc>
                <w:tcPr>
                  <w:tcW w:w="1099" w:type="dxa"/>
                  <w:vAlign w:val="center"/>
                </w:tcPr>
                <w:p w14:paraId="23E3F2AE">
                  <w:pPr>
                    <w:pStyle w:val="40"/>
                    <w:bidi w:val="0"/>
                    <w:rPr>
                      <w:rFonts w:hint="default"/>
                    </w:rPr>
                  </w:pPr>
                  <w:r>
                    <w:rPr>
                      <w:rFonts w:hint="default"/>
                      <w:lang w:val="en-US" w:eastAsia="zh-CN"/>
                    </w:rPr>
                    <w:t xml:space="preserve">297.80 </w:t>
                  </w:r>
                </w:p>
              </w:tc>
              <w:tc>
                <w:tcPr>
                  <w:tcW w:w="725" w:type="dxa"/>
                  <w:vAlign w:val="center"/>
                </w:tcPr>
                <w:p w14:paraId="500D1891">
                  <w:pPr>
                    <w:pStyle w:val="40"/>
                    <w:bidi w:val="0"/>
                    <w:rPr>
                      <w:rFonts w:hint="default"/>
                      <w:lang w:val="en-US" w:eastAsia="zh-CN"/>
                    </w:rPr>
                  </w:pPr>
                  <w:r>
                    <w:rPr>
                      <w:rFonts w:hint="eastAsia"/>
                      <w:lang w:val="en-US" w:eastAsia="zh-CN"/>
                    </w:rPr>
                    <w:t>密闭式喷粉柜</w:t>
                  </w:r>
                  <w:r>
                    <w:rPr>
                      <w:rFonts w:hint="default"/>
                      <w:lang w:val="en-US" w:eastAsia="zh-CN"/>
                    </w:rPr>
                    <w:t>+</w:t>
                  </w:r>
                  <w:r>
                    <w:rPr>
                      <w:rFonts w:hint="eastAsia"/>
                      <w:lang w:val="en-US" w:eastAsia="zh-CN"/>
                    </w:rPr>
                    <w:t>滤筒过滤除尘</w:t>
                  </w:r>
                </w:p>
              </w:tc>
              <w:tc>
                <w:tcPr>
                  <w:tcW w:w="725" w:type="dxa"/>
                  <w:vAlign w:val="center"/>
                </w:tcPr>
                <w:p w14:paraId="7B7B6CF4">
                  <w:pPr>
                    <w:pStyle w:val="40"/>
                    <w:bidi w:val="0"/>
                    <w:rPr>
                      <w:rFonts w:hint="default"/>
                      <w:lang w:val="en-US" w:eastAsia="zh-CN"/>
                    </w:rPr>
                  </w:pPr>
                  <w:r>
                    <w:rPr>
                      <w:rFonts w:hint="default"/>
                      <w:lang w:val="en-US" w:eastAsia="zh-CN"/>
                    </w:rPr>
                    <w:t>99</w:t>
                  </w:r>
                </w:p>
              </w:tc>
              <w:tc>
                <w:tcPr>
                  <w:tcW w:w="725" w:type="dxa"/>
                  <w:vAlign w:val="center"/>
                </w:tcPr>
                <w:p w14:paraId="47222489">
                  <w:pPr>
                    <w:pStyle w:val="40"/>
                    <w:bidi w:val="0"/>
                    <w:rPr>
                      <w:rFonts w:hint="default"/>
                      <w:lang w:val="en-US" w:eastAsia="zh-CN"/>
                    </w:rPr>
                  </w:pPr>
                  <w:r>
                    <w:rPr>
                      <w:rFonts w:hint="default"/>
                      <w:lang w:val="en-US" w:eastAsia="zh-CN"/>
                    </w:rPr>
                    <w:t>95</w:t>
                  </w:r>
                </w:p>
              </w:tc>
              <w:tc>
                <w:tcPr>
                  <w:tcW w:w="832" w:type="dxa"/>
                  <w:vAlign w:val="center"/>
                </w:tcPr>
                <w:p w14:paraId="172D7123">
                  <w:pPr>
                    <w:pStyle w:val="40"/>
                    <w:bidi w:val="0"/>
                    <w:rPr>
                      <w:rFonts w:hint="default"/>
                      <w:lang w:val="en-US" w:eastAsia="zh-CN"/>
                    </w:rPr>
                  </w:pPr>
                  <w:r>
                    <w:rPr>
                      <w:rFonts w:hint="default"/>
                      <w:lang w:val="en-US" w:eastAsia="zh-CN"/>
                    </w:rPr>
                    <w:t>2000</w:t>
                  </w:r>
                </w:p>
              </w:tc>
              <w:tc>
                <w:tcPr>
                  <w:tcW w:w="536" w:type="dxa"/>
                  <w:vAlign w:val="center"/>
                </w:tcPr>
                <w:p w14:paraId="5228DBBA">
                  <w:pPr>
                    <w:pStyle w:val="40"/>
                    <w:bidi w:val="0"/>
                    <w:rPr>
                      <w:rFonts w:hint="default"/>
                      <w:lang w:val="en-US" w:eastAsia="zh-CN"/>
                    </w:rPr>
                  </w:pPr>
                  <w:r>
                    <w:rPr>
                      <w:rFonts w:hint="eastAsia"/>
                      <w:lang w:val="en-US" w:eastAsia="zh-CN"/>
                    </w:rPr>
                    <w:t>是</w:t>
                  </w:r>
                </w:p>
              </w:tc>
              <w:tc>
                <w:tcPr>
                  <w:tcW w:w="707" w:type="dxa"/>
                  <w:vAlign w:val="center"/>
                </w:tcPr>
                <w:p w14:paraId="34C9CBCD">
                  <w:pPr>
                    <w:pStyle w:val="40"/>
                    <w:bidi w:val="0"/>
                    <w:rPr>
                      <w:rFonts w:hint="default"/>
                    </w:rPr>
                  </w:pPr>
                  <w:r>
                    <w:rPr>
                      <w:rFonts w:hint="default"/>
                      <w:lang w:val="en-US" w:eastAsia="zh-CN"/>
                    </w:rPr>
                    <w:t xml:space="preserve">0.107 </w:t>
                  </w:r>
                </w:p>
              </w:tc>
              <w:tc>
                <w:tcPr>
                  <w:tcW w:w="918" w:type="dxa"/>
                  <w:vAlign w:val="center"/>
                </w:tcPr>
                <w:p w14:paraId="73FB3C94">
                  <w:pPr>
                    <w:pStyle w:val="40"/>
                    <w:bidi w:val="0"/>
                    <w:rPr>
                      <w:rFonts w:hint="default"/>
                    </w:rPr>
                  </w:pPr>
                  <w:r>
                    <w:rPr>
                      <w:rFonts w:hint="default"/>
                      <w:lang w:val="en-US" w:eastAsia="zh-CN"/>
                    </w:rPr>
                    <w:t xml:space="preserve">0.030 </w:t>
                  </w:r>
                </w:p>
              </w:tc>
              <w:tc>
                <w:tcPr>
                  <w:tcW w:w="1099" w:type="dxa"/>
                  <w:vAlign w:val="center"/>
                </w:tcPr>
                <w:p w14:paraId="22A55A3F">
                  <w:pPr>
                    <w:pStyle w:val="40"/>
                    <w:bidi w:val="0"/>
                    <w:rPr>
                      <w:rFonts w:hint="default"/>
                    </w:rPr>
                  </w:pPr>
                  <w:r>
                    <w:rPr>
                      <w:rFonts w:hint="default"/>
                      <w:lang w:val="en-US" w:eastAsia="zh-CN"/>
                    </w:rPr>
                    <w:t xml:space="preserve">14.89 </w:t>
                  </w:r>
                </w:p>
              </w:tc>
              <w:tc>
                <w:tcPr>
                  <w:tcW w:w="804" w:type="dxa"/>
                  <w:vAlign w:val="center"/>
                </w:tcPr>
                <w:p w14:paraId="7FC5E262">
                  <w:pPr>
                    <w:pStyle w:val="40"/>
                    <w:bidi w:val="0"/>
                    <w:rPr>
                      <w:rFonts w:hint="default"/>
                    </w:rPr>
                  </w:pPr>
                  <w:r>
                    <w:rPr>
                      <w:rFonts w:hint="default"/>
                      <w:lang w:val="en-US" w:eastAsia="zh-CN"/>
                    </w:rPr>
                    <w:t>3600</w:t>
                  </w:r>
                </w:p>
              </w:tc>
            </w:tr>
            <w:tr w14:paraId="6ABE9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Align w:val="center"/>
                </w:tcPr>
                <w:p w14:paraId="3E4F5E99">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固化/丝印</w:t>
                  </w:r>
                </w:p>
              </w:tc>
              <w:tc>
                <w:tcPr>
                  <w:tcW w:w="640" w:type="dxa"/>
                  <w:vAlign w:val="center"/>
                </w:tcPr>
                <w:p w14:paraId="3A71CAA0">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固化/丝印废气</w:t>
                  </w:r>
                </w:p>
              </w:tc>
              <w:tc>
                <w:tcPr>
                  <w:tcW w:w="569" w:type="dxa"/>
                  <w:vAlign w:val="center"/>
                </w:tcPr>
                <w:p w14:paraId="5B1D1A96">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非甲烷总烃</w:t>
                  </w:r>
                </w:p>
              </w:tc>
              <w:tc>
                <w:tcPr>
                  <w:tcW w:w="374" w:type="dxa"/>
                  <w:vAlign w:val="center"/>
                </w:tcPr>
                <w:p w14:paraId="01E28CF5">
                  <w:pPr>
                    <w:pStyle w:val="40"/>
                    <w:bidi w:val="0"/>
                    <w:rPr>
                      <w:rFonts w:hint="default" w:ascii="Times New Roman" w:hAnsi="Times New Roman" w:cs="Times New Roman"/>
                      <w:lang w:val="en-US" w:eastAsia="zh-CN"/>
                    </w:rPr>
                  </w:pPr>
                  <w:r>
                    <w:rPr>
                      <w:rFonts w:hint="eastAsia" w:cs="Times New Roman"/>
                      <w:lang w:val="en-US" w:eastAsia="zh-CN"/>
                    </w:rPr>
                    <w:t>系数法</w:t>
                  </w:r>
                </w:p>
              </w:tc>
              <w:tc>
                <w:tcPr>
                  <w:tcW w:w="374" w:type="dxa"/>
                  <w:vAlign w:val="center"/>
                </w:tcPr>
                <w:p w14:paraId="5F92529F">
                  <w:pPr>
                    <w:pStyle w:val="40"/>
                    <w:bidi w:val="0"/>
                    <w:rPr>
                      <w:rFonts w:hint="default" w:ascii="Times New Roman" w:hAnsi="Times New Roman" w:cs="Times New Roman"/>
                      <w:lang w:val="en-US" w:eastAsia="zh-CN"/>
                    </w:rPr>
                  </w:pPr>
                  <w:r>
                    <w:rPr>
                      <w:rFonts w:hint="default" w:ascii="Times New Roman" w:hAnsi="Times New Roman" w:cs="Times New Roman"/>
                      <w:lang w:val="en-US" w:eastAsia="zh-CN"/>
                    </w:rPr>
                    <w:t>有组织</w:t>
                  </w:r>
                </w:p>
              </w:tc>
              <w:tc>
                <w:tcPr>
                  <w:tcW w:w="707" w:type="dxa"/>
                  <w:vAlign w:val="center"/>
                </w:tcPr>
                <w:p w14:paraId="776BE3F8">
                  <w:pPr>
                    <w:pStyle w:val="40"/>
                    <w:bidi w:val="0"/>
                    <w:rPr>
                      <w:rFonts w:hint="default"/>
                      <w:lang w:val="en-US" w:eastAsia="zh-CN"/>
                    </w:rPr>
                  </w:pPr>
                  <w:r>
                    <w:rPr>
                      <w:rFonts w:hint="eastAsia"/>
                      <w:lang w:val="en-US" w:eastAsia="zh-CN"/>
                    </w:rPr>
                    <w:t xml:space="preserve">0.082 </w:t>
                  </w:r>
                </w:p>
              </w:tc>
              <w:tc>
                <w:tcPr>
                  <w:tcW w:w="918" w:type="dxa"/>
                  <w:vAlign w:val="center"/>
                </w:tcPr>
                <w:p w14:paraId="027C9F69">
                  <w:pPr>
                    <w:pStyle w:val="40"/>
                    <w:bidi w:val="0"/>
                    <w:rPr>
                      <w:rFonts w:hint="default"/>
                      <w:lang w:val="en-US" w:eastAsia="zh-CN"/>
                    </w:rPr>
                  </w:pPr>
                  <w:r>
                    <w:rPr>
                      <w:rFonts w:hint="default"/>
                      <w:lang w:val="en-US" w:eastAsia="zh-CN"/>
                    </w:rPr>
                    <w:t xml:space="preserve">0.023 </w:t>
                  </w:r>
                </w:p>
              </w:tc>
              <w:tc>
                <w:tcPr>
                  <w:tcW w:w="1099" w:type="dxa"/>
                  <w:vAlign w:val="center"/>
                </w:tcPr>
                <w:p w14:paraId="601502D3">
                  <w:pPr>
                    <w:pStyle w:val="40"/>
                    <w:bidi w:val="0"/>
                    <w:rPr>
                      <w:rFonts w:hint="default"/>
                      <w:lang w:val="en-US" w:eastAsia="zh-CN"/>
                    </w:rPr>
                  </w:pPr>
                  <w:r>
                    <w:rPr>
                      <w:rFonts w:hint="default"/>
                      <w:lang w:val="en-US" w:eastAsia="zh-CN"/>
                    </w:rPr>
                    <w:t xml:space="preserve">22.87 </w:t>
                  </w:r>
                </w:p>
              </w:tc>
              <w:tc>
                <w:tcPr>
                  <w:tcW w:w="725" w:type="dxa"/>
                  <w:vAlign w:val="center"/>
                </w:tcPr>
                <w:p w14:paraId="7D21F438">
                  <w:pPr>
                    <w:pStyle w:val="40"/>
                    <w:bidi w:val="0"/>
                    <w:rPr>
                      <w:rFonts w:hint="default"/>
                      <w:lang w:val="en-US" w:eastAsia="zh-CN"/>
                    </w:rPr>
                  </w:pPr>
                  <w:r>
                    <w:rPr>
                      <w:rFonts w:hint="eastAsia"/>
                      <w:lang w:val="en-US" w:eastAsia="zh-CN"/>
                    </w:rPr>
                    <w:t>/</w:t>
                  </w:r>
                </w:p>
              </w:tc>
              <w:tc>
                <w:tcPr>
                  <w:tcW w:w="725" w:type="dxa"/>
                  <w:vAlign w:val="center"/>
                </w:tcPr>
                <w:p w14:paraId="6316B34E">
                  <w:pPr>
                    <w:pStyle w:val="40"/>
                    <w:bidi w:val="0"/>
                    <w:rPr>
                      <w:rFonts w:hint="default"/>
                      <w:lang w:val="en-US" w:eastAsia="zh-CN"/>
                    </w:rPr>
                  </w:pPr>
                  <w:r>
                    <w:rPr>
                      <w:rFonts w:hint="eastAsia"/>
                      <w:lang w:val="en-US" w:eastAsia="zh-CN"/>
                    </w:rPr>
                    <w:t>95</w:t>
                  </w:r>
                </w:p>
              </w:tc>
              <w:tc>
                <w:tcPr>
                  <w:tcW w:w="725" w:type="dxa"/>
                  <w:vAlign w:val="center"/>
                </w:tcPr>
                <w:p w14:paraId="55DA4ECB">
                  <w:pPr>
                    <w:pStyle w:val="40"/>
                    <w:bidi w:val="0"/>
                    <w:rPr>
                      <w:rFonts w:hint="default"/>
                      <w:lang w:val="en-US" w:eastAsia="zh-CN"/>
                    </w:rPr>
                  </w:pPr>
                  <w:r>
                    <w:rPr>
                      <w:rFonts w:hint="eastAsia"/>
                      <w:lang w:val="en-US" w:eastAsia="zh-CN"/>
                    </w:rPr>
                    <w:t>0</w:t>
                  </w:r>
                </w:p>
              </w:tc>
              <w:tc>
                <w:tcPr>
                  <w:tcW w:w="832" w:type="dxa"/>
                  <w:vAlign w:val="center"/>
                </w:tcPr>
                <w:p w14:paraId="5162A6C9">
                  <w:pPr>
                    <w:pStyle w:val="40"/>
                    <w:bidi w:val="0"/>
                    <w:rPr>
                      <w:rFonts w:hint="default"/>
                      <w:lang w:val="en-US" w:eastAsia="zh-CN"/>
                    </w:rPr>
                  </w:pPr>
                  <w:r>
                    <w:rPr>
                      <w:rFonts w:hint="eastAsia"/>
                      <w:lang w:val="en-US" w:eastAsia="zh-CN"/>
                    </w:rPr>
                    <w:t>1000</w:t>
                  </w:r>
                </w:p>
              </w:tc>
              <w:tc>
                <w:tcPr>
                  <w:tcW w:w="536" w:type="dxa"/>
                  <w:vAlign w:val="center"/>
                </w:tcPr>
                <w:p w14:paraId="23215B26">
                  <w:pPr>
                    <w:pStyle w:val="40"/>
                    <w:bidi w:val="0"/>
                    <w:rPr>
                      <w:rFonts w:hint="default"/>
                      <w:lang w:val="en-US" w:eastAsia="zh-CN"/>
                    </w:rPr>
                  </w:pPr>
                  <w:r>
                    <w:rPr>
                      <w:rFonts w:hint="eastAsia"/>
                      <w:lang w:val="en-US" w:eastAsia="zh-CN"/>
                    </w:rPr>
                    <w:t>/</w:t>
                  </w:r>
                </w:p>
              </w:tc>
              <w:tc>
                <w:tcPr>
                  <w:tcW w:w="707" w:type="dxa"/>
                  <w:vAlign w:val="center"/>
                </w:tcPr>
                <w:p w14:paraId="3312C9F3">
                  <w:pPr>
                    <w:pStyle w:val="40"/>
                    <w:bidi w:val="0"/>
                    <w:rPr>
                      <w:rFonts w:hint="default"/>
                      <w:lang w:val="en-US" w:eastAsia="zh-CN"/>
                    </w:rPr>
                  </w:pPr>
                  <w:r>
                    <w:rPr>
                      <w:rFonts w:hint="default"/>
                      <w:lang w:val="en-US" w:eastAsia="zh-CN"/>
                    </w:rPr>
                    <w:t xml:space="preserve">0.082 </w:t>
                  </w:r>
                </w:p>
              </w:tc>
              <w:tc>
                <w:tcPr>
                  <w:tcW w:w="918" w:type="dxa"/>
                  <w:vAlign w:val="center"/>
                </w:tcPr>
                <w:p w14:paraId="60B0151C">
                  <w:pPr>
                    <w:pStyle w:val="40"/>
                    <w:bidi w:val="0"/>
                    <w:rPr>
                      <w:rFonts w:hint="default"/>
                      <w:lang w:val="en-US" w:eastAsia="zh-CN"/>
                    </w:rPr>
                  </w:pPr>
                  <w:r>
                    <w:rPr>
                      <w:rFonts w:hint="default"/>
                      <w:lang w:val="en-US" w:eastAsia="zh-CN"/>
                    </w:rPr>
                    <w:t xml:space="preserve">0.023 </w:t>
                  </w:r>
                </w:p>
              </w:tc>
              <w:tc>
                <w:tcPr>
                  <w:tcW w:w="1099" w:type="dxa"/>
                  <w:vAlign w:val="center"/>
                </w:tcPr>
                <w:p w14:paraId="60AC94A5">
                  <w:pPr>
                    <w:pStyle w:val="40"/>
                    <w:bidi w:val="0"/>
                    <w:rPr>
                      <w:rFonts w:hint="default"/>
                      <w:lang w:val="en-US" w:eastAsia="zh-CN"/>
                    </w:rPr>
                  </w:pPr>
                  <w:r>
                    <w:rPr>
                      <w:rFonts w:hint="default"/>
                      <w:lang w:val="en-US" w:eastAsia="zh-CN"/>
                    </w:rPr>
                    <w:t xml:space="preserve">22.87 </w:t>
                  </w:r>
                </w:p>
              </w:tc>
              <w:tc>
                <w:tcPr>
                  <w:tcW w:w="804" w:type="dxa"/>
                  <w:vAlign w:val="center"/>
                </w:tcPr>
                <w:p w14:paraId="6C5A90CE">
                  <w:pPr>
                    <w:pStyle w:val="40"/>
                    <w:bidi w:val="0"/>
                    <w:rPr>
                      <w:rFonts w:hint="default"/>
                      <w:lang w:val="en-US" w:eastAsia="zh-CN"/>
                    </w:rPr>
                  </w:pPr>
                  <w:r>
                    <w:rPr>
                      <w:rFonts w:hint="eastAsia"/>
                      <w:lang w:val="en-US" w:eastAsia="zh-CN"/>
                    </w:rPr>
                    <w:t>3600</w:t>
                  </w:r>
                </w:p>
              </w:tc>
            </w:tr>
            <w:tr w14:paraId="3FE89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Merge w:val="restart"/>
                  <w:vAlign w:val="center"/>
                </w:tcPr>
                <w:p w14:paraId="459429A6">
                  <w:pPr>
                    <w:pStyle w:val="40"/>
                    <w:bidi w:val="0"/>
                    <w:rPr>
                      <w:rFonts w:hint="default"/>
                      <w:lang w:val="en-US" w:eastAsia="zh-CN"/>
                    </w:rPr>
                  </w:pPr>
                  <w:r>
                    <w:rPr>
                      <w:rFonts w:hint="eastAsia"/>
                      <w:lang w:val="en-US" w:eastAsia="zh-CN"/>
                    </w:rPr>
                    <w:t>DA001</w:t>
                  </w:r>
                </w:p>
              </w:tc>
              <w:tc>
                <w:tcPr>
                  <w:tcW w:w="640" w:type="dxa"/>
                  <w:vMerge w:val="restart"/>
                  <w:vAlign w:val="center"/>
                </w:tcPr>
                <w:p w14:paraId="72E08981">
                  <w:pPr>
                    <w:pStyle w:val="40"/>
                    <w:bidi w:val="0"/>
                    <w:rPr>
                      <w:rFonts w:hint="default"/>
                      <w:lang w:val="en-US" w:eastAsia="zh-CN"/>
                    </w:rPr>
                  </w:pPr>
                  <w:r>
                    <w:rPr>
                      <w:rFonts w:hint="eastAsia"/>
                      <w:lang w:val="en-US" w:eastAsia="zh-CN"/>
                    </w:rPr>
                    <w:t>焚烧废气+抛丸废气+喷塑废气+固化丝印废气</w:t>
                  </w:r>
                </w:p>
              </w:tc>
              <w:tc>
                <w:tcPr>
                  <w:tcW w:w="569" w:type="dxa"/>
                  <w:vAlign w:val="center"/>
                </w:tcPr>
                <w:p w14:paraId="32A1C7FA">
                  <w:pPr>
                    <w:pStyle w:val="40"/>
                    <w:bidi w:val="0"/>
                    <w:rPr>
                      <w:rFonts w:hint="default"/>
                      <w:lang w:val="en-US" w:eastAsia="zh-CN"/>
                    </w:rPr>
                  </w:pPr>
                  <w:r>
                    <w:rPr>
                      <w:rFonts w:hint="eastAsia"/>
                      <w:lang w:val="en-US" w:eastAsia="zh-CN"/>
                    </w:rPr>
                    <w:t>颗粒物</w:t>
                  </w:r>
                </w:p>
              </w:tc>
              <w:tc>
                <w:tcPr>
                  <w:tcW w:w="374" w:type="dxa"/>
                  <w:vAlign w:val="center"/>
                </w:tcPr>
                <w:p w14:paraId="40CAACBD">
                  <w:pPr>
                    <w:pStyle w:val="40"/>
                    <w:bidi w:val="0"/>
                    <w:rPr>
                      <w:rFonts w:hint="default" w:cs="Times New Roman"/>
                      <w:lang w:val="en-US" w:eastAsia="zh-CN"/>
                    </w:rPr>
                  </w:pPr>
                  <w:r>
                    <w:rPr>
                      <w:rFonts w:hint="eastAsia" w:cs="Times New Roman"/>
                      <w:lang w:val="en-US" w:eastAsia="zh-CN"/>
                    </w:rPr>
                    <w:t>/</w:t>
                  </w:r>
                </w:p>
              </w:tc>
              <w:tc>
                <w:tcPr>
                  <w:tcW w:w="374" w:type="dxa"/>
                  <w:vMerge w:val="restart"/>
                  <w:vAlign w:val="center"/>
                </w:tcPr>
                <w:p w14:paraId="21E19EDE">
                  <w:pPr>
                    <w:pStyle w:val="40"/>
                    <w:bidi w:val="0"/>
                    <w:rPr>
                      <w:rFonts w:hint="default" w:ascii="Times New Roman" w:hAnsi="Times New Roman" w:cs="Times New Roman"/>
                      <w:lang w:val="en-US" w:eastAsia="zh-CN"/>
                    </w:rPr>
                  </w:pPr>
                  <w:r>
                    <w:rPr>
                      <w:rFonts w:hint="eastAsia" w:cs="Times New Roman"/>
                      <w:lang w:val="en-US" w:eastAsia="zh-CN"/>
                    </w:rPr>
                    <w:t>有组织</w:t>
                  </w:r>
                </w:p>
              </w:tc>
              <w:tc>
                <w:tcPr>
                  <w:tcW w:w="707" w:type="dxa"/>
                  <w:vAlign w:val="center"/>
                </w:tcPr>
                <w:p w14:paraId="05093C06">
                  <w:pPr>
                    <w:pStyle w:val="40"/>
                    <w:bidi w:val="0"/>
                    <w:rPr>
                      <w:rFonts w:hint="eastAsia"/>
                      <w:lang w:val="en-US" w:eastAsia="zh-CN"/>
                    </w:rPr>
                  </w:pPr>
                  <w:r>
                    <w:rPr>
                      <w:rFonts w:hint="eastAsia"/>
                      <w:lang w:val="en-US" w:eastAsia="zh-CN"/>
                    </w:rPr>
                    <w:t xml:space="preserve">4.849 </w:t>
                  </w:r>
                </w:p>
              </w:tc>
              <w:tc>
                <w:tcPr>
                  <w:tcW w:w="918" w:type="dxa"/>
                  <w:vAlign w:val="center"/>
                </w:tcPr>
                <w:p w14:paraId="609D6269">
                  <w:pPr>
                    <w:pStyle w:val="40"/>
                    <w:bidi w:val="0"/>
                    <w:rPr>
                      <w:rFonts w:hint="default"/>
                      <w:lang w:val="en-US" w:eastAsia="zh-CN"/>
                    </w:rPr>
                  </w:pPr>
                  <w:r>
                    <w:rPr>
                      <w:rFonts w:hint="eastAsia"/>
                      <w:lang w:val="en-US" w:eastAsia="zh-CN"/>
                    </w:rPr>
                    <w:t xml:space="preserve">1.347 </w:t>
                  </w:r>
                </w:p>
              </w:tc>
              <w:tc>
                <w:tcPr>
                  <w:tcW w:w="1099" w:type="dxa"/>
                  <w:vAlign w:val="center"/>
                </w:tcPr>
                <w:p w14:paraId="2E6FB48F">
                  <w:pPr>
                    <w:pStyle w:val="40"/>
                    <w:bidi w:val="0"/>
                    <w:rPr>
                      <w:rFonts w:hint="default"/>
                      <w:lang w:val="en-US" w:eastAsia="zh-CN"/>
                    </w:rPr>
                  </w:pPr>
                  <w:r>
                    <w:rPr>
                      <w:rFonts w:hint="eastAsia"/>
                      <w:lang w:val="en-US" w:eastAsia="zh-CN"/>
                    </w:rPr>
                    <w:t xml:space="preserve">179.60 </w:t>
                  </w:r>
                </w:p>
              </w:tc>
              <w:tc>
                <w:tcPr>
                  <w:tcW w:w="725" w:type="dxa"/>
                  <w:vMerge w:val="restart"/>
                  <w:vAlign w:val="center"/>
                </w:tcPr>
                <w:p w14:paraId="4A3D2E6C">
                  <w:pPr>
                    <w:pStyle w:val="40"/>
                    <w:bidi w:val="0"/>
                    <w:rPr>
                      <w:rFonts w:hint="eastAsia"/>
                      <w:lang w:val="en-US" w:eastAsia="zh-CN"/>
                    </w:rPr>
                  </w:pPr>
                  <w:r>
                    <w:rPr>
                      <w:rFonts w:hint="eastAsia"/>
                      <w:lang w:val="en-US" w:eastAsia="zh-CN"/>
                    </w:rPr>
                    <w:t>/</w:t>
                  </w:r>
                </w:p>
              </w:tc>
              <w:tc>
                <w:tcPr>
                  <w:tcW w:w="725" w:type="dxa"/>
                  <w:vMerge w:val="restart"/>
                  <w:vAlign w:val="center"/>
                </w:tcPr>
                <w:p w14:paraId="09009206">
                  <w:pPr>
                    <w:pStyle w:val="40"/>
                    <w:bidi w:val="0"/>
                    <w:rPr>
                      <w:rFonts w:hint="eastAsia"/>
                      <w:lang w:val="en-US" w:eastAsia="zh-CN"/>
                    </w:rPr>
                  </w:pPr>
                  <w:r>
                    <w:rPr>
                      <w:rFonts w:hint="eastAsia"/>
                      <w:lang w:val="en-US" w:eastAsia="zh-CN"/>
                    </w:rPr>
                    <w:t>/</w:t>
                  </w:r>
                </w:p>
              </w:tc>
              <w:tc>
                <w:tcPr>
                  <w:tcW w:w="725" w:type="dxa"/>
                  <w:vMerge w:val="restart"/>
                  <w:vAlign w:val="center"/>
                </w:tcPr>
                <w:p w14:paraId="11140080">
                  <w:pPr>
                    <w:pStyle w:val="40"/>
                    <w:bidi w:val="0"/>
                    <w:rPr>
                      <w:rFonts w:hint="eastAsia"/>
                      <w:lang w:val="en-US" w:eastAsia="zh-CN"/>
                    </w:rPr>
                  </w:pPr>
                  <w:r>
                    <w:rPr>
                      <w:rFonts w:hint="eastAsia"/>
                      <w:lang w:val="en-US" w:eastAsia="zh-CN"/>
                    </w:rPr>
                    <w:t>/</w:t>
                  </w:r>
                </w:p>
              </w:tc>
              <w:tc>
                <w:tcPr>
                  <w:tcW w:w="832" w:type="dxa"/>
                  <w:vMerge w:val="restart"/>
                  <w:vAlign w:val="center"/>
                </w:tcPr>
                <w:p w14:paraId="2B91E7DC">
                  <w:pPr>
                    <w:pStyle w:val="40"/>
                    <w:bidi w:val="0"/>
                    <w:rPr>
                      <w:rFonts w:hint="eastAsia"/>
                      <w:lang w:val="en-US" w:eastAsia="zh-CN"/>
                    </w:rPr>
                  </w:pPr>
                  <w:r>
                    <w:rPr>
                      <w:rFonts w:hint="eastAsia"/>
                      <w:lang w:val="en-US" w:eastAsia="zh-CN"/>
                    </w:rPr>
                    <w:t>7500</w:t>
                  </w:r>
                </w:p>
              </w:tc>
              <w:tc>
                <w:tcPr>
                  <w:tcW w:w="536" w:type="dxa"/>
                  <w:vAlign w:val="center"/>
                </w:tcPr>
                <w:p w14:paraId="0AF3C523">
                  <w:pPr>
                    <w:pStyle w:val="40"/>
                    <w:bidi w:val="0"/>
                    <w:rPr>
                      <w:rFonts w:hint="eastAsia"/>
                      <w:lang w:val="en-US" w:eastAsia="zh-CN"/>
                    </w:rPr>
                  </w:pPr>
                  <w:r>
                    <w:rPr>
                      <w:rFonts w:hint="eastAsia"/>
                      <w:lang w:val="en-US" w:eastAsia="zh-CN"/>
                    </w:rPr>
                    <w:t>是</w:t>
                  </w:r>
                </w:p>
              </w:tc>
              <w:tc>
                <w:tcPr>
                  <w:tcW w:w="707" w:type="dxa"/>
                  <w:vAlign w:val="center"/>
                </w:tcPr>
                <w:p w14:paraId="2D283282">
                  <w:pPr>
                    <w:pStyle w:val="40"/>
                    <w:bidi w:val="0"/>
                    <w:rPr>
                      <w:rFonts w:hint="default"/>
                      <w:lang w:val="en-US" w:eastAsia="zh-CN"/>
                    </w:rPr>
                  </w:pPr>
                  <w:r>
                    <w:rPr>
                      <w:rFonts w:hint="eastAsia"/>
                      <w:lang w:val="en-US" w:eastAsia="zh-CN"/>
                    </w:rPr>
                    <w:t xml:space="preserve">0.439 </w:t>
                  </w:r>
                </w:p>
              </w:tc>
              <w:tc>
                <w:tcPr>
                  <w:tcW w:w="918" w:type="dxa"/>
                  <w:vAlign w:val="center"/>
                </w:tcPr>
                <w:p w14:paraId="6A5F6ACF">
                  <w:pPr>
                    <w:pStyle w:val="40"/>
                    <w:bidi w:val="0"/>
                    <w:rPr>
                      <w:rFonts w:hint="default"/>
                      <w:lang w:val="en-US" w:eastAsia="zh-CN"/>
                    </w:rPr>
                  </w:pPr>
                  <w:r>
                    <w:rPr>
                      <w:rFonts w:hint="eastAsia"/>
                      <w:lang w:val="en-US" w:eastAsia="zh-CN"/>
                    </w:rPr>
                    <w:t xml:space="preserve">0.122 </w:t>
                  </w:r>
                </w:p>
              </w:tc>
              <w:tc>
                <w:tcPr>
                  <w:tcW w:w="1099" w:type="dxa"/>
                  <w:vAlign w:val="center"/>
                </w:tcPr>
                <w:p w14:paraId="2EFEADC4">
                  <w:pPr>
                    <w:pStyle w:val="40"/>
                    <w:bidi w:val="0"/>
                    <w:rPr>
                      <w:rFonts w:hint="default"/>
                      <w:lang w:val="en-US" w:eastAsia="zh-CN"/>
                    </w:rPr>
                  </w:pPr>
                  <w:r>
                    <w:rPr>
                      <w:rFonts w:hint="default"/>
                      <w:lang w:val="en-US" w:eastAsia="zh-CN"/>
                    </w:rPr>
                    <w:t xml:space="preserve">16.25 </w:t>
                  </w:r>
                </w:p>
              </w:tc>
              <w:tc>
                <w:tcPr>
                  <w:tcW w:w="804" w:type="dxa"/>
                  <w:vAlign w:val="center"/>
                </w:tcPr>
                <w:p w14:paraId="4094EDAE">
                  <w:pPr>
                    <w:pStyle w:val="40"/>
                    <w:bidi w:val="0"/>
                    <w:rPr>
                      <w:rFonts w:hint="eastAsia"/>
                      <w:lang w:val="en-US" w:eastAsia="zh-CN"/>
                    </w:rPr>
                  </w:pPr>
                  <w:r>
                    <w:rPr>
                      <w:rFonts w:hint="eastAsia"/>
                      <w:lang w:val="en-US" w:eastAsia="zh-CN"/>
                    </w:rPr>
                    <w:t>3600</w:t>
                  </w:r>
                </w:p>
              </w:tc>
            </w:tr>
            <w:tr w14:paraId="31E12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Merge w:val="continue"/>
                  <w:vAlign w:val="center"/>
                </w:tcPr>
                <w:p w14:paraId="30866DBE">
                  <w:pPr>
                    <w:pStyle w:val="40"/>
                    <w:bidi w:val="0"/>
                    <w:rPr>
                      <w:rFonts w:hint="default"/>
                      <w:lang w:val="en-US" w:eastAsia="zh-CN"/>
                    </w:rPr>
                  </w:pPr>
                </w:p>
              </w:tc>
              <w:tc>
                <w:tcPr>
                  <w:tcW w:w="640" w:type="dxa"/>
                  <w:vMerge w:val="continue"/>
                  <w:vAlign w:val="center"/>
                </w:tcPr>
                <w:p w14:paraId="136886CA">
                  <w:pPr>
                    <w:pStyle w:val="40"/>
                    <w:bidi w:val="0"/>
                    <w:rPr>
                      <w:rFonts w:hint="default"/>
                      <w:lang w:val="en-US" w:eastAsia="zh-CN"/>
                    </w:rPr>
                  </w:pPr>
                </w:p>
              </w:tc>
              <w:tc>
                <w:tcPr>
                  <w:tcW w:w="569" w:type="dxa"/>
                  <w:vAlign w:val="center"/>
                </w:tcPr>
                <w:p w14:paraId="72557104">
                  <w:pPr>
                    <w:pStyle w:val="40"/>
                    <w:bidi w:val="0"/>
                    <w:rPr>
                      <w:rFonts w:hint="default"/>
                      <w:lang w:val="en-US" w:eastAsia="zh-CN"/>
                    </w:rPr>
                  </w:pPr>
                  <w:r>
                    <w:rPr>
                      <w:rFonts w:hint="eastAsia"/>
                      <w:lang w:val="en-US" w:eastAsia="zh-CN"/>
                    </w:rPr>
                    <w:t>SO</w:t>
                  </w:r>
                  <w:r>
                    <w:rPr>
                      <w:rFonts w:hint="eastAsia"/>
                      <w:vertAlign w:val="superscript"/>
                      <w:lang w:val="en-US" w:eastAsia="zh-CN"/>
                    </w:rPr>
                    <w:t>2</w:t>
                  </w:r>
                </w:p>
              </w:tc>
              <w:tc>
                <w:tcPr>
                  <w:tcW w:w="374" w:type="dxa"/>
                  <w:vAlign w:val="center"/>
                </w:tcPr>
                <w:p w14:paraId="3FD74BDE">
                  <w:pPr>
                    <w:pStyle w:val="40"/>
                    <w:bidi w:val="0"/>
                    <w:rPr>
                      <w:rFonts w:hint="eastAsia"/>
                      <w:lang w:val="en-US" w:eastAsia="zh-CN"/>
                    </w:rPr>
                  </w:pPr>
                  <w:r>
                    <w:rPr>
                      <w:rFonts w:hint="eastAsia"/>
                      <w:lang w:val="en-US" w:eastAsia="zh-CN"/>
                    </w:rPr>
                    <w:t>/</w:t>
                  </w:r>
                </w:p>
              </w:tc>
              <w:tc>
                <w:tcPr>
                  <w:tcW w:w="374" w:type="dxa"/>
                  <w:vMerge w:val="continue"/>
                  <w:vAlign w:val="center"/>
                </w:tcPr>
                <w:p w14:paraId="444CA6D2">
                  <w:pPr>
                    <w:pStyle w:val="40"/>
                    <w:bidi w:val="0"/>
                    <w:rPr>
                      <w:rFonts w:hint="default" w:ascii="Times New Roman" w:hAnsi="Times New Roman" w:cs="Times New Roman"/>
                      <w:lang w:val="en-US" w:eastAsia="zh-CN"/>
                    </w:rPr>
                  </w:pPr>
                </w:p>
              </w:tc>
              <w:tc>
                <w:tcPr>
                  <w:tcW w:w="707" w:type="dxa"/>
                  <w:vAlign w:val="center"/>
                </w:tcPr>
                <w:p w14:paraId="0FD6884E">
                  <w:pPr>
                    <w:pStyle w:val="40"/>
                    <w:bidi w:val="0"/>
                    <w:rPr>
                      <w:rFonts w:hint="eastAsia"/>
                      <w:lang w:val="en-US" w:eastAsia="zh-CN"/>
                    </w:rPr>
                  </w:pPr>
                  <w:r>
                    <w:rPr>
                      <w:rFonts w:hint="eastAsia"/>
                      <w:lang w:val="en-US" w:eastAsia="zh-CN"/>
                    </w:rPr>
                    <w:t xml:space="preserve">0.006 </w:t>
                  </w:r>
                </w:p>
              </w:tc>
              <w:tc>
                <w:tcPr>
                  <w:tcW w:w="918" w:type="dxa"/>
                  <w:vAlign w:val="center"/>
                </w:tcPr>
                <w:p w14:paraId="02284FAE">
                  <w:pPr>
                    <w:pStyle w:val="40"/>
                    <w:bidi w:val="0"/>
                    <w:rPr>
                      <w:rFonts w:hint="default"/>
                      <w:lang w:val="en-US" w:eastAsia="zh-CN"/>
                    </w:rPr>
                  </w:pPr>
                  <w:r>
                    <w:rPr>
                      <w:rFonts w:hint="eastAsia"/>
                      <w:lang w:val="en-US" w:eastAsia="zh-CN"/>
                    </w:rPr>
                    <w:t xml:space="preserve">0.002 </w:t>
                  </w:r>
                </w:p>
              </w:tc>
              <w:tc>
                <w:tcPr>
                  <w:tcW w:w="1099" w:type="dxa"/>
                  <w:vAlign w:val="center"/>
                </w:tcPr>
                <w:p w14:paraId="64A8AD86">
                  <w:pPr>
                    <w:pStyle w:val="40"/>
                    <w:bidi w:val="0"/>
                    <w:rPr>
                      <w:rFonts w:hint="default"/>
                      <w:lang w:val="en-US" w:eastAsia="zh-CN"/>
                    </w:rPr>
                  </w:pPr>
                  <w:r>
                    <w:rPr>
                      <w:rFonts w:hint="eastAsia"/>
                      <w:lang w:val="en-US" w:eastAsia="zh-CN"/>
                    </w:rPr>
                    <w:t>0.23</w:t>
                  </w:r>
                </w:p>
              </w:tc>
              <w:tc>
                <w:tcPr>
                  <w:tcW w:w="725" w:type="dxa"/>
                  <w:vMerge w:val="continue"/>
                  <w:vAlign w:val="center"/>
                </w:tcPr>
                <w:p w14:paraId="631FC6EF">
                  <w:pPr>
                    <w:pStyle w:val="40"/>
                    <w:bidi w:val="0"/>
                    <w:rPr>
                      <w:rFonts w:hint="eastAsia"/>
                      <w:lang w:val="en-US" w:eastAsia="zh-CN"/>
                    </w:rPr>
                  </w:pPr>
                </w:p>
              </w:tc>
              <w:tc>
                <w:tcPr>
                  <w:tcW w:w="725" w:type="dxa"/>
                  <w:vMerge w:val="continue"/>
                  <w:vAlign w:val="center"/>
                </w:tcPr>
                <w:p w14:paraId="4939698C">
                  <w:pPr>
                    <w:pStyle w:val="40"/>
                    <w:bidi w:val="0"/>
                    <w:rPr>
                      <w:rFonts w:hint="eastAsia"/>
                      <w:lang w:val="en-US" w:eastAsia="zh-CN"/>
                    </w:rPr>
                  </w:pPr>
                </w:p>
              </w:tc>
              <w:tc>
                <w:tcPr>
                  <w:tcW w:w="725" w:type="dxa"/>
                  <w:vMerge w:val="continue"/>
                  <w:vAlign w:val="center"/>
                </w:tcPr>
                <w:p w14:paraId="677DB290">
                  <w:pPr>
                    <w:pStyle w:val="40"/>
                    <w:bidi w:val="0"/>
                    <w:rPr>
                      <w:rFonts w:hint="eastAsia"/>
                      <w:lang w:val="en-US" w:eastAsia="zh-CN"/>
                    </w:rPr>
                  </w:pPr>
                </w:p>
              </w:tc>
              <w:tc>
                <w:tcPr>
                  <w:tcW w:w="832" w:type="dxa"/>
                  <w:vMerge w:val="continue"/>
                  <w:vAlign w:val="center"/>
                </w:tcPr>
                <w:p w14:paraId="5EF3ED58">
                  <w:pPr>
                    <w:pStyle w:val="40"/>
                    <w:bidi w:val="0"/>
                    <w:rPr>
                      <w:rFonts w:hint="eastAsia"/>
                      <w:lang w:val="en-US" w:eastAsia="zh-CN"/>
                    </w:rPr>
                  </w:pPr>
                </w:p>
              </w:tc>
              <w:tc>
                <w:tcPr>
                  <w:tcW w:w="536" w:type="dxa"/>
                  <w:vAlign w:val="center"/>
                </w:tcPr>
                <w:p w14:paraId="1E15F00A">
                  <w:pPr>
                    <w:pStyle w:val="40"/>
                    <w:bidi w:val="0"/>
                    <w:rPr>
                      <w:rFonts w:hint="eastAsia"/>
                      <w:lang w:val="en-US" w:eastAsia="zh-CN"/>
                    </w:rPr>
                  </w:pPr>
                  <w:r>
                    <w:rPr>
                      <w:rFonts w:hint="eastAsia"/>
                      <w:lang w:val="en-US" w:eastAsia="zh-CN"/>
                    </w:rPr>
                    <w:t>是</w:t>
                  </w:r>
                </w:p>
              </w:tc>
              <w:tc>
                <w:tcPr>
                  <w:tcW w:w="707" w:type="dxa"/>
                  <w:vAlign w:val="center"/>
                </w:tcPr>
                <w:p w14:paraId="572A94CE">
                  <w:pPr>
                    <w:pStyle w:val="40"/>
                    <w:bidi w:val="0"/>
                    <w:rPr>
                      <w:rFonts w:hint="default"/>
                      <w:lang w:val="en-US" w:eastAsia="zh-CN"/>
                    </w:rPr>
                  </w:pPr>
                  <w:r>
                    <w:rPr>
                      <w:rFonts w:hint="eastAsia"/>
                      <w:lang w:val="en-US" w:eastAsia="zh-CN"/>
                    </w:rPr>
                    <w:t xml:space="preserve">0.006 </w:t>
                  </w:r>
                </w:p>
              </w:tc>
              <w:tc>
                <w:tcPr>
                  <w:tcW w:w="918" w:type="dxa"/>
                  <w:vAlign w:val="center"/>
                </w:tcPr>
                <w:p w14:paraId="2C4E4FDD">
                  <w:pPr>
                    <w:pStyle w:val="40"/>
                    <w:bidi w:val="0"/>
                    <w:rPr>
                      <w:rFonts w:hint="default"/>
                      <w:lang w:val="en-US" w:eastAsia="zh-CN"/>
                    </w:rPr>
                  </w:pPr>
                  <w:r>
                    <w:rPr>
                      <w:rFonts w:hint="eastAsia"/>
                      <w:lang w:val="en-US" w:eastAsia="zh-CN"/>
                    </w:rPr>
                    <w:t xml:space="preserve">0.002 </w:t>
                  </w:r>
                </w:p>
              </w:tc>
              <w:tc>
                <w:tcPr>
                  <w:tcW w:w="1099" w:type="dxa"/>
                  <w:vAlign w:val="center"/>
                </w:tcPr>
                <w:p w14:paraId="1EACCDE1">
                  <w:pPr>
                    <w:pStyle w:val="40"/>
                    <w:bidi w:val="0"/>
                    <w:rPr>
                      <w:rFonts w:hint="default"/>
                      <w:lang w:val="en-US" w:eastAsia="zh-CN"/>
                    </w:rPr>
                  </w:pPr>
                  <w:r>
                    <w:rPr>
                      <w:rFonts w:hint="default"/>
                      <w:lang w:val="en-US" w:eastAsia="zh-CN"/>
                    </w:rPr>
                    <w:t xml:space="preserve">0.23 </w:t>
                  </w:r>
                </w:p>
              </w:tc>
              <w:tc>
                <w:tcPr>
                  <w:tcW w:w="804" w:type="dxa"/>
                  <w:vAlign w:val="center"/>
                </w:tcPr>
                <w:p w14:paraId="6F2FFA86">
                  <w:pPr>
                    <w:pStyle w:val="40"/>
                    <w:bidi w:val="0"/>
                    <w:rPr>
                      <w:rFonts w:hint="eastAsia"/>
                      <w:lang w:val="en-US" w:eastAsia="zh-CN"/>
                    </w:rPr>
                  </w:pPr>
                  <w:r>
                    <w:rPr>
                      <w:rFonts w:hint="eastAsia"/>
                      <w:lang w:val="en-US" w:eastAsia="zh-CN"/>
                    </w:rPr>
                    <w:t>3600</w:t>
                  </w:r>
                </w:p>
              </w:tc>
            </w:tr>
            <w:tr w14:paraId="133BA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Merge w:val="continue"/>
                  <w:vAlign w:val="center"/>
                </w:tcPr>
                <w:p w14:paraId="6FD2319A">
                  <w:pPr>
                    <w:pStyle w:val="40"/>
                    <w:bidi w:val="0"/>
                    <w:rPr>
                      <w:rFonts w:hint="default"/>
                      <w:lang w:val="en-US" w:eastAsia="zh-CN"/>
                    </w:rPr>
                  </w:pPr>
                </w:p>
              </w:tc>
              <w:tc>
                <w:tcPr>
                  <w:tcW w:w="640" w:type="dxa"/>
                  <w:vMerge w:val="continue"/>
                  <w:vAlign w:val="center"/>
                </w:tcPr>
                <w:p w14:paraId="7BEA1A1A">
                  <w:pPr>
                    <w:pStyle w:val="40"/>
                    <w:bidi w:val="0"/>
                    <w:rPr>
                      <w:rFonts w:hint="default"/>
                      <w:lang w:val="en-US" w:eastAsia="zh-CN"/>
                    </w:rPr>
                  </w:pPr>
                </w:p>
              </w:tc>
              <w:tc>
                <w:tcPr>
                  <w:tcW w:w="569" w:type="dxa"/>
                  <w:vAlign w:val="center"/>
                </w:tcPr>
                <w:p w14:paraId="6195ED16">
                  <w:pPr>
                    <w:pStyle w:val="40"/>
                    <w:bidi w:val="0"/>
                    <w:rPr>
                      <w:rFonts w:hint="default"/>
                      <w:lang w:val="en-US" w:eastAsia="zh-CN"/>
                    </w:rPr>
                  </w:pPr>
                  <w:r>
                    <w:rPr>
                      <w:rFonts w:hint="eastAsia"/>
                      <w:lang w:val="en-US" w:eastAsia="zh-CN"/>
                    </w:rPr>
                    <w:t>NOx</w:t>
                  </w:r>
                </w:p>
              </w:tc>
              <w:tc>
                <w:tcPr>
                  <w:tcW w:w="374" w:type="dxa"/>
                  <w:vAlign w:val="center"/>
                </w:tcPr>
                <w:p w14:paraId="55533DC1">
                  <w:pPr>
                    <w:pStyle w:val="40"/>
                    <w:bidi w:val="0"/>
                    <w:rPr>
                      <w:rFonts w:hint="eastAsia"/>
                      <w:lang w:val="en-US" w:eastAsia="zh-CN"/>
                    </w:rPr>
                  </w:pPr>
                  <w:r>
                    <w:rPr>
                      <w:rFonts w:hint="eastAsia"/>
                      <w:lang w:val="en-US" w:eastAsia="zh-CN"/>
                    </w:rPr>
                    <w:t>/</w:t>
                  </w:r>
                </w:p>
              </w:tc>
              <w:tc>
                <w:tcPr>
                  <w:tcW w:w="374" w:type="dxa"/>
                  <w:vMerge w:val="continue"/>
                  <w:vAlign w:val="center"/>
                </w:tcPr>
                <w:p w14:paraId="4B326C22">
                  <w:pPr>
                    <w:pStyle w:val="40"/>
                    <w:bidi w:val="0"/>
                    <w:rPr>
                      <w:rFonts w:hint="default" w:ascii="Times New Roman" w:hAnsi="Times New Roman" w:cs="Times New Roman"/>
                      <w:lang w:val="en-US" w:eastAsia="zh-CN"/>
                    </w:rPr>
                  </w:pPr>
                </w:p>
              </w:tc>
              <w:tc>
                <w:tcPr>
                  <w:tcW w:w="707" w:type="dxa"/>
                  <w:vAlign w:val="center"/>
                </w:tcPr>
                <w:p w14:paraId="1E5E5405">
                  <w:pPr>
                    <w:pStyle w:val="40"/>
                    <w:bidi w:val="0"/>
                    <w:rPr>
                      <w:rFonts w:hint="eastAsia"/>
                      <w:lang w:val="en-US" w:eastAsia="zh-CN"/>
                    </w:rPr>
                  </w:pPr>
                  <w:r>
                    <w:rPr>
                      <w:rFonts w:hint="eastAsia"/>
                      <w:lang w:val="en-US" w:eastAsia="zh-CN"/>
                    </w:rPr>
                    <w:t xml:space="preserve">0.054 </w:t>
                  </w:r>
                </w:p>
              </w:tc>
              <w:tc>
                <w:tcPr>
                  <w:tcW w:w="918" w:type="dxa"/>
                  <w:vAlign w:val="center"/>
                </w:tcPr>
                <w:p w14:paraId="42584931">
                  <w:pPr>
                    <w:pStyle w:val="40"/>
                    <w:bidi w:val="0"/>
                    <w:rPr>
                      <w:rFonts w:hint="default"/>
                      <w:lang w:val="en-US" w:eastAsia="zh-CN"/>
                    </w:rPr>
                  </w:pPr>
                  <w:r>
                    <w:rPr>
                      <w:rFonts w:hint="eastAsia"/>
                      <w:lang w:val="en-US" w:eastAsia="zh-CN"/>
                    </w:rPr>
                    <w:t xml:space="preserve">0.015 </w:t>
                  </w:r>
                </w:p>
              </w:tc>
              <w:tc>
                <w:tcPr>
                  <w:tcW w:w="1099" w:type="dxa"/>
                  <w:vAlign w:val="center"/>
                </w:tcPr>
                <w:p w14:paraId="2E010FCC">
                  <w:pPr>
                    <w:pStyle w:val="40"/>
                    <w:bidi w:val="0"/>
                    <w:rPr>
                      <w:rFonts w:hint="default"/>
                      <w:lang w:val="en-US" w:eastAsia="zh-CN"/>
                    </w:rPr>
                  </w:pPr>
                  <w:r>
                    <w:rPr>
                      <w:rFonts w:hint="eastAsia"/>
                      <w:lang w:val="en-US" w:eastAsia="zh-CN"/>
                    </w:rPr>
                    <w:t>1.99</w:t>
                  </w:r>
                </w:p>
              </w:tc>
              <w:tc>
                <w:tcPr>
                  <w:tcW w:w="725" w:type="dxa"/>
                  <w:vMerge w:val="continue"/>
                  <w:vAlign w:val="center"/>
                </w:tcPr>
                <w:p w14:paraId="6095D3D1">
                  <w:pPr>
                    <w:pStyle w:val="40"/>
                    <w:bidi w:val="0"/>
                    <w:rPr>
                      <w:rFonts w:hint="eastAsia"/>
                      <w:lang w:val="en-US" w:eastAsia="zh-CN"/>
                    </w:rPr>
                  </w:pPr>
                </w:p>
              </w:tc>
              <w:tc>
                <w:tcPr>
                  <w:tcW w:w="725" w:type="dxa"/>
                  <w:vMerge w:val="continue"/>
                  <w:vAlign w:val="center"/>
                </w:tcPr>
                <w:p w14:paraId="2834FBB5">
                  <w:pPr>
                    <w:pStyle w:val="40"/>
                    <w:bidi w:val="0"/>
                    <w:rPr>
                      <w:rFonts w:hint="eastAsia"/>
                      <w:lang w:val="en-US" w:eastAsia="zh-CN"/>
                    </w:rPr>
                  </w:pPr>
                </w:p>
              </w:tc>
              <w:tc>
                <w:tcPr>
                  <w:tcW w:w="725" w:type="dxa"/>
                  <w:vMerge w:val="continue"/>
                  <w:vAlign w:val="center"/>
                </w:tcPr>
                <w:p w14:paraId="05CAE382">
                  <w:pPr>
                    <w:pStyle w:val="40"/>
                    <w:bidi w:val="0"/>
                    <w:rPr>
                      <w:rFonts w:hint="eastAsia"/>
                      <w:lang w:val="en-US" w:eastAsia="zh-CN"/>
                    </w:rPr>
                  </w:pPr>
                </w:p>
              </w:tc>
              <w:tc>
                <w:tcPr>
                  <w:tcW w:w="832" w:type="dxa"/>
                  <w:vMerge w:val="continue"/>
                  <w:vAlign w:val="center"/>
                </w:tcPr>
                <w:p w14:paraId="59913B98">
                  <w:pPr>
                    <w:pStyle w:val="40"/>
                    <w:bidi w:val="0"/>
                    <w:rPr>
                      <w:rFonts w:hint="eastAsia"/>
                      <w:lang w:val="en-US" w:eastAsia="zh-CN"/>
                    </w:rPr>
                  </w:pPr>
                </w:p>
              </w:tc>
              <w:tc>
                <w:tcPr>
                  <w:tcW w:w="536" w:type="dxa"/>
                  <w:vAlign w:val="center"/>
                </w:tcPr>
                <w:p w14:paraId="7A5AEE13">
                  <w:pPr>
                    <w:pStyle w:val="40"/>
                    <w:bidi w:val="0"/>
                    <w:rPr>
                      <w:rFonts w:hint="eastAsia"/>
                      <w:lang w:val="en-US" w:eastAsia="zh-CN"/>
                    </w:rPr>
                  </w:pPr>
                  <w:r>
                    <w:rPr>
                      <w:rFonts w:hint="eastAsia"/>
                      <w:lang w:val="en-US" w:eastAsia="zh-CN"/>
                    </w:rPr>
                    <w:t>是</w:t>
                  </w:r>
                </w:p>
              </w:tc>
              <w:tc>
                <w:tcPr>
                  <w:tcW w:w="707" w:type="dxa"/>
                  <w:vAlign w:val="center"/>
                </w:tcPr>
                <w:p w14:paraId="6FB26A2F">
                  <w:pPr>
                    <w:pStyle w:val="40"/>
                    <w:bidi w:val="0"/>
                    <w:rPr>
                      <w:rFonts w:hint="default"/>
                      <w:lang w:val="en-US" w:eastAsia="zh-CN"/>
                    </w:rPr>
                  </w:pPr>
                  <w:r>
                    <w:rPr>
                      <w:rFonts w:hint="eastAsia"/>
                      <w:lang w:val="en-US" w:eastAsia="zh-CN"/>
                    </w:rPr>
                    <w:t xml:space="preserve">0.027 </w:t>
                  </w:r>
                </w:p>
              </w:tc>
              <w:tc>
                <w:tcPr>
                  <w:tcW w:w="918" w:type="dxa"/>
                  <w:vAlign w:val="center"/>
                </w:tcPr>
                <w:p w14:paraId="0123A94D">
                  <w:pPr>
                    <w:pStyle w:val="40"/>
                    <w:bidi w:val="0"/>
                    <w:rPr>
                      <w:rFonts w:hint="default"/>
                      <w:lang w:val="en-US" w:eastAsia="zh-CN"/>
                    </w:rPr>
                  </w:pPr>
                  <w:r>
                    <w:rPr>
                      <w:rFonts w:hint="eastAsia"/>
                      <w:lang w:val="en-US" w:eastAsia="zh-CN"/>
                    </w:rPr>
                    <w:t xml:space="preserve">0.007 </w:t>
                  </w:r>
                </w:p>
              </w:tc>
              <w:tc>
                <w:tcPr>
                  <w:tcW w:w="1099" w:type="dxa"/>
                  <w:vAlign w:val="center"/>
                </w:tcPr>
                <w:p w14:paraId="4D1D30D6">
                  <w:pPr>
                    <w:pStyle w:val="40"/>
                    <w:bidi w:val="0"/>
                    <w:rPr>
                      <w:rFonts w:hint="default"/>
                      <w:lang w:val="en-US" w:eastAsia="zh-CN"/>
                    </w:rPr>
                  </w:pPr>
                  <w:r>
                    <w:rPr>
                      <w:rFonts w:hint="default"/>
                      <w:lang w:val="en-US" w:eastAsia="zh-CN"/>
                    </w:rPr>
                    <w:t xml:space="preserve">0.99 </w:t>
                  </w:r>
                </w:p>
              </w:tc>
              <w:tc>
                <w:tcPr>
                  <w:tcW w:w="804" w:type="dxa"/>
                  <w:vAlign w:val="center"/>
                </w:tcPr>
                <w:p w14:paraId="779CCB0F">
                  <w:pPr>
                    <w:pStyle w:val="40"/>
                    <w:bidi w:val="0"/>
                    <w:rPr>
                      <w:rFonts w:hint="eastAsia"/>
                      <w:lang w:val="en-US" w:eastAsia="zh-CN"/>
                    </w:rPr>
                  </w:pPr>
                  <w:r>
                    <w:rPr>
                      <w:rFonts w:hint="eastAsia"/>
                      <w:lang w:val="en-US" w:eastAsia="zh-CN"/>
                    </w:rPr>
                    <w:t>3600</w:t>
                  </w:r>
                </w:p>
              </w:tc>
            </w:tr>
            <w:tr w14:paraId="6D8FF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629" w:type="dxa"/>
                  <w:vMerge w:val="continue"/>
                  <w:vAlign w:val="center"/>
                </w:tcPr>
                <w:p w14:paraId="3F65F320">
                  <w:pPr>
                    <w:pStyle w:val="40"/>
                    <w:bidi w:val="0"/>
                    <w:rPr>
                      <w:rFonts w:hint="default"/>
                      <w:lang w:val="en-US" w:eastAsia="zh-CN"/>
                    </w:rPr>
                  </w:pPr>
                </w:p>
              </w:tc>
              <w:tc>
                <w:tcPr>
                  <w:tcW w:w="640" w:type="dxa"/>
                  <w:vMerge w:val="continue"/>
                  <w:vAlign w:val="center"/>
                </w:tcPr>
                <w:p w14:paraId="56EAECD7">
                  <w:pPr>
                    <w:pStyle w:val="40"/>
                    <w:bidi w:val="0"/>
                    <w:rPr>
                      <w:rFonts w:hint="default"/>
                      <w:lang w:val="en-US" w:eastAsia="zh-CN"/>
                    </w:rPr>
                  </w:pPr>
                </w:p>
              </w:tc>
              <w:tc>
                <w:tcPr>
                  <w:tcW w:w="569" w:type="dxa"/>
                  <w:vAlign w:val="center"/>
                </w:tcPr>
                <w:p w14:paraId="1AA65DB1">
                  <w:pPr>
                    <w:pStyle w:val="40"/>
                    <w:bidi w:val="0"/>
                    <w:rPr>
                      <w:rFonts w:hint="default"/>
                      <w:lang w:val="en-US" w:eastAsia="zh-CN"/>
                    </w:rPr>
                  </w:pPr>
                  <w:r>
                    <w:rPr>
                      <w:rFonts w:hint="eastAsia"/>
                      <w:lang w:val="en-US" w:eastAsia="zh-CN"/>
                    </w:rPr>
                    <w:t>非甲烷总烃</w:t>
                  </w:r>
                </w:p>
              </w:tc>
              <w:tc>
                <w:tcPr>
                  <w:tcW w:w="374" w:type="dxa"/>
                  <w:vAlign w:val="center"/>
                </w:tcPr>
                <w:p w14:paraId="333BFC9D">
                  <w:pPr>
                    <w:pStyle w:val="40"/>
                    <w:bidi w:val="0"/>
                    <w:rPr>
                      <w:rFonts w:hint="eastAsia"/>
                      <w:lang w:val="en-US" w:eastAsia="zh-CN"/>
                    </w:rPr>
                  </w:pPr>
                  <w:r>
                    <w:rPr>
                      <w:rFonts w:hint="eastAsia"/>
                      <w:lang w:val="en-US" w:eastAsia="zh-CN"/>
                    </w:rPr>
                    <w:t>/</w:t>
                  </w:r>
                </w:p>
              </w:tc>
              <w:tc>
                <w:tcPr>
                  <w:tcW w:w="374" w:type="dxa"/>
                  <w:vMerge w:val="continue"/>
                  <w:vAlign w:val="center"/>
                </w:tcPr>
                <w:p w14:paraId="75826B22">
                  <w:pPr>
                    <w:pStyle w:val="40"/>
                    <w:bidi w:val="0"/>
                    <w:rPr>
                      <w:rFonts w:hint="default" w:ascii="Times New Roman" w:hAnsi="Times New Roman" w:cs="Times New Roman"/>
                      <w:lang w:val="en-US" w:eastAsia="zh-CN"/>
                    </w:rPr>
                  </w:pPr>
                </w:p>
              </w:tc>
              <w:tc>
                <w:tcPr>
                  <w:tcW w:w="707" w:type="dxa"/>
                  <w:vAlign w:val="center"/>
                </w:tcPr>
                <w:p w14:paraId="4BE8DE69">
                  <w:pPr>
                    <w:pStyle w:val="40"/>
                    <w:bidi w:val="0"/>
                    <w:rPr>
                      <w:rFonts w:hint="eastAsia"/>
                      <w:lang w:val="en-US" w:eastAsia="zh-CN"/>
                    </w:rPr>
                  </w:pPr>
                  <w:r>
                    <w:rPr>
                      <w:rFonts w:hint="eastAsia"/>
                      <w:lang w:val="en-US" w:eastAsia="zh-CN"/>
                    </w:rPr>
                    <w:t xml:space="preserve">0.082 </w:t>
                  </w:r>
                </w:p>
              </w:tc>
              <w:tc>
                <w:tcPr>
                  <w:tcW w:w="918" w:type="dxa"/>
                  <w:vAlign w:val="center"/>
                </w:tcPr>
                <w:p w14:paraId="5ADF4868">
                  <w:pPr>
                    <w:pStyle w:val="40"/>
                    <w:bidi w:val="0"/>
                    <w:rPr>
                      <w:rFonts w:hint="default"/>
                      <w:lang w:val="en-US" w:eastAsia="zh-CN"/>
                    </w:rPr>
                  </w:pPr>
                  <w:r>
                    <w:rPr>
                      <w:rFonts w:hint="eastAsia"/>
                      <w:lang w:val="en-US" w:eastAsia="zh-CN"/>
                    </w:rPr>
                    <w:t xml:space="preserve">0.023 </w:t>
                  </w:r>
                </w:p>
              </w:tc>
              <w:tc>
                <w:tcPr>
                  <w:tcW w:w="1099" w:type="dxa"/>
                  <w:vAlign w:val="center"/>
                </w:tcPr>
                <w:p w14:paraId="39E4E833">
                  <w:pPr>
                    <w:pStyle w:val="40"/>
                    <w:bidi w:val="0"/>
                    <w:rPr>
                      <w:rFonts w:hint="default"/>
                      <w:lang w:val="en-US" w:eastAsia="zh-CN"/>
                    </w:rPr>
                  </w:pPr>
                  <w:r>
                    <w:rPr>
                      <w:rFonts w:hint="eastAsia"/>
                      <w:lang w:val="en-US" w:eastAsia="zh-CN"/>
                    </w:rPr>
                    <w:t>3.05</w:t>
                  </w:r>
                </w:p>
              </w:tc>
              <w:tc>
                <w:tcPr>
                  <w:tcW w:w="725" w:type="dxa"/>
                  <w:vMerge w:val="continue"/>
                  <w:vAlign w:val="center"/>
                </w:tcPr>
                <w:p w14:paraId="74330253">
                  <w:pPr>
                    <w:pStyle w:val="40"/>
                    <w:bidi w:val="0"/>
                    <w:rPr>
                      <w:rFonts w:hint="eastAsia"/>
                      <w:lang w:val="en-US" w:eastAsia="zh-CN"/>
                    </w:rPr>
                  </w:pPr>
                </w:p>
              </w:tc>
              <w:tc>
                <w:tcPr>
                  <w:tcW w:w="725" w:type="dxa"/>
                  <w:vMerge w:val="continue"/>
                  <w:vAlign w:val="center"/>
                </w:tcPr>
                <w:p w14:paraId="2FA6347A">
                  <w:pPr>
                    <w:pStyle w:val="40"/>
                    <w:bidi w:val="0"/>
                    <w:rPr>
                      <w:rFonts w:hint="eastAsia"/>
                      <w:lang w:val="en-US" w:eastAsia="zh-CN"/>
                    </w:rPr>
                  </w:pPr>
                </w:p>
              </w:tc>
              <w:tc>
                <w:tcPr>
                  <w:tcW w:w="725" w:type="dxa"/>
                  <w:vMerge w:val="continue"/>
                  <w:vAlign w:val="center"/>
                </w:tcPr>
                <w:p w14:paraId="5D6EB018">
                  <w:pPr>
                    <w:pStyle w:val="40"/>
                    <w:bidi w:val="0"/>
                    <w:rPr>
                      <w:rFonts w:hint="eastAsia"/>
                      <w:lang w:val="en-US" w:eastAsia="zh-CN"/>
                    </w:rPr>
                  </w:pPr>
                </w:p>
              </w:tc>
              <w:tc>
                <w:tcPr>
                  <w:tcW w:w="832" w:type="dxa"/>
                  <w:vMerge w:val="continue"/>
                  <w:vAlign w:val="center"/>
                </w:tcPr>
                <w:p w14:paraId="5FA8F05C">
                  <w:pPr>
                    <w:pStyle w:val="40"/>
                    <w:bidi w:val="0"/>
                    <w:rPr>
                      <w:rFonts w:hint="eastAsia"/>
                      <w:lang w:val="en-US" w:eastAsia="zh-CN"/>
                    </w:rPr>
                  </w:pPr>
                </w:p>
              </w:tc>
              <w:tc>
                <w:tcPr>
                  <w:tcW w:w="536" w:type="dxa"/>
                  <w:vAlign w:val="center"/>
                </w:tcPr>
                <w:p w14:paraId="5DDA4C23">
                  <w:pPr>
                    <w:pStyle w:val="40"/>
                    <w:bidi w:val="0"/>
                    <w:rPr>
                      <w:rFonts w:hint="eastAsia"/>
                      <w:lang w:val="en-US" w:eastAsia="zh-CN"/>
                    </w:rPr>
                  </w:pPr>
                  <w:r>
                    <w:rPr>
                      <w:rFonts w:hint="eastAsia"/>
                      <w:lang w:val="en-US" w:eastAsia="zh-CN"/>
                    </w:rPr>
                    <w:t>/</w:t>
                  </w:r>
                </w:p>
              </w:tc>
              <w:tc>
                <w:tcPr>
                  <w:tcW w:w="707" w:type="dxa"/>
                  <w:vAlign w:val="center"/>
                </w:tcPr>
                <w:p w14:paraId="619203C7">
                  <w:pPr>
                    <w:pStyle w:val="40"/>
                    <w:bidi w:val="0"/>
                    <w:rPr>
                      <w:rFonts w:hint="default"/>
                      <w:lang w:val="en-US" w:eastAsia="zh-CN"/>
                    </w:rPr>
                  </w:pPr>
                  <w:r>
                    <w:rPr>
                      <w:rFonts w:hint="eastAsia"/>
                      <w:lang w:val="en-US" w:eastAsia="zh-CN"/>
                    </w:rPr>
                    <w:t xml:space="preserve">0.082 </w:t>
                  </w:r>
                </w:p>
              </w:tc>
              <w:tc>
                <w:tcPr>
                  <w:tcW w:w="918" w:type="dxa"/>
                  <w:vAlign w:val="center"/>
                </w:tcPr>
                <w:p w14:paraId="0036C35E">
                  <w:pPr>
                    <w:pStyle w:val="40"/>
                    <w:bidi w:val="0"/>
                    <w:rPr>
                      <w:rFonts w:hint="default"/>
                      <w:lang w:val="en-US" w:eastAsia="zh-CN"/>
                    </w:rPr>
                  </w:pPr>
                  <w:r>
                    <w:rPr>
                      <w:rFonts w:hint="eastAsia"/>
                      <w:lang w:val="en-US" w:eastAsia="zh-CN"/>
                    </w:rPr>
                    <w:t xml:space="preserve">0.023 </w:t>
                  </w:r>
                </w:p>
              </w:tc>
              <w:tc>
                <w:tcPr>
                  <w:tcW w:w="1099" w:type="dxa"/>
                  <w:vAlign w:val="center"/>
                </w:tcPr>
                <w:p w14:paraId="779B360C">
                  <w:pPr>
                    <w:pStyle w:val="40"/>
                    <w:bidi w:val="0"/>
                    <w:rPr>
                      <w:rFonts w:hint="default"/>
                      <w:lang w:val="en-US" w:eastAsia="zh-CN"/>
                    </w:rPr>
                  </w:pPr>
                  <w:r>
                    <w:rPr>
                      <w:rFonts w:hint="default"/>
                      <w:lang w:val="en-US" w:eastAsia="zh-CN"/>
                    </w:rPr>
                    <w:t xml:space="preserve">3.05 </w:t>
                  </w:r>
                </w:p>
              </w:tc>
              <w:tc>
                <w:tcPr>
                  <w:tcW w:w="804" w:type="dxa"/>
                  <w:vAlign w:val="center"/>
                </w:tcPr>
                <w:p w14:paraId="1BD724B6">
                  <w:pPr>
                    <w:pStyle w:val="40"/>
                    <w:bidi w:val="0"/>
                    <w:rPr>
                      <w:rFonts w:hint="eastAsia"/>
                      <w:lang w:val="en-US" w:eastAsia="zh-CN"/>
                    </w:rPr>
                  </w:pPr>
                  <w:r>
                    <w:rPr>
                      <w:rFonts w:hint="eastAsia"/>
                      <w:lang w:val="en-US" w:eastAsia="zh-CN"/>
                    </w:rPr>
                    <w:t>3600</w:t>
                  </w:r>
                </w:p>
              </w:tc>
            </w:tr>
          </w:tbl>
          <w:p w14:paraId="128B66B0">
            <w:pPr>
              <w:pStyle w:val="44"/>
              <w:keepNext w:val="0"/>
              <w:keepLines w:val="0"/>
              <w:pageBreakBefore w:val="0"/>
              <w:widowControl w:val="0"/>
              <w:kinsoku/>
              <w:wordWrap/>
              <w:overflowPunct/>
              <w:topLinePunct w:val="0"/>
              <w:autoSpaceDE/>
              <w:autoSpaceDN/>
              <w:bidi w:val="0"/>
              <w:adjustRightInd/>
              <w:snapToGrid/>
              <w:spacing w:before="313" w:beforeLines="100"/>
              <w:jc w:val="center"/>
              <w:textAlignment w:val="auto"/>
              <w:rPr>
                <w:rFonts w:hint="default" w:ascii="Times New Roman" w:hAnsi="Times New Roman" w:cs="Times New Roman"/>
                <w:vertAlign w:val="baseline"/>
              </w:rPr>
            </w:pPr>
            <w:r>
              <w:rPr>
                <w:rFonts w:hint="default" w:ascii="Times New Roman" w:hAnsi="Times New Roman" w:cs="Times New Roman"/>
                <w:b/>
                <w:bCs/>
                <w:sz w:val="21"/>
                <w:szCs w:val="20"/>
                <w:vertAlign w:val="baseline"/>
                <w:lang w:val="en-US" w:eastAsia="zh-CN"/>
              </w:rPr>
              <w:t>表4.6-</w:t>
            </w:r>
            <w:r>
              <w:rPr>
                <w:rFonts w:hint="eastAsia" w:ascii="Times New Roman" w:hAnsi="Times New Roman" w:cs="Times New Roman"/>
                <w:b/>
                <w:bCs/>
                <w:sz w:val="21"/>
                <w:szCs w:val="20"/>
                <w:vertAlign w:val="baseline"/>
                <w:lang w:val="en-US" w:eastAsia="zh-CN"/>
              </w:rPr>
              <w:t>10</w:t>
            </w:r>
            <w:r>
              <w:rPr>
                <w:rFonts w:hint="default" w:ascii="Times New Roman" w:hAnsi="Times New Roman" w:cs="Times New Roman"/>
                <w:b/>
                <w:bCs/>
                <w:sz w:val="21"/>
                <w:szCs w:val="20"/>
                <w:vertAlign w:val="baseline"/>
                <w:lang w:val="en-US" w:eastAsia="zh-CN"/>
              </w:rPr>
              <w:t xml:space="preserve">  本项目废气</w:t>
            </w:r>
            <w:r>
              <w:rPr>
                <w:rFonts w:hint="eastAsia" w:cs="Times New Roman"/>
                <w:b/>
                <w:bCs/>
                <w:sz w:val="21"/>
                <w:szCs w:val="20"/>
                <w:vertAlign w:val="baseline"/>
                <w:lang w:val="en-US" w:eastAsia="zh-CN"/>
              </w:rPr>
              <w:t>无组织</w:t>
            </w:r>
            <w:r>
              <w:rPr>
                <w:rFonts w:hint="default" w:ascii="Times New Roman" w:hAnsi="Times New Roman" w:cs="Times New Roman"/>
                <w:b/>
                <w:bCs/>
                <w:sz w:val="21"/>
                <w:szCs w:val="20"/>
                <w:vertAlign w:val="baseline"/>
                <w:lang w:val="en-US" w:eastAsia="zh-CN"/>
              </w:rPr>
              <w:t>污染源源强核算结果汇总表</w:t>
            </w:r>
          </w:p>
          <w:tbl>
            <w:tblPr>
              <w:tblStyle w:val="32"/>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56"/>
              <w:gridCol w:w="1896"/>
              <w:gridCol w:w="1266"/>
              <w:gridCol w:w="968"/>
              <w:gridCol w:w="1013"/>
              <w:gridCol w:w="1021"/>
              <w:gridCol w:w="999"/>
              <w:gridCol w:w="1016"/>
              <w:gridCol w:w="1110"/>
              <w:gridCol w:w="1023"/>
              <w:gridCol w:w="1016"/>
            </w:tblGrid>
            <w:tr w14:paraId="7937C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70" w:hRule="atLeast"/>
              </w:trPr>
              <w:tc>
                <w:tcPr>
                  <w:tcW w:w="4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727D75">
                  <w:pPr>
                    <w:pStyle w:val="40"/>
                    <w:bidi w:val="0"/>
                    <w:rPr>
                      <w:rFonts w:hint="eastAsia"/>
                    </w:rPr>
                  </w:pPr>
                  <w:r>
                    <w:rPr>
                      <w:rFonts w:hint="eastAsia"/>
                      <w:lang w:val="en-US" w:eastAsia="zh-CN"/>
                    </w:rPr>
                    <w:t>工序</w:t>
                  </w:r>
                </w:p>
              </w:tc>
              <w:tc>
                <w:tcPr>
                  <w:tcW w:w="76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49BA2F2F">
                  <w:pPr>
                    <w:pStyle w:val="40"/>
                    <w:bidi w:val="0"/>
                    <w:rPr>
                      <w:rFonts w:hint="eastAsia"/>
                    </w:rPr>
                  </w:pPr>
                  <w:r>
                    <w:rPr>
                      <w:rFonts w:hint="eastAsia"/>
                      <w:lang w:val="en-US" w:eastAsia="zh-CN"/>
                    </w:rPr>
                    <w:t>污染源</w:t>
                  </w:r>
                </w:p>
              </w:tc>
              <w:tc>
                <w:tcPr>
                  <w:tcW w:w="51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330126E">
                  <w:pPr>
                    <w:pStyle w:val="40"/>
                    <w:bidi w:val="0"/>
                    <w:rPr>
                      <w:rFonts w:hint="eastAsia"/>
                    </w:rPr>
                  </w:pPr>
                  <w:r>
                    <w:rPr>
                      <w:rFonts w:hint="eastAsia"/>
                      <w:lang w:val="en-US" w:eastAsia="zh-CN"/>
                    </w:rPr>
                    <w:t>污染物</w:t>
                  </w:r>
                </w:p>
              </w:tc>
              <w:tc>
                <w:tcPr>
                  <w:tcW w:w="39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1E83F39">
                  <w:pPr>
                    <w:pStyle w:val="40"/>
                    <w:bidi w:val="0"/>
                    <w:rPr>
                      <w:rFonts w:hint="eastAsia"/>
                    </w:rPr>
                  </w:pPr>
                  <w:r>
                    <w:rPr>
                      <w:rFonts w:hint="eastAsia"/>
                      <w:lang w:val="en-US" w:eastAsia="zh-CN"/>
                    </w:rPr>
                    <w:t>排放形式</w:t>
                  </w:r>
                </w:p>
              </w:tc>
              <w:tc>
                <w:tcPr>
                  <w:tcW w:w="82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A2E93FB">
                  <w:pPr>
                    <w:pStyle w:val="40"/>
                    <w:bidi w:val="0"/>
                    <w:rPr>
                      <w:rFonts w:hint="eastAsia"/>
                    </w:rPr>
                  </w:pPr>
                  <w:r>
                    <w:rPr>
                      <w:rFonts w:hint="eastAsia"/>
                      <w:lang w:val="en-US" w:eastAsia="zh-CN"/>
                    </w:rPr>
                    <w:t>产生情况</w:t>
                  </w:r>
                </w:p>
              </w:tc>
              <w:tc>
                <w:tcPr>
                  <w:tcW w:w="81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24A370EE">
                  <w:pPr>
                    <w:pStyle w:val="40"/>
                    <w:bidi w:val="0"/>
                    <w:rPr>
                      <w:rFonts w:hint="eastAsia"/>
                    </w:rPr>
                  </w:pPr>
                  <w:r>
                    <w:rPr>
                      <w:rFonts w:hint="eastAsia"/>
                      <w:lang w:val="en-US" w:eastAsia="zh-CN"/>
                    </w:rPr>
                    <w:t>污染防治措施</w:t>
                  </w:r>
                </w:p>
              </w:tc>
              <w:tc>
                <w:tcPr>
                  <w:tcW w:w="861"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E628B09">
                  <w:pPr>
                    <w:pStyle w:val="40"/>
                    <w:bidi w:val="0"/>
                    <w:rPr>
                      <w:rFonts w:hint="eastAsia"/>
                    </w:rPr>
                  </w:pPr>
                  <w:r>
                    <w:rPr>
                      <w:rFonts w:hint="eastAsia"/>
                      <w:lang w:val="en-US" w:eastAsia="zh-CN"/>
                    </w:rPr>
                    <w:t>排放情况</w:t>
                  </w:r>
                </w:p>
              </w:tc>
              <w:tc>
                <w:tcPr>
                  <w:tcW w:w="410"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A3C2DFD">
                  <w:pPr>
                    <w:pStyle w:val="40"/>
                    <w:bidi w:val="0"/>
                    <w:rPr>
                      <w:rFonts w:hint="eastAsia"/>
                    </w:rPr>
                  </w:pPr>
                  <w:r>
                    <w:rPr>
                      <w:rFonts w:hint="eastAsia"/>
                      <w:lang w:val="en-US" w:eastAsia="zh-CN"/>
                    </w:rPr>
                    <w:t>排放时间（</w:t>
                  </w:r>
                  <w:r>
                    <w:rPr>
                      <w:rFonts w:hint="default"/>
                      <w:lang w:val="en-US" w:eastAsia="zh-CN"/>
                    </w:rPr>
                    <w:t>h/a</w:t>
                  </w:r>
                  <w:r>
                    <w:rPr>
                      <w:rFonts w:hint="eastAsia"/>
                      <w:lang w:val="en-US" w:eastAsia="zh-CN"/>
                    </w:rPr>
                    <w:t>）</w:t>
                  </w:r>
                </w:p>
              </w:tc>
            </w:tr>
            <w:tr w14:paraId="3D0686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4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ACE66B">
                  <w:pPr>
                    <w:pStyle w:val="40"/>
                    <w:bidi w:val="0"/>
                    <w:rPr>
                      <w:rFonts w:hint="eastAsia"/>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A36640B">
                  <w:pPr>
                    <w:pStyle w:val="40"/>
                    <w:bidi w:val="0"/>
                    <w:rPr>
                      <w:rFonts w:hint="eastAsia"/>
                    </w:rPr>
                  </w:pP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679E059">
                  <w:pPr>
                    <w:pStyle w:val="40"/>
                    <w:bidi w:val="0"/>
                    <w:rPr>
                      <w:rFonts w:hint="eastAsia"/>
                    </w:rPr>
                  </w:pPr>
                </w:p>
              </w:tc>
              <w:tc>
                <w:tcPr>
                  <w:tcW w:w="39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D93074B">
                  <w:pPr>
                    <w:pStyle w:val="40"/>
                    <w:bidi w:val="0"/>
                    <w:rPr>
                      <w:rFonts w:hint="eastAsia"/>
                    </w:rPr>
                  </w:pP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AFF7F3">
                  <w:pPr>
                    <w:pStyle w:val="40"/>
                    <w:bidi w:val="0"/>
                    <w:rPr>
                      <w:rFonts w:hint="eastAsia"/>
                    </w:rPr>
                  </w:pPr>
                  <w:r>
                    <w:rPr>
                      <w:rFonts w:hint="eastAsia"/>
                      <w:lang w:val="en-US" w:eastAsia="zh-CN"/>
                    </w:rPr>
                    <w:t>产生量（</w:t>
                  </w:r>
                  <w:r>
                    <w:rPr>
                      <w:rFonts w:hint="default"/>
                      <w:lang w:val="en-US" w:eastAsia="zh-CN"/>
                    </w:rPr>
                    <w:t>t/a</w:t>
                  </w:r>
                  <w:r>
                    <w:rPr>
                      <w:rFonts w:hint="eastAsia"/>
                      <w:lang w:val="en-US" w:eastAsia="zh-CN"/>
                    </w:rPr>
                    <w:t>）</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CEF24C">
                  <w:pPr>
                    <w:pStyle w:val="40"/>
                    <w:bidi w:val="0"/>
                    <w:rPr>
                      <w:rFonts w:hint="eastAsia"/>
                    </w:rPr>
                  </w:pPr>
                  <w:r>
                    <w:rPr>
                      <w:rFonts w:hint="eastAsia"/>
                      <w:lang w:val="en-US" w:eastAsia="zh-CN"/>
                    </w:rPr>
                    <w:t>产生速率（</w:t>
                  </w:r>
                  <w:r>
                    <w:rPr>
                      <w:rFonts w:hint="default"/>
                      <w:lang w:val="en-US" w:eastAsia="zh-CN"/>
                    </w:rPr>
                    <w:t>kg/h</w:t>
                  </w:r>
                  <w:r>
                    <w:rPr>
                      <w:rFonts w:hint="eastAsia"/>
                      <w:lang w:val="en-US" w:eastAsia="zh-CN"/>
                    </w:rPr>
                    <w:t>）</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2AAAF3">
                  <w:pPr>
                    <w:pStyle w:val="40"/>
                    <w:bidi w:val="0"/>
                    <w:rPr>
                      <w:rFonts w:hint="eastAsia"/>
                    </w:rPr>
                  </w:pPr>
                  <w:r>
                    <w:rPr>
                      <w:rFonts w:hint="eastAsia"/>
                      <w:lang w:val="en-US" w:eastAsia="zh-CN"/>
                    </w:rPr>
                    <w:t>治理工艺</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800D0A9">
                  <w:pPr>
                    <w:pStyle w:val="40"/>
                    <w:bidi w:val="0"/>
                    <w:rPr>
                      <w:rFonts w:hint="eastAsia"/>
                    </w:rPr>
                  </w:pPr>
                  <w:r>
                    <w:rPr>
                      <w:rFonts w:hint="eastAsia"/>
                      <w:lang w:val="en-US" w:eastAsia="zh-CN"/>
                    </w:rPr>
                    <w:t>去除效率（</w:t>
                  </w:r>
                  <w:r>
                    <w:rPr>
                      <w:rFonts w:hint="default"/>
                      <w:lang w:val="en-US" w:eastAsia="zh-CN"/>
                    </w:rPr>
                    <w:t>%</w:t>
                  </w:r>
                  <w:r>
                    <w:rPr>
                      <w:rFonts w:hint="eastAsia"/>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9F838C">
                  <w:pPr>
                    <w:pStyle w:val="40"/>
                    <w:bidi w:val="0"/>
                    <w:rPr>
                      <w:rFonts w:hint="eastAsia"/>
                    </w:rPr>
                  </w:pPr>
                  <w:r>
                    <w:rPr>
                      <w:rFonts w:hint="eastAsia"/>
                      <w:lang w:val="en-US" w:eastAsia="zh-CN"/>
                    </w:rPr>
                    <w:t>排放量（</w:t>
                  </w:r>
                  <w:r>
                    <w:rPr>
                      <w:rFonts w:hint="default"/>
                      <w:lang w:val="en-US" w:eastAsia="zh-CN"/>
                    </w:rPr>
                    <w:t>t/a</w:t>
                  </w:r>
                  <w:r>
                    <w:rPr>
                      <w:rFonts w:hint="eastAsia"/>
                      <w:lang w:val="en-US" w:eastAsia="zh-CN"/>
                    </w:rPr>
                    <w:t>）</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68DC92A">
                  <w:pPr>
                    <w:pStyle w:val="40"/>
                    <w:bidi w:val="0"/>
                    <w:rPr>
                      <w:rFonts w:hint="eastAsia"/>
                    </w:rPr>
                  </w:pPr>
                  <w:r>
                    <w:rPr>
                      <w:rFonts w:hint="eastAsia"/>
                      <w:lang w:val="en-US" w:eastAsia="zh-CN"/>
                    </w:rPr>
                    <w:t>排放速率（</w:t>
                  </w:r>
                  <w:r>
                    <w:rPr>
                      <w:rFonts w:hint="default"/>
                      <w:lang w:val="en-US" w:eastAsia="zh-CN"/>
                    </w:rPr>
                    <w:t>kg/h</w:t>
                  </w:r>
                  <w:r>
                    <w:rPr>
                      <w:rFonts w:hint="eastAsia"/>
                      <w:lang w:val="en-US" w:eastAsia="zh-CN"/>
                    </w:rPr>
                    <w:t>）</w:t>
                  </w:r>
                </w:p>
              </w:tc>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58B2C42">
                  <w:pPr>
                    <w:pStyle w:val="40"/>
                    <w:bidi w:val="0"/>
                    <w:rPr>
                      <w:rFonts w:hint="eastAsia"/>
                    </w:rPr>
                  </w:pPr>
                </w:p>
              </w:tc>
            </w:tr>
            <w:tr w14:paraId="537671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891579">
                  <w:pPr>
                    <w:pStyle w:val="40"/>
                    <w:bidi w:val="0"/>
                    <w:rPr>
                      <w:rFonts w:hint="eastAsia"/>
                    </w:rPr>
                  </w:pPr>
                  <w:r>
                    <w:rPr>
                      <w:rFonts w:hint="eastAsia"/>
                      <w:lang w:val="en-US" w:eastAsia="zh-CN"/>
                    </w:rPr>
                    <w:t>抛丸</w:t>
                  </w:r>
                </w:p>
              </w:tc>
              <w:tc>
                <w:tcPr>
                  <w:tcW w:w="7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93BDE5">
                  <w:pPr>
                    <w:pStyle w:val="40"/>
                    <w:bidi w:val="0"/>
                    <w:rPr>
                      <w:rFonts w:hint="eastAsia"/>
                    </w:rPr>
                  </w:pPr>
                  <w:r>
                    <w:rPr>
                      <w:rFonts w:hint="eastAsia"/>
                      <w:lang w:val="en-US" w:eastAsia="zh-CN"/>
                    </w:rPr>
                    <w:t>抛丸粉尘</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727D69">
                  <w:pPr>
                    <w:pStyle w:val="40"/>
                    <w:bidi w:val="0"/>
                    <w:rPr>
                      <w:rFonts w:hint="eastAsia"/>
                    </w:rPr>
                  </w:pPr>
                  <w:r>
                    <w:rPr>
                      <w:rFonts w:hint="eastAsia"/>
                      <w:lang w:val="en-US" w:eastAsia="zh-CN"/>
                    </w:rPr>
                    <w:t>颗粒物</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DA39E3F">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2316FC">
                  <w:pPr>
                    <w:pStyle w:val="40"/>
                    <w:bidi w:val="0"/>
                    <w:rPr>
                      <w:rFonts w:hint="default"/>
                    </w:rPr>
                  </w:pPr>
                  <w:r>
                    <w:rPr>
                      <w:rFonts w:hint="default"/>
                      <w:lang w:val="en-US" w:eastAsia="zh-CN"/>
                    </w:rPr>
                    <w:t xml:space="preserve">0.126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D8E3C">
                  <w:pPr>
                    <w:pStyle w:val="40"/>
                    <w:bidi w:val="0"/>
                    <w:rPr>
                      <w:rFonts w:hint="default"/>
                    </w:rPr>
                  </w:pPr>
                  <w:r>
                    <w:rPr>
                      <w:rFonts w:hint="default"/>
                      <w:lang w:val="en-US" w:eastAsia="zh-CN"/>
                    </w:rPr>
                    <w:t xml:space="preserve">0.035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F8AD3B">
                  <w:pPr>
                    <w:pStyle w:val="40"/>
                    <w:bidi w:val="0"/>
                    <w:rPr>
                      <w:rFonts w:hint="eastAsia"/>
                    </w:rPr>
                  </w:pPr>
                  <w:r>
                    <w:rPr>
                      <w:rFonts w:hint="eastAsia"/>
                      <w:lang w:val="en-US" w:eastAsia="zh-CN"/>
                    </w:rPr>
                    <w:t>车间沉降</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CCA3BE1">
                  <w:pPr>
                    <w:pStyle w:val="40"/>
                    <w:bidi w:val="0"/>
                    <w:rPr>
                      <w:rFonts w:hint="default"/>
                    </w:rPr>
                  </w:pPr>
                  <w:r>
                    <w:rPr>
                      <w:rFonts w:hint="default"/>
                      <w:lang w:val="en-US" w:eastAsia="zh-CN"/>
                    </w:rPr>
                    <w:t>60</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C0DA44">
                  <w:pPr>
                    <w:pStyle w:val="40"/>
                    <w:bidi w:val="0"/>
                    <w:rPr>
                      <w:rFonts w:hint="default"/>
                    </w:rPr>
                  </w:pPr>
                  <w:r>
                    <w:rPr>
                      <w:rFonts w:hint="default"/>
                      <w:lang w:val="en-US" w:eastAsia="zh-CN"/>
                    </w:rPr>
                    <w:t xml:space="preserve">0.051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16697C">
                  <w:pPr>
                    <w:pStyle w:val="40"/>
                    <w:bidi w:val="0"/>
                    <w:rPr>
                      <w:rFonts w:hint="default"/>
                    </w:rPr>
                  </w:pPr>
                  <w:r>
                    <w:rPr>
                      <w:rFonts w:hint="default"/>
                      <w:lang w:val="en-US" w:eastAsia="zh-CN"/>
                    </w:rPr>
                    <w:t xml:space="preserve">0.014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61A356">
                  <w:pPr>
                    <w:pStyle w:val="40"/>
                    <w:bidi w:val="0"/>
                    <w:rPr>
                      <w:rFonts w:hint="default"/>
                    </w:rPr>
                  </w:pPr>
                  <w:r>
                    <w:rPr>
                      <w:rFonts w:hint="default"/>
                      <w:lang w:val="en-US" w:eastAsia="zh-CN"/>
                    </w:rPr>
                    <w:t>3600</w:t>
                  </w:r>
                </w:p>
              </w:tc>
            </w:tr>
            <w:tr w14:paraId="4A60DD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839183">
                  <w:pPr>
                    <w:pStyle w:val="40"/>
                    <w:bidi w:val="0"/>
                    <w:rPr>
                      <w:rFonts w:hint="eastAsia"/>
                    </w:rPr>
                  </w:pPr>
                  <w:r>
                    <w:rPr>
                      <w:rFonts w:hint="eastAsia"/>
                      <w:lang w:val="en-US" w:eastAsia="zh-CN"/>
                    </w:rPr>
                    <w:t>喷塑</w:t>
                  </w:r>
                </w:p>
              </w:tc>
              <w:tc>
                <w:tcPr>
                  <w:tcW w:w="7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3D2B6E">
                  <w:pPr>
                    <w:pStyle w:val="40"/>
                    <w:bidi w:val="0"/>
                    <w:rPr>
                      <w:rFonts w:hint="eastAsia"/>
                    </w:rPr>
                  </w:pPr>
                  <w:r>
                    <w:rPr>
                      <w:rFonts w:hint="eastAsia"/>
                      <w:lang w:val="en-US" w:eastAsia="zh-CN"/>
                    </w:rPr>
                    <w:t>喷塑粉尘</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A7D6D9">
                  <w:pPr>
                    <w:pStyle w:val="40"/>
                    <w:bidi w:val="0"/>
                    <w:rPr>
                      <w:rFonts w:hint="eastAsia"/>
                    </w:rPr>
                  </w:pPr>
                  <w:r>
                    <w:rPr>
                      <w:rFonts w:hint="eastAsia"/>
                      <w:lang w:val="en-US" w:eastAsia="zh-CN"/>
                    </w:rPr>
                    <w:t>颗粒物</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5D840D">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ACA00A">
                  <w:pPr>
                    <w:pStyle w:val="40"/>
                    <w:bidi w:val="0"/>
                    <w:rPr>
                      <w:rFonts w:hint="default"/>
                    </w:rPr>
                  </w:pPr>
                  <w:r>
                    <w:rPr>
                      <w:rFonts w:hint="default"/>
                      <w:lang w:val="en-US" w:eastAsia="zh-CN"/>
                    </w:rPr>
                    <w:t xml:space="preserve">0.022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14A3EB">
                  <w:pPr>
                    <w:pStyle w:val="40"/>
                    <w:bidi w:val="0"/>
                    <w:rPr>
                      <w:rFonts w:hint="default"/>
                    </w:rPr>
                  </w:pPr>
                  <w:r>
                    <w:rPr>
                      <w:rFonts w:hint="default"/>
                      <w:lang w:val="en-US" w:eastAsia="zh-CN"/>
                    </w:rPr>
                    <w:t xml:space="preserve">0.006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AFA966">
                  <w:pPr>
                    <w:pStyle w:val="40"/>
                    <w:bidi w:val="0"/>
                    <w:rPr>
                      <w:rFonts w:hint="eastAsia"/>
                    </w:rPr>
                  </w:pPr>
                  <w:r>
                    <w:rPr>
                      <w:rFonts w:hint="eastAsia"/>
                      <w:lang w:val="en-US" w:eastAsia="zh-CN"/>
                    </w:rPr>
                    <w:t>车间沉降</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5A890">
                  <w:pPr>
                    <w:pStyle w:val="40"/>
                    <w:bidi w:val="0"/>
                    <w:rPr>
                      <w:rFonts w:hint="default"/>
                    </w:rPr>
                  </w:pPr>
                  <w:r>
                    <w:rPr>
                      <w:rFonts w:hint="default"/>
                      <w:lang w:val="en-US" w:eastAsia="zh-CN"/>
                    </w:rPr>
                    <w:t>60</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F05490">
                  <w:pPr>
                    <w:pStyle w:val="40"/>
                    <w:bidi w:val="0"/>
                    <w:rPr>
                      <w:rFonts w:hint="default"/>
                    </w:rPr>
                  </w:pPr>
                  <w:r>
                    <w:rPr>
                      <w:rFonts w:hint="default"/>
                      <w:lang w:val="en-US" w:eastAsia="zh-CN"/>
                    </w:rPr>
                    <w:t xml:space="preserve">0.009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AA503B">
                  <w:pPr>
                    <w:pStyle w:val="40"/>
                    <w:bidi w:val="0"/>
                    <w:rPr>
                      <w:rFonts w:hint="default"/>
                    </w:rPr>
                  </w:pPr>
                  <w:r>
                    <w:rPr>
                      <w:rFonts w:hint="default"/>
                      <w:lang w:val="en-US" w:eastAsia="zh-CN"/>
                    </w:rPr>
                    <w:t xml:space="preserve">0.002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31FB6B">
                  <w:pPr>
                    <w:pStyle w:val="40"/>
                    <w:bidi w:val="0"/>
                    <w:rPr>
                      <w:rFonts w:hint="default"/>
                    </w:rPr>
                  </w:pPr>
                  <w:r>
                    <w:rPr>
                      <w:rFonts w:hint="default"/>
                      <w:lang w:val="en-US" w:eastAsia="zh-CN"/>
                    </w:rPr>
                    <w:t>3600</w:t>
                  </w:r>
                </w:p>
              </w:tc>
            </w:tr>
            <w:tr w14:paraId="76851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B3B5BC">
                  <w:pPr>
                    <w:pStyle w:val="40"/>
                    <w:bidi w:val="0"/>
                    <w:rPr>
                      <w:rFonts w:hint="eastAsia"/>
                    </w:rPr>
                  </w:pPr>
                  <w:r>
                    <w:rPr>
                      <w:rFonts w:hint="eastAsia"/>
                      <w:lang w:val="en-US" w:eastAsia="zh-CN"/>
                    </w:rPr>
                    <w:t>固化</w:t>
                  </w:r>
                </w:p>
              </w:tc>
              <w:tc>
                <w:tcPr>
                  <w:tcW w:w="7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82665">
                  <w:pPr>
                    <w:pStyle w:val="40"/>
                    <w:bidi w:val="0"/>
                    <w:rPr>
                      <w:rFonts w:hint="eastAsia"/>
                    </w:rPr>
                  </w:pPr>
                  <w:r>
                    <w:rPr>
                      <w:rFonts w:hint="eastAsia"/>
                      <w:lang w:val="en-US" w:eastAsia="zh-CN"/>
                    </w:rPr>
                    <w:t>固化废气</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6DF7F5">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A3DA1A">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29982">
                  <w:pPr>
                    <w:pStyle w:val="40"/>
                    <w:bidi w:val="0"/>
                    <w:rPr>
                      <w:rFonts w:hint="default"/>
                    </w:rPr>
                  </w:pPr>
                  <w:r>
                    <w:rPr>
                      <w:rFonts w:hint="default"/>
                      <w:lang w:val="en-US" w:eastAsia="zh-CN"/>
                    </w:rPr>
                    <w:t xml:space="preserve">0.0004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0A824A">
                  <w:pPr>
                    <w:pStyle w:val="40"/>
                    <w:bidi w:val="0"/>
                    <w:rPr>
                      <w:rFonts w:hint="default"/>
                    </w:rPr>
                  </w:pPr>
                  <w:r>
                    <w:rPr>
                      <w:rFonts w:hint="default"/>
                      <w:lang w:val="en-US" w:eastAsia="zh-CN"/>
                    </w:rPr>
                    <w:t xml:space="preserve">0.0001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7D385C">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B0D32A">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339F75">
                  <w:pPr>
                    <w:pStyle w:val="40"/>
                    <w:bidi w:val="0"/>
                    <w:rPr>
                      <w:rFonts w:hint="default"/>
                    </w:rPr>
                  </w:pPr>
                  <w:r>
                    <w:rPr>
                      <w:rFonts w:hint="default"/>
                      <w:lang w:val="en-US" w:eastAsia="zh-CN"/>
                    </w:rPr>
                    <w:t xml:space="preserve">0.0004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C1118">
                  <w:pPr>
                    <w:pStyle w:val="40"/>
                    <w:bidi w:val="0"/>
                    <w:rPr>
                      <w:rFonts w:hint="default"/>
                    </w:rPr>
                  </w:pPr>
                  <w:r>
                    <w:rPr>
                      <w:rFonts w:hint="default"/>
                      <w:lang w:val="en-US" w:eastAsia="zh-CN"/>
                    </w:rPr>
                    <w:t xml:space="preserve">0.0001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2902DB">
                  <w:pPr>
                    <w:pStyle w:val="40"/>
                    <w:bidi w:val="0"/>
                    <w:rPr>
                      <w:rFonts w:hint="default"/>
                    </w:rPr>
                  </w:pPr>
                  <w:r>
                    <w:rPr>
                      <w:rFonts w:hint="default"/>
                      <w:lang w:val="en-US" w:eastAsia="zh-CN"/>
                    </w:rPr>
                    <w:t>3600</w:t>
                  </w:r>
                </w:p>
              </w:tc>
            </w:tr>
            <w:tr w14:paraId="7ECF46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37A741">
                  <w:pPr>
                    <w:pStyle w:val="40"/>
                    <w:bidi w:val="0"/>
                    <w:rPr>
                      <w:rFonts w:hint="eastAsia"/>
                    </w:rPr>
                  </w:pPr>
                  <w:r>
                    <w:rPr>
                      <w:rFonts w:hint="eastAsia"/>
                      <w:lang w:val="en-US" w:eastAsia="zh-CN"/>
                    </w:rPr>
                    <w:t>丝印</w:t>
                  </w:r>
                </w:p>
              </w:tc>
              <w:tc>
                <w:tcPr>
                  <w:tcW w:w="7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244A82C">
                  <w:pPr>
                    <w:pStyle w:val="40"/>
                    <w:bidi w:val="0"/>
                    <w:rPr>
                      <w:rFonts w:hint="eastAsia"/>
                    </w:rPr>
                  </w:pPr>
                  <w:r>
                    <w:rPr>
                      <w:rFonts w:hint="eastAsia"/>
                      <w:lang w:val="en-US" w:eastAsia="zh-CN"/>
                    </w:rPr>
                    <w:t>丝印废气</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CCCAC4">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1AFE45">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D4A20A">
                  <w:pPr>
                    <w:pStyle w:val="40"/>
                    <w:bidi w:val="0"/>
                    <w:rPr>
                      <w:rFonts w:hint="default"/>
                    </w:rPr>
                  </w:pPr>
                  <w:r>
                    <w:rPr>
                      <w:rFonts w:hint="default"/>
                      <w:lang w:val="en-US" w:eastAsia="zh-CN"/>
                    </w:rPr>
                    <w:t xml:space="preserve">0.0039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DFF405">
                  <w:pPr>
                    <w:pStyle w:val="40"/>
                    <w:bidi w:val="0"/>
                    <w:rPr>
                      <w:rFonts w:hint="default"/>
                    </w:rPr>
                  </w:pPr>
                  <w:r>
                    <w:rPr>
                      <w:rFonts w:hint="default"/>
                      <w:lang w:val="en-US" w:eastAsia="zh-CN"/>
                    </w:rPr>
                    <w:t xml:space="preserve">0.0011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9F55D6">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E1A497">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C47B85A">
                  <w:pPr>
                    <w:pStyle w:val="40"/>
                    <w:bidi w:val="0"/>
                    <w:rPr>
                      <w:rFonts w:hint="default"/>
                    </w:rPr>
                  </w:pPr>
                  <w:r>
                    <w:rPr>
                      <w:rFonts w:hint="default"/>
                      <w:lang w:val="en-US" w:eastAsia="zh-CN"/>
                    </w:rPr>
                    <w:t xml:space="preserve">0.0039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81CF38">
                  <w:pPr>
                    <w:pStyle w:val="40"/>
                    <w:bidi w:val="0"/>
                    <w:rPr>
                      <w:rFonts w:hint="default"/>
                    </w:rPr>
                  </w:pPr>
                  <w:r>
                    <w:rPr>
                      <w:rFonts w:hint="default"/>
                      <w:lang w:val="en-US" w:eastAsia="zh-CN"/>
                    </w:rPr>
                    <w:t xml:space="preserve">0.0011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CFF17">
                  <w:pPr>
                    <w:pStyle w:val="40"/>
                    <w:bidi w:val="0"/>
                    <w:rPr>
                      <w:rFonts w:hint="default"/>
                    </w:rPr>
                  </w:pPr>
                  <w:r>
                    <w:rPr>
                      <w:rFonts w:hint="default"/>
                      <w:lang w:val="en-US" w:eastAsia="zh-CN"/>
                    </w:rPr>
                    <w:t>3600</w:t>
                  </w:r>
                </w:p>
              </w:tc>
            </w:tr>
            <w:tr w14:paraId="130E81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4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5DBCE4">
                  <w:pPr>
                    <w:pStyle w:val="40"/>
                    <w:bidi w:val="0"/>
                    <w:rPr>
                      <w:rFonts w:hint="eastAsia"/>
                    </w:rPr>
                  </w:pPr>
                  <w:r>
                    <w:rPr>
                      <w:rFonts w:hint="eastAsia"/>
                      <w:lang w:val="en-US" w:eastAsia="zh-CN"/>
                    </w:rPr>
                    <w:t>残液回收</w:t>
                  </w:r>
                  <w:r>
                    <w:rPr>
                      <w:rFonts w:hint="default"/>
                      <w:lang w:val="en-US" w:eastAsia="zh-CN"/>
                    </w:rPr>
                    <w:t>/</w:t>
                  </w:r>
                  <w:r>
                    <w:rPr>
                      <w:rFonts w:hint="eastAsia"/>
                      <w:lang w:val="en-US" w:eastAsia="zh-CN"/>
                    </w:rPr>
                    <w:t>卸阀</w:t>
                  </w:r>
                </w:p>
              </w:tc>
              <w:tc>
                <w:tcPr>
                  <w:tcW w:w="76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7552648E">
                  <w:pPr>
                    <w:pStyle w:val="40"/>
                    <w:bidi w:val="0"/>
                    <w:rPr>
                      <w:rFonts w:hint="eastAsia"/>
                    </w:rPr>
                  </w:pPr>
                  <w:r>
                    <w:rPr>
                      <w:rFonts w:hint="eastAsia"/>
                      <w:lang w:val="en-US" w:eastAsia="zh-CN"/>
                    </w:rPr>
                    <w:t>残液回收</w:t>
                  </w:r>
                  <w:r>
                    <w:rPr>
                      <w:rFonts w:hint="default"/>
                      <w:lang w:val="en-US" w:eastAsia="zh-CN"/>
                    </w:rPr>
                    <w:t>/</w:t>
                  </w:r>
                  <w:r>
                    <w:rPr>
                      <w:rFonts w:hint="eastAsia"/>
                      <w:lang w:val="en-US" w:eastAsia="zh-CN"/>
                    </w:rPr>
                    <w:t>卸阀废气</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56DF71">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BCD225">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AFD4D8">
                  <w:pPr>
                    <w:pStyle w:val="40"/>
                    <w:bidi w:val="0"/>
                    <w:rPr>
                      <w:rFonts w:hint="eastAsia"/>
                    </w:rPr>
                  </w:pPr>
                  <w:r>
                    <w:rPr>
                      <w:rFonts w:hint="eastAsia"/>
                      <w:lang w:val="en-US" w:eastAsia="zh-CN"/>
                    </w:rPr>
                    <w:t>0.03</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8B0C67">
                  <w:pPr>
                    <w:pStyle w:val="40"/>
                    <w:bidi w:val="0"/>
                    <w:rPr>
                      <w:rFonts w:hint="eastAsia"/>
                    </w:rPr>
                  </w:pPr>
                  <w:r>
                    <w:rPr>
                      <w:rFonts w:hint="eastAsia"/>
                      <w:lang w:val="en-US" w:eastAsia="zh-CN"/>
                    </w:rPr>
                    <w:t xml:space="preserve">0.008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E25AB0">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8B2E66">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984F93">
                  <w:pPr>
                    <w:pStyle w:val="40"/>
                    <w:bidi w:val="0"/>
                    <w:rPr>
                      <w:rFonts w:hint="eastAsia"/>
                    </w:rPr>
                  </w:pPr>
                  <w:r>
                    <w:rPr>
                      <w:rFonts w:hint="eastAsia"/>
                      <w:lang w:val="en-US" w:eastAsia="zh-CN"/>
                    </w:rPr>
                    <w:t>0.03</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B3ED8B">
                  <w:pPr>
                    <w:pStyle w:val="40"/>
                    <w:bidi w:val="0"/>
                    <w:rPr>
                      <w:rFonts w:hint="eastAsia"/>
                    </w:rPr>
                  </w:pPr>
                  <w:r>
                    <w:rPr>
                      <w:rFonts w:hint="eastAsia"/>
                      <w:lang w:val="en-US" w:eastAsia="zh-CN"/>
                    </w:rPr>
                    <w:t xml:space="preserve">0.008 </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143AEF">
                  <w:pPr>
                    <w:pStyle w:val="40"/>
                    <w:bidi w:val="0"/>
                    <w:rPr>
                      <w:rFonts w:hint="eastAsia"/>
                    </w:rPr>
                  </w:pPr>
                  <w:r>
                    <w:rPr>
                      <w:rFonts w:hint="eastAsia"/>
                      <w:lang w:val="en-US" w:eastAsia="zh-CN"/>
                    </w:rPr>
                    <w:t>3600</w:t>
                  </w:r>
                </w:p>
              </w:tc>
            </w:tr>
            <w:tr w14:paraId="7C2208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4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CF12FDD">
                  <w:pPr>
                    <w:pStyle w:val="40"/>
                    <w:bidi w:val="0"/>
                    <w:rPr>
                      <w:rFonts w:hint="eastAsia"/>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D01A919">
                  <w:pPr>
                    <w:pStyle w:val="40"/>
                    <w:bidi w:val="0"/>
                    <w:rPr>
                      <w:rFonts w:hint="eastAsia"/>
                    </w:rPr>
                  </w:pP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4FD877">
                  <w:pPr>
                    <w:pStyle w:val="40"/>
                    <w:bidi w:val="0"/>
                    <w:rPr>
                      <w:rFonts w:hint="eastAsia"/>
                    </w:rPr>
                  </w:pPr>
                  <w:r>
                    <w:rPr>
                      <w:rFonts w:hint="eastAsia"/>
                      <w:lang w:val="en-US" w:eastAsia="zh-CN"/>
                    </w:rPr>
                    <w:t>臭气浓度</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8D93A3">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F2B470">
                  <w:pPr>
                    <w:pStyle w:val="40"/>
                    <w:bidi w:val="0"/>
                    <w:rPr>
                      <w:rFonts w:hint="eastAsia"/>
                    </w:rPr>
                  </w:pPr>
                  <w:r>
                    <w:rPr>
                      <w:rFonts w:hint="eastAsia"/>
                      <w:lang w:val="en-US" w:eastAsia="zh-CN"/>
                    </w:rPr>
                    <w:t>少量</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8E52A9">
                  <w:pPr>
                    <w:pStyle w:val="40"/>
                    <w:bidi w:val="0"/>
                    <w:rPr>
                      <w:rFonts w:hint="default"/>
                    </w:rPr>
                  </w:pPr>
                  <w:r>
                    <w:rPr>
                      <w:rFonts w:hint="default"/>
                      <w:lang w:val="en-US" w:eastAsia="zh-CN"/>
                    </w:rPr>
                    <w:t>/</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0CD63C">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5D5D8F4">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729EB0">
                  <w:pPr>
                    <w:pStyle w:val="40"/>
                    <w:bidi w:val="0"/>
                    <w:rPr>
                      <w:rFonts w:hint="default"/>
                    </w:rPr>
                  </w:pPr>
                  <w:r>
                    <w:rPr>
                      <w:rFonts w:hint="default"/>
                      <w:lang w:val="en-US" w:eastAsia="zh-CN"/>
                    </w:rPr>
                    <w:t>/</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DE774D">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C5032D">
                  <w:pPr>
                    <w:pStyle w:val="40"/>
                    <w:bidi w:val="0"/>
                    <w:rPr>
                      <w:rFonts w:hint="default"/>
                    </w:rPr>
                  </w:pPr>
                  <w:r>
                    <w:rPr>
                      <w:rFonts w:hint="default"/>
                      <w:lang w:val="en-US" w:eastAsia="zh-CN"/>
                    </w:rPr>
                    <w:t>3600</w:t>
                  </w:r>
                </w:p>
              </w:tc>
            </w:tr>
            <w:tr w14:paraId="3DAAEA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AFC5304">
                  <w:pPr>
                    <w:pStyle w:val="40"/>
                    <w:bidi w:val="0"/>
                    <w:rPr>
                      <w:rFonts w:hint="eastAsia"/>
                    </w:rPr>
                  </w:pPr>
                  <w:r>
                    <w:rPr>
                      <w:rFonts w:hint="eastAsia"/>
                      <w:lang w:val="en-US" w:eastAsia="zh-CN"/>
                    </w:rPr>
                    <w:t>槽车卸车废气</w:t>
                  </w:r>
                </w:p>
              </w:tc>
              <w:tc>
                <w:tcPr>
                  <w:tcW w:w="76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EA15224">
                  <w:pPr>
                    <w:pStyle w:val="40"/>
                    <w:bidi w:val="0"/>
                    <w:rPr>
                      <w:rFonts w:hint="eastAsia"/>
                    </w:rPr>
                  </w:pPr>
                  <w:r>
                    <w:rPr>
                      <w:rFonts w:hint="eastAsia"/>
                      <w:lang w:val="en-US" w:eastAsia="zh-CN"/>
                    </w:rPr>
                    <w:t>液化石油气卸车</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19FCF1">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F6CE72">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7D5E44">
                  <w:pPr>
                    <w:pStyle w:val="40"/>
                    <w:bidi w:val="0"/>
                    <w:rPr>
                      <w:rFonts w:hint="default"/>
                    </w:rPr>
                  </w:pPr>
                  <w:r>
                    <w:rPr>
                      <w:rFonts w:hint="default"/>
                      <w:lang w:val="en-US" w:eastAsia="zh-CN"/>
                    </w:rPr>
                    <w:t xml:space="preserve">0.638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667496">
                  <w:pPr>
                    <w:pStyle w:val="40"/>
                    <w:bidi w:val="0"/>
                    <w:rPr>
                      <w:rFonts w:hint="default"/>
                    </w:rPr>
                  </w:pPr>
                  <w:r>
                    <w:rPr>
                      <w:rFonts w:hint="default"/>
                      <w:lang w:val="en-US" w:eastAsia="zh-CN"/>
                    </w:rPr>
                    <w:t xml:space="preserve">0.081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A913186">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A0C630">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5AEFD8">
                  <w:pPr>
                    <w:pStyle w:val="40"/>
                    <w:bidi w:val="0"/>
                    <w:rPr>
                      <w:rFonts w:hint="default"/>
                    </w:rPr>
                  </w:pPr>
                  <w:r>
                    <w:rPr>
                      <w:rFonts w:hint="default"/>
                      <w:lang w:val="en-US" w:eastAsia="zh-CN"/>
                    </w:rPr>
                    <w:t xml:space="preserve">0.638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3C9E20">
                  <w:pPr>
                    <w:pStyle w:val="40"/>
                    <w:bidi w:val="0"/>
                    <w:rPr>
                      <w:rFonts w:hint="default"/>
                    </w:rPr>
                  </w:pPr>
                  <w:r>
                    <w:rPr>
                      <w:rFonts w:hint="default"/>
                      <w:lang w:val="en-US" w:eastAsia="zh-CN"/>
                    </w:rPr>
                    <w:t xml:space="preserve">0.081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C6DD6">
                  <w:pPr>
                    <w:pStyle w:val="40"/>
                    <w:bidi w:val="0"/>
                    <w:rPr>
                      <w:rFonts w:hint="default"/>
                    </w:rPr>
                  </w:pPr>
                  <w:r>
                    <w:rPr>
                      <w:rFonts w:hint="default"/>
                      <w:lang w:val="en-US" w:eastAsia="zh-CN"/>
                    </w:rPr>
                    <w:t>7920</w:t>
                  </w:r>
                </w:p>
              </w:tc>
            </w:tr>
            <w:tr w14:paraId="61D109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08D7B0">
                  <w:pPr>
                    <w:pStyle w:val="40"/>
                    <w:bidi w:val="0"/>
                    <w:rPr>
                      <w:rFonts w:hint="eastAsia"/>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EA2E7DB">
                  <w:pPr>
                    <w:pStyle w:val="40"/>
                    <w:bidi w:val="0"/>
                    <w:rPr>
                      <w:rFonts w:hint="eastAsia"/>
                    </w:rPr>
                  </w:pP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C478F">
                  <w:pPr>
                    <w:pStyle w:val="40"/>
                    <w:bidi w:val="0"/>
                    <w:rPr>
                      <w:rFonts w:hint="eastAsia"/>
                    </w:rPr>
                  </w:pPr>
                  <w:r>
                    <w:rPr>
                      <w:rFonts w:hint="eastAsia"/>
                      <w:lang w:val="en-US" w:eastAsia="zh-CN"/>
                    </w:rPr>
                    <w:t>臭气浓度</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512821">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91BFF1">
                  <w:pPr>
                    <w:pStyle w:val="40"/>
                    <w:bidi w:val="0"/>
                    <w:rPr>
                      <w:rFonts w:hint="eastAsia"/>
                    </w:rPr>
                  </w:pPr>
                  <w:r>
                    <w:rPr>
                      <w:rFonts w:hint="eastAsia"/>
                      <w:lang w:val="en-US" w:eastAsia="zh-CN"/>
                    </w:rPr>
                    <w:t>少量</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095009">
                  <w:pPr>
                    <w:pStyle w:val="40"/>
                    <w:bidi w:val="0"/>
                    <w:rPr>
                      <w:rFonts w:hint="default"/>
                    </w:rPr>
                  </w:pPr>
                  <w:r>
                    <w:rPr>
                      <w:rFonts w:hint="default"/>
                      <w:lang w:val="en-US" w:eastAsia="zh-CN"/>
                    </w:rPr>
                    <w:t>/</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3D68C5">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49D3A8">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7838D4F">
                  <w:pPr>
                    <w:pStyle w:val="40"/>
                    <w:bidi w:val="0"/>
                    <w:rPr>
                      <w:rFonts w:hint="default"/>
                    </w:rPr>
                  </w:pPr>
                  <w:r>
                    <w:rPr>
                      <w:rFonts w:hint="default"/>
                      <w:lang w:val="en-US" w:eastAsia="zh-CN"/>
                    </w:rPr>
                    <w:t>/</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77D0FA">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6930078">
                  <w:pPr>
                    <w:pStyle w:val="40"/>
                    <w:bidi w:val="0"/>
                    <w:rPr>
                      <w:rFonts w:hint="default"/>
                    </w:rPr>
                  </w:pPr>
                  <w:r>
                    <w:rPr>
                      <w:rFonts w:hint="default"/>
                      <w:lang w:val="en-US" w:eastAsia="zh-CN"/>
                    </w:rPr>
                    <w:t>7920</w:t>
                  </w:r>
                </w:p>
              </w:tc>
            </w:tr>
            <w:tr w14:paraId="76EA7C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CCDEF3F">
                  <w:pPr>
                    <w:pStyle w:val="40"/>
                    <w:bidi w:val="0"/>
                    <w:rPr>
                      <w:rFonts w:hint="eastAsia"/>
                    </w:rPr>
                  </w:pPr>
                </w:p>
              </w:tc>
              <w:tc>
                <w:tcPr>
                  <w:tcW w:w="7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F9EDB7">
                  <w:pPr>
                    <w:pStyle w:val="40"/>
                    <w:bidi w:val="0"/>
                    <w:rPr>
                      <w:rFonts w:hint="eastAsia"/>
                    </w:rPr>
                  </w:pPr>
                  <w:r>
                    <w:rPr>
                      <w:rFonts w:hint="eastAsia"/>
                      <w:lang w:val="en-US" w:eastAsia="zh-CN"/>
                    </w:rPr>
                    <w:t>丙烷卸车</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74135B">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C817BD">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F4F844">
                  <w:pPr>
                    <w:pStyle w:val="40"/>
                    <w:bidi w:val="0"/>
                    <w:rPr>
                      <w:rFonts w:hint="default"/>
                    </w:rPr>
                  </w:pPr>
                  <w:r>
                    <w:rPr>
                      <w:rFonts w:hint="default"/>
                      <w:lang w:val="en-US" w:eastAsia="zh-CN"/>
                    </w:rPr>
                    <w:t xml:space="preserve">0.658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402923">
                  <w:pPr>
                    <w:pStyle w:val="40"/>
                    <w:bidi w:val="0"/>
                    <w:rPr>
                      <w:rFonts w:hint="default"/>
                    </w:rPr>
                  </w:pPr>
                  <w:r>
                    <w:rPr>
                      <w:rFonts w:hint="default"/>
                      <w:lang w:val="en-US" w:eastAsia="zh-CN"/>
                    </w:rPr>
                    <w:t xml:space="preserve">0.083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109316">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CEC67F">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C100D0E">
                  <w:pPr>
                    <w:pStyle w:val="40"/>
                    <w:bidi w:val="0"/>
                    <w:rPr>
                      <w:rFonts w:hint="default"/>
                    </w:rPr>
                  </w:pPr>
                  <w:r>
                    <w:rPr>
                      <w:rFonts w:hint="default"/>
                      <w:lang w:val="en-US" w:eastAsia="zh-CN"/>
                    </w:rPr>
                    <w:t xml:space="preserve">0.658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BD2F57">
                  <w:pPr>
                    <w:pStyle w:val="40"/>
                    <w:bidi w:val="0"/>
                    <w:rPr>
                      <w:rFonts w:hint="default"/>
                    </w:rPr>
                  </w:pPr>
                  <w:r>
                    <w:rPr>
                      <w:rFonts w:hint="default"/>
                      <w:lang w:val="en-US" w:eastAsia="zh-CN"/>
                    </w:rPr>
                    <w:t xml:space="preserve">0.083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835CE1">
                  <w:pPr>
                    <w:pStyle w:val="40"/>
                    <w:bidi w:val="0"/>
                    <w:rPr>
                      <w:rFonts w:hint="default"/>
                    </w:rPr>
                  </w:pPr>
                  <w:r>
                    <w:rPr>
                      <w:rFonts w:hint="default"/>
                      <w:lang w:val="en-US" w:eastAsia="zh-CN"/>
                    </w:rPr>
                    <w:t>7920</w:t>
                  </w:r>
                </w:p>
              </w:tc>
            </w:tr>
            <w:tr w14:paraId="13460E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4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34E57A72">
                  <w:pPr>
                    <w:pStyle w:val="40"/>
                    <w:bidi w:val="0"/>
                    <w:rPr>
                      <w:rFonts w:hint="eastAsia"/>
                    </w:rPr>
                  </w:pPr>
                  <w:r>
                    <w:rPr>
                      <w:rFonts w:hint="eastAsia"/>
                      <w:lang w:val="en-US" w:eastAsia="zh-CN"/>
                    </w:rPr>
                    <w:t>储罐呼吸废气</w:t>
                  </w:r>
                </w:p>
              </w:tc>
              <w:tc>
                <w:tcPr>
                  <w:tcW w:w="765" w:type="pct"/>
                  <w:vMerge w:val="restart"/>
                  <w:tcBorders>
                    <w:top w:val="single" w:color="000000" w:sz="4" w:space="0"/>
                    <w:left w:val="single" w:color="000000" w:sz="4" w:space="0"/>
                    <w:right w:val="single" w:color="000000" w:sz="4" w:space="0"/>
                  </w:tcBorders>
                  <w:shd w:val="clear" w:color="auto" w:fill="auto"/>
                  <w:vAlign w:val="center"/>
                </w:tcPr>
                <w:p w14:paraId="713497C3">
                  <w:pPr>
                    <w:pStyle w:val="40"/>
                    <w:bidi w:val="0"/>
                    <w:rPr>
                      <w:rFonts w:hint="eastAsia"/>
                    </w:rPr>
                  </w:pPr>
                  <w:r>
                    <w:rPr>
                      <w:rFonts w:hint="eastAsia"/>
                      <w:lang w:val="en-US" w:eastAsia="zh-CN"/>
                    </w:rPr>
                    <w:t>液化石油气储罐区</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210DA">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FA0A58">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4BAFB84">
                  <w:pPr>
                    <w:pStyle w:val="40"/>
                    <w:bidi w:val="0"/>
                    <w:rPr>
                      <w:rFonts w:hint="default"/>
                    </w:rPr>
                  </w:pPr>
                  <w:r>
                    <w:rPr>
                      <w:rFonts w:hint="default"/>
                      <w:lang w:val="en-US" w:eastAsia="zh-CN"/>
                    </w:rPr>
                    <w:t xml:space="preserve">0.020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BD05EA">
                  <w:pPr>
                    <w:pStyle w:val="40"/>
                    <w:bidi w:val="0"/>
                    <w:rPr>
                      <w:rFonts w:hint="default"/>
                    </w:rPr>
                  </w:pPr>
                  <w:r>
                    <w:rPr>
                      <w:rFonts w:hint="default"/>
                      <w:lang w:val="en-US" w:eastAsia="zh-CN"/>
                    </w:rPr>
                    <w:t xml:space="preserve">0.003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51BA2C">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51D2B8">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081990">
                  <w:pPr>
                    <w:pStyle w:val="40"/>
                    <w:bidi w:val="0"/>
                    <w:rPr>
                      <w:rFonts w:hint="default"/>
                    </w:rPr>
                  </w:pPr>
                  <w:r>
                    <w:rPr>
                      <w:rFonts w:hint="default"/>
                      <w:lang w:val="en-US" w:eastAsia="zh-CN"/>
                    </w:rPr>
                    <w:t xml:space="preserve">0.020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0A50F4">
                  <w:pPr>
                    <w:pStyle w:val="40"/>
                    <w:bidi w:val="0"/>
                    <w:rPr>
                      <w:rFonts w:hint="default"/>
                    </w:rPr>
                  </w:pPr>
                  <w:r>
                    <w:rPr>
                      <w:rFonts w:hint="default"/>
                      <w:lang w:val="en-US" w:eastAsia="zh-CN"/>
                    </w:rPr>
                    <w:t xml:space="preserve">0.003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9197F5E">
                  <w:pPr>
                    <w:pStyle w:val="40"/>
                    <w:bidi w:val="0"/>
                    <w:rPr>
                      <w:rFonts w:hint="default"/>
                    </w:rPr>
                  </w:pPr>
                  <w:r>
                    <w:rPr>
                      <w:rFonts w:hint="default"/>
                      <w:lang w:val="en-US" w:eastAsia="zh-CN"/>
                    </w:rPr>
                    <w:t>7920</w:t>
                  </w:r>
                </w:p>
              </w:tc>
            </w:tr>
            <w:tr w14:paraId="72D793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426" w:type="pct"/>
                  <w:vMerge w:val="continue"/>
                  <w:tcBorders>
                    <w:left w:val="single" w:color="000000" w:sz="4" w:space="0"/>
                    <w:right w:val="single" w:color="000000" w:sz="4" w:space="0"/>
                  </w:tcBorders>
                  <w:shd w:val="clear" w:color="auto" w:fill="auto"/>
                  <w:vAlign w:val="center"/>
                </w:tcPr>
                <w:p w14:paraId="19C78EAB">
                  <w:pPr>
                    <w:pStyle w:val="40"/>
                    <w:bidi w:val="0"/>
                    <w:rPr>
                      <w:rFonts w:hint="eastAsia"/>
                      <w:lang w:val="en-US" w:eastAsia="zh-CN"/>
                    </w:rPr>
                  </w:pPr>
                </w:p>
              </w:tc>
              <w:tc>
                <w:tcPr>
                  <w:tcW w:w="765" w:type="pct"/>
                  <w:vMerge w:val="continue"/>
                  <w:tcBorders>
                    <w:left w:val="single" w:color="000000" w:sz="4" w:space="0"/>
                    <w:bottom w:val="single" w:color="000000" w:sz="4" w:space="0"/>
                    <w:right w:val="single" w:color="000000" w:sz="4" w:space="0"/>
                  </w:tcBorders>
                  <w:shd w:val="clear" w:color="auto" w:fill="auto"/>
                  <w:vAlign w:val="center"/>
                </w:tcPr>
                <w:p w14:paraId="0ACB04B6">
                  <w:pPr>
                    <w:pStyle w:val="40"/>
                    <w:bidi w:val="0"/>
                    <w:rPr>
                      <w:rFonts w:hint="eastAsia"/>
                      <w:lang w:val="en-US" w:eastAsia="zh-CN"/>
                    </w:rPr>
                  </w:pP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3A8E284">
                  <w:pPr>
                    <w:pStyle w:val="40"/>
                    <w:bidi w:val="0"/>
                    <w:ind w:firstLine="0" w:firstLine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lang w:val="en-US" w:eastAsia="zh-CN"/>
                    </w:rPr>
                    <w:t>臭气浓度</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722925">
                  <w:pPr>
                    <w:pStyle w:val="40"/>
                    <w:bidi w:val="0"/>
                    <w:ind w:firstLine="0" w:firstLine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DA9B35">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lang w:val="en-US" w:eastAsia="zh-CN"/>
                    </w:rPr>
                    <w:t>少量</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C280FF">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lang w:val="en-US" w:eastAsia="zh-CN"/>
                    </w:rPr>
                    <w:t>/</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28E30E">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6A16D9">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B69ACE">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lang w:val="en-US" w:eastAsia="zh-CN"/>
                    </w:rPr>
                    <w:t>/</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736CEA2">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7E967F">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lang w:val="en-US" w:eastAsia="zh-CN"/>
                    </w:rPr>
                    <w:t>7920</w:t>
                  </w:r>
                </w:p>
              </w:tc>
            </w:tr>
            <w:tr w14:paraId="6975E1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14F8B8F">
                  <w:pPr>
                    <w:pStyle w:val="40"/>
                    <w:bidi w:val="0"/>
                    <w:rPr>
                      <w:rFonts w:hint="eastAsia"/>
                    </w:rPr>
                  </w:pPr>
                </w:p>
              </w:tc>
              <w:tc>
                <w:tcPr>
                  <w:tcW w:w="7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6019E5">
                  <w:pPr>
                    <w:pStyle w:val="40"/>
                    <w:bidi w:val="0"/>
                    <w:rPr>
                      <w:rFonts w:hint="eastAsia"/>
                    </w:rPr>
                  </w:pPr>
                  <w:r>
                    <w:rPr>
                      <w:rFonts w:hint="eastAsia"/>
                      <w:lang w:val="en-US" w:eastAsia="zh-CN"/>
                    </w:rPr>
                    <w:t>改性丙烷储罐区</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B5F3E">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2D9016E">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D5943">
                  <w:pPr>
                    <w:pStyle w:val="40"/>
                    <w:bidi w:val="0"/>
                    <w:rPr>
                      <w:rFonts w:hint="default"/>
                    </w:rPr>
                  </w:pPr>
                  <w:r>
                    <w:rPr>
                      <w:rFonts w:hint="default"/>
                      <w:lang w:val="en-US" w:eastAsia="zh-CN"/>
                    </w:rPr>
                    <w:t xml:space="preserve">0.018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179862">
                  <w:pPr>
                    <w:pStyle w:val="40"/>
                    <w:bidi w:val="0"/>
                    <w:rPr>
                      <w:rFonts w:hint="default"/>
                    </w:rPr>
                  </w:pPr>
                  <w:r>
                    <w:rPr>
                      <w:rFonts w:hint="default"/>
                      <w:lang w:val="en-US" w:eastAsia="zh-CN"/>
                    </w:rPr>
                    <w:t xml:space="preserve">0.002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D8FB56">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AB7CE2">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4D3948">
                  <w:pPr>
                    <w:pStyle w:val="40"/>
                    <w:bidi w:val="0"/>
                    <w:rPr>
                      <w:rFonts w:hint="default"/>
                    </w:rPr>
                  </w:pPr>
                  <w:r>
                    <w:rPr>
                      <w:rFonts w:hint="default"/>
                      <w:lang w:val="en-US" w:eastAsia="zh-CN"/>
                    </w:rPr>
                    <w:t xml:space="preserve">0.018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1C0C10">
                  <w:pPr>
                    <w:pStyle w:val="40"/>
                    <w:bidi w:val="0"/>
                    <w:rPr>
                      <w:rFonts w:hint="default"/>
                    </w:rPr>
                  </w:pPr>
                  <w:r>
                    <w:rPr>
                      <w:rFonts w:hint="default"/>
                      <w:lang w:val="en-US" w:eastAsia="zh-CN"/>
                    </w:rPr>
                    <w:t xml:space="preserve">0.002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ED4B6C0">
                  <w:pPr>
                    <w:pStyle w:val="40"/>
                    <w:bidi w:val="0"/>
                    <w:rPr>
                      <w:rFonts w:hint="default"/>
                    </w:rPr>
                  </w:pPr>
                  <w:r>
                    <w:rPr>
                      <w:rFonts w:hint="default"/>
                      <w:lang w:val="en-US" w:eastAsia="zh-CN"/>
                    </w:rPr>
                    <w:t>7920</w:t>
                  </w:r>
                </w:p>
              </w:tc>
            </w:tr>
            <w:tr w14:paraId="051AC3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A403F4C">
                  <w:pPr>
                    <w:pStyle w:val="40"/>
                    <w:bidi w:val="0"/>
                    <w:rPr>
                      <w:rFonts w:hint="eastAsia"/>
                    </w:rPr>
                  </w:pPr>
                  <w:r>
                    <w:rPr>
                      <w:rFonts w:hint="eastAsia"/>
                      <w:lang w:val="en-US" w:eastAsia="zh-CN"/>
                    </w:rPr>
                    <w:t>充装废气</w:t>
                  </w:r>
                </w:p>
              </w:tc>
              <w:tc>
                <w:tcPr>
                  <w:tcW w:w="76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DE97194">
                  <w:pPr>
                    <w:pStyle w:val="40"/>
                    <w:bidi w:val="0"/>
                    <w:rPr>
                      <w:rFonts w:hint="eastAsia"/>
                    </w:rPr>
                  </w:pPr>
                  <w:r>
                    <w:rPr>
                      <w:rFonts w:hint="eastAsia"/>
                      <w:lang w:val="en-US" w:eastAsia="zh-CN"/>
                    </w:rPr>
                    <w:t>液化石油气加注间</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B5BCA03">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4F351A">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1D57558">
                  <w:pPr>
                    <w:pStyle w:val="40"/>
                    <w:bidi w:val="0"/>
                    <w:rPr>
                      <w:rFonts w:hint="default"/>
                    </w:rPr>
                  </w:pPr>
                  <w:r>
                    <w:rPr>
                      <w:rFonts w:hint="default"/>
                      <w:lang w:val="en-US" w:eastAsia="zh-CN"/>
                    </w:rPr>
                    <w:t xml:space="preserve">0.158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9EC120F">
                  <w:pPr>
                    <w:pStyle w:val="40"/>
                    <w:bidi w:val="0"/>
                    <w:rPr>
                      <w:rFonts w:hint="default"/>
                    </w:rPr>
                  </w:pPr>
                  <w:r>
                    <w:rPr>
                      <w:rFonts w:hint="default"/>
                      <w:lang w:val="en-US" w:eastAsia="zh-CN"/>
                    </w:rPr>
                    <w:t xml:space="preserve">0.020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428A736">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54AE7D2">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E3CDFE5">
                  <w:pPr>
                    <w:pStyle w:val="40"/>
                    <w:bidi w:val="0"/>
                    <w:rPr>
                      <w:rFonts w:hint="default"/>
                    </w:rPr>
                  </w:pPr>
                  <w:r>
                    <w:rPr>
                      <w:rFonts w:hint="default"/>
                      <w:lang w:val="en-US" w:eastAsia="zh-CN"/>
                    </w:rPr>
                    <w:t xml:space="preserve">0.158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0AA800">
                  <w:pPr>
                    <w:pStyle w:val="40"/>
                    <w:bidi w:val="0"/>
                    <w:rPr>
                      <w:rFonts w:hint="default"/>
                    </w:rPr>
                  </w:pPr>
                  <w:r>
                    <w:rPr>
                      <w:rFonts w:hint="default"/>
                      <w:lang w:val="en-US" w:eastAsia="zh-CN"/>
                    </w:rPr>
                    <w:t xml:space="preserve">0.020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4A5A64">
                  <w:pPr>
                    <w:pStyle w:val="40"/>
                    <w:bidi w:val="0"/>
                    <w:rPr>
                      <w:rFonts w:hint="default"/>
                    </w:rPr>
                  </w:pPr>
                  <w:r>
                    <w:rPr>
                      <w:rFonts w:hint="default"/>
                      <w:lang w:val="en-US" w:eastAsia="zh-CN"/>
                    </w:rPr>
                    <w:t>7920</w:t>
                  </w:r>
                </w:p>
              </w:tc>
            </w:tr>
            <w:tr w14:paraId="72C3F1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4E62766">
                  <w:pPr>
                    <w:pStyle w:val="40"/>
                    <w:bidi w:val="0"/>
                    <w:rPr>
                      <w:rFonts w:hint="eastAsia"/>
                    </w:rPr>
                  </w:pPr>
                </w:p>
              </w:tc>
              <w:tc>
                <w:tcPr>
                  <w:tcW w:w="76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6DF54F1">
                  <w:pPr>
                    <w:pStyle w:val="40"/>
                    <w:bidi w:val="0"/>
                    <w:rPr>
                      <w:rFonts w:hint="eastAsia"/>
                    </w:rPr>
                  </w:pP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C4636C">
                  <w:pPr>
                    <w:pStyle w:val="40"/>
                    <w:bidi w:val="0"/>
                    <w:rPr>
                      <w:rFonts w:hint="eastAsia"/>
                    </w:rPr>
                  </w:pPr>
                  <w:r>
                    <w:rPr>
                      <w:rFonts w:hint="eastAsia"/>
                      <w:lang w:val="en-US" w:eastAsia="zh-CN"/>
                    </w:rPr>
                    <w:t>臭气浓度</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C8A547">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13A95C">
                  <w:pPr>
                    <w:pStyle w:val="40"/>
                    <w:bidi w:val="0"/>
                    <w:rPr>
                      <w:rFonts w:hint="eastAsia"/>
                    </w:rPr>
                  </w:pPr>
                  <w:r>
                    <w:rPr>
                      <w:rFonts w:hint="eastAsia"/>
                      <w:lang w:val="en-US" w:eastAsia="zh-CN"/>
                    </w:rPr>
                    <w:t>少量</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EEB5426">
                  <w:pPr>
                    <w:pStyle w:val="40"/>
                    <w:bidi w:val="0"/>
                    <w:rPr>
                      <w:rFonts w:hint="default"/>
                    </w:rPr>
                  </w:pPr>
                  <w:r>
                    <w:rPr>
                      <w:rFonts w:hint="default"/>
                      <w:lang w:val="en-US" w:eastAsia="zh-CN"/>
                    </w:rPr>
                    <w:t>/</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92CAF5">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951037">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343DEF9">
                  <w:pPr>
                    <w:pStyle w:val="40"/>
                    <w:bidi w:val="0"/>
                    <w:rPr>
                      <w:rFonts w:hint="default"/>
                    </w:rPr>
                  </w:pPr>
                  <w:r>
                    <w:rPr>
                      <w:rFonts w:hint="default"/>
                      <w:lang w:val="en-US" w:eastAsia="zh-CN"/>
                    </w:rPr>
                    <w:t>/</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B447D6B">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2FCA0">
                  <w:pPr>
                    <w:pStyle w:val="40"/>
                    <w:bidi w:val="0"/>
                    <w:rPr>
                      <w:rFonts w:hint="default"/>
                    </w:rPr>
                  </w:pPr>
                  <w:r>
                    <w:rPr>
                      <w:rFonts w:hint="default"/>
                      <w:lang w:val="en-US" w:eastAsia="zh-CN"/>
                    </w:rPr>
                    <w:t>7920</w:t>
                  </w:r>
                </w:p>
              </w:tc>
            </w:tr>
            <w:tr w14:paraId="222F8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42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D279ADD">
                  <w:pPr>
                    <w:pStyle w:val="40"/>
                    <w:bidi w:val="0"/>
                    <w:rPr>
                      <w:rFonts w:hint="eastAsia"/>
                    </w:rPr>
                  </w:pPr>
                </w:p>
              </w:tc>
              <w:tc>
                <w:tcPr>
                  <w:tcW w:w="76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578617">
                  <w:pPr>
                    <w:pStyle w:val="40"/>
                    <w:bidi w:val="0"/>
                    <w:rPr>
                      <w:rFonts w:hint="eastAsia"/>
                    </w:rPr>
                  </w:pPr>
                  <w:r>
                    <w:rPr>
                      <w:rFonts w:hint="eastAsia"/>
                      <w:lang w:val="en-US" w:eastAsia="zh-CN"/>
                    </w:rPr>
                    <w:t>改性丙烷储罐加注间</w:t>
                  </w:r>
                </w:p>
              </w:tc>
              <w:tc>
                <w:tcPr>
                  <w:tcW w:w="51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D662661">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044C1">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2B31A0">
                  <w:pPr>
                    <w:pStyle w:val="40"/>
                    <w:bidi w:val="0"/>
                    <w:rPr>
                      <w:rFonts w:hint="default"/>
                    </w:rPr>
                  </w:pPr>
                  <w:r>
                    <w:rPr>
                      <w:rFonts w:hint="default"/>
                      <w:lang w:val="en-US" w:eastAsia="zh-CN"/>
                    </w:rPr>
                    <w:t xml:space="preserve">0.158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4D4BFC">
                  <w:pPr>
                    <w:pStyle w:val="40"/>
                    <w:bidi w:val="0"/>
                    <w:rPr>
                      <w:rFonts w:hint="default"/>
                    </w:rPr>
                  </w:pPr>
                  <w:r>
                    <w:rPr>
                      <w:rFonts w:hint="default"/>
                      <w:lang w:val="en-US" w:eastAsia="zh-CN"/>
                    </w:rPr>
                    <w:t xml:space="preserve">0.020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576D82">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6B34F9">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EF587">
                  <w:pPr>
                    <w:pStyle w:val="40"/>
                    <w:bidi w:val="0"/>
                    <w:rPr>
                      <w:rFonts w:hint="default"/>
                    </w:rPr>
                  </w:pPr>
                  <w:r>
                    <w:rPr>
                      <w:rFonts w:hint="default"/>
                      <w:lang w:val="en-US" w:eastAsia="zh-CN"/>
                    </w:rPr>
                    <w:t xml:space="preserve">0.158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18C7F42">
                  <w:pPr>
                    <w:pStyle w:val="40"/>
                    <w:bidi w:val="0"/>
                    <w:rPr>
                      <w:rFonts w:hint="default"/>
                    </w:rPr>
                  </w:pPr>
                  <w:r>
                    <w:rPr>
                      <w:rFonts w:hint="default"/>
                      <w:lang w:val="en-US" w:eastAsia="zh-CN"/>
                    </w:rPr>
                    <w:t xml:space="preserve">0.020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FB1A06">
                  <w:pPr>
                    <w:pStyle w:val="40"/>
                    <w:bidi w:val="0"/>
                    <w:rPr>
                      <w:rFonts w:hint="default"/>
                    </w:rPr>
                  </w:pPr>
                  <w:r>
                    <w:rPr>
                      <w:rFonts w:hint="default"/>
                      <w:lang w:val="en-US" w:eastAsia="zh-CN"/>
                    </w:rPr>
                    <w:t>7920</w:t>
                  </w:r>
                </w:p>
              </w:tc>
            </w:tr>
            <w:tr w14:paraId="55E1BE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F3FCBF">
                  <w:pPr>
                    <w:pStyle w:val="40"/>
                    <w:bidi w:val="0"/>
                    <w:rPr>
                      <w:rFonts w:hint="eastAsia"/>
                    </w:rPr>
                  </w:pPr>
                  <w:r>
                    <w:rPr>
                      <w:rFonts w:hint="eastAsia"/>
                      <w:lang w:val="en-US" w:eastAsia="zh-CN"/>
                    </w:rPr>
                    <w:t>倒残废气</w:t>
                  </w:r>
                </w:p>
              </w:tc>
              <w:tc>
                <w:tcPr>
                  <w:tcW w:w="7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A6534">
                  <w:pPr>
                    <w:pStyle w:val="40"/>
                    <w:bidi w:val="0"/>
                    <w:rPr>
                      <w:rFonts w:hint="eastAsia"/>
                    </w:rPr>
                  </w:pPr>
                  <w:r>
                    <w:rPr>
                      <w:rFonts w:hint="eastAsia"/>
                      <w:lang w:val="en-US" w:eastAsia="zh-CN"/>
                    </w:rPr>
                    <w:t>液化石油气加注间</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0914BF">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078411">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EC2678">
                  <w:pPr>
                    <w:pStyle w:val="40"/>
                    <w:bidi w:val="0"/>
                    <w:rPr>
                      <w:rFonts w:hint="eastAsia"/>
                    </w:rPr>
                  </w:pPr>
                  <w:r>
                    <w:rPr>
                      <w:rFonts w:hint="eastAsia"/>
                      <w:lang w:val="en-US" w:eastAsia="zh-CN"/>
                    </w:rPr>
                    <w:t xml:space="preserve">0.220 </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F91B8C">
                  <w:pPr>
                    <w:pStyle w:val="40"/>
                    <w:bidi w:val="0"/>
                    <w:rPr>
                      <w:rFonts w:hint="eastAsia"/>
                    </w:rPr>
                  </w:pPr>
                  <w:r>
                    <w:rPr>
                      <w:rFonts w:hint="eastAsia"/>
                      <w:lang w:val="en-US" w:eastAsia="zh-CN"/>
                    </w:rPr>
                    <w:t xml:space="preserve">0.028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591AD4B">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C3D1C9">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5A4B33">
                  <w:pPr>
                    <w:pStyle w:val="40"/>
                    <w:bidi w:val="0"/>
                    <w:rPr>
                      <w:rFonts w:hint="default"/>
                    </w:rPr>
                  </w:pPr>
                  <w:r>
                    <w:rPr>
                      <w:rFonts w:hint="default"/>
                      <w:lang w:val="en-US" w:eastAsia="zh-CN"/>
                    </w:rPr>
                    <w:t xml:space="preserve">0.220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3D343B">
                  <w:pPr>
                    <w:pStyle w:val="40"/>
                    <w:bidi w:val="0"/>
                    <w:rPr>
                      <w:rFonts w:hint="default"/>
                    </w:rPr>
                  </w:pPr>
                  <w:r>
                    <w:rPr>
                      <w:rFonts w:hint="default"/>
                      <w:lang w:val="en-US" w:eastAsia="zh-CN"/>
                    </w:rPr>
                    <w:t xml:space="preserve">0.028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312D83">
                  <w:pPr>
                    <w:pStyle w:val="40"/>
                    <w:bidi w:val="0"/>
                    <w:rPr>
                      <w:rFonts w:hint="default"/>
                    </w:rPr>
                  </w:pPr>
                  <w:r>
                    <w:rPr>
                      <w:rFonts w:hint="default"/>
                      <w:lang w:val="en-US" w:eastAsia="zh-CN"/>
                    </w:rPr>
                    <w:t>7920</w:t>
                  </w:r>
                </w:p>
              </w:tc>
            </w:tr>
            <w:tr w14:paraId="182048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D22FA0">
                  <w:pPr>
                    <w:pStyle w:val="40"/>
                    <w:bidi w:val="0"/>
                    <w:rPr>
                      <w:rFonts w:hint="eastAsia"/>
                    </w:rPr>
                  </w:pPr>
                  <w:r>
                    <w:rPr>
                      <w:rFonts w:hint="eastAsia"/>
                      <w:lang w:val="en-US" w:eastAsia="zh-CN"/>
                    </w:rPr>
                    <w:t>消毒废气</w:t>
                  </w:r>
                </w:p>
              </w:tc>
              <w:tc>
                <w:tcPr>
                  <w:tcW w:w="7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C7E09D">
                  <w:pPr>
                    <w:pStyle w:val="40"/>
                    <w:bidi w:val="0"/>
                    <w:rPr>
                      <w:rFonts w:hint="eastAsia"/>
                    </w:rPr>
                  </w:pPr>
                  <w:r>
                    <w:rPr>
                      <w:rFonts w:hint="eastAsia"/>
                      <w:lang w:val="en-US" w:eastAsia="zh-CN"/>
                    </w:rPr>
                    <w:t>医用氧气充装间</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3DF1EA">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A4436C">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85067D">
                  <w:pPr>
                    <w:pStyle w:val="40"/>
                    <w:bidi w:val="0"/>
                    <w:rPr>
                      <w:rFonts w:hint="eastAsia"/>
                    </w:rPr>
                  </w:pPr>
                  <w:r>
                    <w:rPr>
                      <w:rFonts w:hint="eastAsia"/>
                      <w:lang w:val="en-US" w:eastAsia="zh-CN"/>
                    </w:rPr>
                    <w:t xml:space="preserve">0.634 </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958FEB">
                  <w:pPr>
                    <w:pStyle w:val="40"/>
                    <w:bidi w:val="0"/>
                    <w:rPr>
                      <w:rFonts w:hint="eastAsia"/>
                    </w:rPr>
                  </w:pPr>
                  <w:r>
                    <w:rPr>
                      <w:rFonts w:hint="eastAsia"/>
                      <w:lang w:val="en-US" w:eastAsia="zh-CN"/>
                    </w:rPr>
                    <w:t xml:space="preserve">0.080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DFE7E">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F51B65">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C3ECA0">
                  <w:pPr>
                    <w:pStyle w:val="40"/>
                    <w:bidi w:val="0"/>
                    <w:rPr>
                      <w:rFonts w:hint="default"/>
                    </w:rPr>
                  </w:pPr>
                  <w:r>
                    <w:rPr>
                      <w:rFonts w:hint="default"/>
                      <w:lang w:val="en-US" w:eastAsia="zh-CN"/>
                    </w:rPr>
                    <w:t xml:space="preserve">0.634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E49C40">
                  <w:pPr>
                    <w:pStyle w:val="40"/>
                    <w:bidi w:val="0"/>
                    <w:rPr>
                      <w:rFonts w:hint="default"/>
                    </w:rPr>
                  </w:pPr>
                  <w:r>
                    <w:rPr>
                      <w:rFonts w:hint="default"/>
                      <w:lang w:val="en-US" w:eastAsia="zh-CN"/>
                    </w:rPr>
                    <w:t xml:space="preserve">0.080 </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D953F3">
                  <w:pPr>
                    <w:pStyle w:val="40"/>
                    <w:bidi w:val="0"/>
                    <w:rPr>
                      <w:rFonts w:hint="default"/>
                    </w:rPr>
                  </w:pPr>
                  <w:r>
                    <w:rPr>
                      <w:rFonts w:hint="default"/>
                      <w:lang w:val="en-US" w:eastAsia="zh-CN"/>
                    </w:rPr>
                    <w:t>7920</w:t>
                  </w:r>
                </w:p>
              </w:tc>
            </w:tr>
            <w:tr w14:paraId="511F0F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 w:hRule="atLeast"/>
              </w:trPr>
              <w:tc>
                <w:tcPr>
                  <w:tcW w:w="4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38863E">
                  <w:pPr>
                    <w:pStyle w:val="40"/>
                    <w:bidi w:val="0"/>
                    <w:rPr>
                      <w:rFonts w:hint="eastAsia"/>
                    </w:rPr>
                  </w:pPr>
                  <w:r>
                    <w:rPr>
                      <w:rFonts w:hint="eastAsia"/>
                      <w:lang w:val="en-US" w:eastAsia="zh-CN"/>
                    </w:rPr>
                    <w:t>管道设备</w:t>
                  </w:r>
                </w:p>
              </w:tc>
              <w:tc>
                <w:tcPr>
                  <w:tcW w:w="76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C27DC">
                  <w:pPr>
                    <w:pStyle w:val="40"/>
                    <w:bidi w:val="0"/>
                    <w:rPr>
                      <w:rFonts w:hint="eastAsia"/>
                    </w:rPr>
                  </w:pPr>
                  <w:r>
                    <w:rPr>
                      <w:rFonts w:hint="eastAsia"/>
                      <w:lang w:val="en-US" w:eastAsia="zh-CN"/>
                    </w:rPr>
                    <w:t>管道设备无组织</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3C9B5C">
                  <w:pPr>
                    <w:pStyle w:val="40"/>
                    <w:bidi w:val="0"/>
                    <w:rPr>
                      <w:rFonts w:hint="eastAsia"/>
                    </w:rPr>
                  </w:pPr>
                  <w:r>
                    <w:rPr>
                      <w:rFonts w:hint="eastAsia"/>
                      <w:lang w:val="en-US" w:eastAsia="zh-CN"/>
                    </w:rPr>
                    <w:t>非甲烷总烃</w:t>
                  </w:r>
                </w:p>
              </w:tc>
              <w:tc>
                <w:tcPr>
                  <w:tcW w:w="39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CAFCDB">
                  <w:pPr>
                    <w:pStyle w:val="40"/>
                    <w:bidi w:val="0"/>
                    <w:rPr>
                      <w:rFonts w:hint="eastAsia"/>
                    </w:rPr>
                  </w:pPr>
                  <w:r>
                    <w:rPr>
                      <w:rFonts w:hint="eastAsia"/>
                      <w:lang w:val="en-US" w:eastAsia="zh-CN"/>
                    </w:rPr>
                    <w:t>无组织</w:t>
                  </w:r>
                </w:p>
              </w:tc>
              <w:tc>
                <w:tcPr>
                  <w:tcW w:w="40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52E41E">
                  <w:pPr>
                    <w:pStyle w:val="40"/>
                    <w:bidi w:val="0"/>
                    <w:rPr>
                      <w:rFonts w:hint="eastAsia"/>
                    </w:rPr>
                  </w:pPr>
                  <w:r>
                    <w:rPr>
                      <w:rFonts w:hint="eastAsia"/>
                      <w:lang w:val="en-US" w:eastAsia="zh-CN"/>
                    </w:rPr>
                    <w:t xml:space="preserve">0.094 </w:t>
                  </w:r>
                </w:p>
              </w:tc>
              <w:tc>
                <w:tcPr>
                  <w:tcW w:w="4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E0543">
                  <w:pPr>
                    <w:pStyle w:val="40"/>
                    <w:bidi w:val="0"/>
                    <w:rPr>
                      <w:rFonts w:hint="eastAsia"/>
                    </w:rPr>
                  </w:pPr>
                  <w:r>
                    <w:rPr>
                      <w:rFonts w:hint="eastAsia"/>
                      <w:lang w:val="en-US" w:eastAsia="zh-CN"/>
                    </w:rPr>
                    <w:t xml:space="preserve">0.012 </w:t>
                  </w:r>
                </w:p>
              </w:tc>
              <w:tc>
                <w:tcPr>
                  <w:tcW w:w="403"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F8470B">
                  <w:pPr>
                    <w:pStyle w:val="40"/>
                    <w:bidi w:val="0"/>
                    <w:rPr>
                      <w:rFonts w:hint="default"/>
                    </w:rPr>
                  </w:pPr>
                  <w:r>
                    <w:rPr>
                      <w:rFonts w:hint="default"/>
                      <w:lang w:val="en-US" w:eastAsia="zh-CN"/>
                    </w:rPr>
                    <w:t>/</w:t>
                  </w:r>
                </w:p>
              </w:tc>
              <w:tc>
                <w:tcPr>
                  <w:tcW w:w="41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9A4078">
                  <w:pPr>
                    <w:pStyle w:val="40"/>
                    <w:bidi w:val="0"/>
                    <w:rPr>
                      <w:rFonts w:hint="default"/>
                    </w:rPr>
                  </w:pPr>
                  <w:r>
                    <w:rPr>
                      <w:rFonts w:hint="default"/>
                      <w:lang w:val="en-US" w:eastAsia="zh-CN"/>
                    </w:rPr>
                    <w:t>/</w:t>
                  </w:r>
                </w:p>
              </w:tc>
              <w:tc>
                <w:tcPr>
                  <w:tcW w:w="448"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205069">
                  <w:pPr>
                    <w:pStyle w:val="40"/>
                    <w:bidi w:val="0"/>
                    <w:rPr>
                      <w:rFonts w:hint="default"/>
                    </w:rPr>
                  </w:pPr>
                  <w:r>
                    <w:rPr>
                      <w:rFonts w:hint="default"/>
                      <w:lang w:val="en-US" w:eastAsia="zh-CN"/>
                    </w:rPr>
                    <w:t xml:space="preserve">0.094 </w:t>
                  </w:r>
                </w:p>
              </w:tc>
              <w:tc>
                <w:tcPr>
                  <w:tcW w:w="412"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F62696">
                  <w:pPr>
                    <w:pStyle w:val="40"/>
                    <w:bidi w:val="0"/>
                    <w:rPr>
                      <w:rFonts w:hint="default"/>
                    </w:rPr>
                  </w:pPr>
                  <w:r>
                    <w:rPr>
                      <w:rFonts w:hint="default"/>
                      <w:lang w:val="en-US" w:eastAsia="zh-CN"/>
                    </w:rPr>
                    <w:t xml:space="preserve">0.012 </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C5B4E8">
                  <w:pPr>
                    <w:pStyle w:val="40"/>
                    <w:bidi w:val="0"/>
                    <w:rPr>
                      <w:rFonts w:hint="eastAsia"/>
                    </w:rPr>
                  </w:pPr>
                  <w:r>
                    <w:rPr>
                      <w:rFonts w:hint="eastAsia"/>
                      <w:lang w:val="en-US" w:eastAsia="zh-CN"/>
                    </w:rPr>
                    <w:t>7920</w:t>
                  </w:r>
                </w:p>
              </w:tc>
            </w:tr>
          </w:tbl>
          <w:p w14:paraId="330DD7FA">
            <w:pPr>
              <w:pStyle w:val="44"/>
              <w:rPr>
                <w:rFonts w:hint="default" w:ascii="Times New Roman" w:hAnsi="Times New Roman" w:cs="Times New Roman"/>
                <w:vertAlign w:val="baseline"/>
              </w:rPr>
            </w:pPr>
          </w:p>
          <w:p w14:paraId="5CB631DF">
            <w:pPr>
              <w:pStyle w:val="44"/>
              <w:jc w:val="center"/>
              <w:rPr>
                <w:rFonts w:hint="default" w:ascii="Times New Roman" w:hAnsi="Times New Roman" w:cs="Times New Roman"/>
                <w:b/>
                <w:bCs/>
                <w:sz w:val="21"/>
                <w:szCs w:val="20"/>
                <w:vertAlign w:val="baseline"/>
                <w:lang w:val="en-US" w:eastAsia="zh-CN"/>
              </w:rPr>
            </w:pPr>
            <w:r>
              <w:rPr>
                <w:rFonts w:hint="default" w:ascii="Times New Roman" w:hAnsi="Times New Roman" w:cs="Times New Roman"/>
                <w:b/>
                <w:bCs/>
                <w:sz w:val="21"/>
                <w:szCs w:val="20"/>
                <w:vertAlign w:val="baseline"/>
                <w:lang w:val="en-US" w:eastAsia="zh-CN"/>
              </w:rPr>
              <w:t>表4.6-10  本项目废气污染源排放口参数一览表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3"/>
              <w:gridCol w:w="2373"/>
              <w:gridCol w:w="1768"/>
              <w:gridCol w:w="1769"/>
              <w:gridCol w:w="1769"/>
              <w:gridCol w:w="1769"/>
              <w:gridCol w:w="1770"/>
            </w:tblGrid>
            <w:tr w14:paraId="20C24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163" w:type="dxa"/>
                  <w:vAlign w:val="center"/>
                </w:tcPr>
                <w:p w14:paraId="46AB9F3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排放方式</w:t>
                  </w:r>
                </w:p>
              </w:tc>
              <w:tc>
                <w:tcPr>
                  <w:tcW w:w="2373" w:type="dxa"/>
                  <w:vAlign w:val="center"/>
                </w:tcPr>
                <w:p w14:paraId="3D58853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污染源名称</w:t>
                  </w:r>
                </w:p>
              </w:tc>
              <w:tc>
                <w:tcPr>
                  <w:tcW w:w="1768" w:type="dxa"/>
                  <w:vAlign w:val="center"/>
                </w:tcPr>
                <w:p w14:paraId="305E62E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排放口编号</w:t>
                  </w:r>
                </w:p>
              </w:tc>
              <w:tc>
                <w:tcPr>
                  <w:tcW w:w="1769" w:type="dxa"/>
                  <w:vAlign w:val="center"/>
                </w:tcPr>
                <w:p w14:paraId="5544FEB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排放口类型</w:t>
                  </w:r>
                </w:p>
              </w:tc>
              <w:tc>
                <w:tcPr>
                  <w:tcW w:w="1769" w:type="dxa"/>
                  <w:vAlign w:val="center"/>
                </w:tcPr>
                <w:p w14:paraId="5F626B8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排放口地理坐标</w:t>
                  </w:r>
                </w:p>
              </w:tc>
              <w:tc>
                <w:tcPr>
                  <w:tcW w:w="1769" w:type="dxa"/>
                  <w:vAlign w:val="center"/>
                </w:tcPr>
                <w:p w14:paraId="39C4E52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排放源参数</w:t>
                  </w:r>
                </w:p>
              </w:tc>
              <w:tc>
                <w:tcPr>
                  <w:tcW w:w="1770" w:type="dxa"/>
                  <w:vAlign w:val="center"/>
                </w:tcPr>
                <w:p w14:paraId="02C5AB8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排放污染物</w:t>
                  </w:r>
                </w:p>
              </w:tc>
            </w:tr>
            <w:tr w14:paraId="42B33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1163" w:type="dxa"/>
                  <w:vMerge w:val="restart"/>
                  <w:vAlign w:val="center"/>
                </w:tcPr>
                <w:p w14:paraId="08E4FB5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有组织</w:t>
                  </w:r>
                </w:p>
              </w:tc>
              <w:tc>
                <w:tcPr>
                  <w:tcW w:w="2373" w:type="dxa"/>
                  <w:vAlign w:val="center"/>
                </w:tcPr>
                <w:p w14:paraId="00C4900E">
                  <w:pPr>
                    <w:pStyle w:val="40"/>
                    <w:bidi w:val="0"/>
                    <w:jc w:val="center"/>
                    <w:rPr>
                      <w:rFonts w:hint="eastAsia" w:cs="Times New Roman"/>
                      <w:lang w:val="en-US" w:eastAsia="zh-CN"/>
                    </w:rPr>
                  </w:pPr>
                  <w:r>
                    <w:rPr>
                      <w:rFonts w:hint="eastAsia" w:cs="Times New Roman"/>
                      <w:lang w:val="en-US" w:eastAsia="zh-CN"/>
                    </w:rPr>
                    <w:t>气瓶检验站废气排放口</w:t>
                  </w:r>
                </w:p>
                <w:p w14:paraId="7FF777D2">
                  <w:pPr>
                    <w:pStyle w:val="40"/>
                    <w:bidi w:val="0"/>
                    <w:jc w:val="center"/>
                    <w:rPr>
                      <w:rFonts w:hint="eastAsia" w:cs="Times New Roman"/>
                      <w:lang w:val="en-US" w:eastAsia="zh-CN"/>
                    </w:rPr>
                  </w:pPr>
                  <w:r>
                    <w:rPr>
                      <w:rFonts w:hint="eastAsia" w:cs="Times New Roman"/>
                      <w:lang w:val="en-US" w:eastAsia="zh-CN"/>
                    </w:rPr>
                    <w:t>（</w:t>
                  </w:r>
                  <w:r>
                    <w:rPr>
                      <w:rFonts w:hint="default" w:ascii="Times New Roman" w:hAnsi="Times New Roman" w:cs="Times New Roman"/>
                      <w:lang w:val="en-US" w:eastAsia="zh-CN"/>
                    </w:rPr>
                    <w:t>焚烧废气</w:t>
                  </w:r>
                </w:p>
                <w:p w14:paraId="31ED805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抛丸废气</w:t>
                  </w:r>
                </w:p>
                <w:p w14:paraId="316CE25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喷塑废气</w:t>
                  </w:r>
                </w:p>
                <w:p w14:paraId="31ED8BE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固化/丝印废气</w:t>
                  </w:r>
                  <w:r>
                    <w:rPr>
                      <w:rFonts w:hint="eastAsia" w:cs="Times New Roman"/>
                      <w:lang w:val="en-US" w:eastAsia="zh-CN"/>
                    </w:rPr>
                    <w:t>）</w:t>
                  </w:r>
                </w:p>
              </w:tc>
              <w:tc>
                <w:tcPr>
                  <w:tcW w:w="1768" w:type="dxa"/>
                  <w:vAlign w:val="center"/>
                </w:tcPr>
                <w:p w14:paraId="56695847">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DA001</w:t>
                  </w:r>
                </w:p>
              </w:tc>
              <w:tc>
                <w:tcPr>
                  <w:tcW w:w="1769" w:type="dxa"/>
                  <w:vAlign w:val="center"/>
                </w:tcPr>
                <w:p w14:paraId="22FE622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一般排放口</w:t>
                  </w:r>
                </w:p>
              </w:tc>
              <w:tc>
                <w:tcPr>
                  <w:tcW w:w="1769" w:type="dxa"/>
                  <w:vAlign w:val="center"/>
                </w:tcPr>
                <w:p w14:paraId="36C43D3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N109°38′57.880″</w:t>
                  </w:r>
                </w:p>
                <w:p w14:paraId="4AA5765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E40°34′54.363″</w:t>
                  </w:r>
                </w:p>
              </w:tc>
              <w:tc>
                <w:tcPr>
                  <w:tcW w:w="1769" w:type="dxa"/>
                  <w:vAlign w:val="center"/>
                </w:tcPr>
                <w:p w14:paraId="0BEEFB7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H=15m</w:t>
                  </w:r>
                </w:p>
                <w:p w14:paraId="761D11E2">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Φ=0.25m</w:t>
                  </w:r>
                </w:p>
                <w:p w14:paraId="2F59CAF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T=60℃</w:t>
                  </w:r>
                </w:p>
              </w:tc>
              <w:tc>
                <w:tcPr>
                  <w:tcW w:w="1770" w:type="dxa"/>
                  <w:vAlign w:val="center"/>
                </w:tcPr>
                <w:p w14:paraId="3B7D15A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颗粒物、SO</w:t>
                  </w:r>
                  <w:r>
                    <w:rPr>
                      <w:rFonts w:hint="default" w:ascii="Times New Roman" w:hAnsi="Times New Roman" w:cs="Times New Roman"/>
                      <w:vertAlign w:val="subscript"/>
                      <w:lang w:val="en-US" w:eastAsia="zh-CN"/>
                    </w:rPr>
                    <w:t>2</w:t>
                  </w:r>
                  <w:r>
                    <w:rPr>
                      <w:rFonts w:hint="default" w:ascii="Times New Roman" w:hAnsi="Times New Roman" w:cs="Times New Roman"/>
                      <w:lang w:val="en-US" w:eastAsia="zh-CN"/>
                    </w:rPr>
                    <w:t>、NOx</w:t>
                  </w:r>
                  <w:r>
                    <w:rPr>
                      <w:rFonts w:hint="eastAsia" w:cs="Times New Roman"/>
                      <w:lang w:val="en-US" w:eastAsia="zh-CN"/>
                    </w:rPr>
                    <w:t>、</w:t>
                  </w:r>
                </w:p>
                <w:p w14:paraId="5F4AFB90">
                  <w:pPr>
                    <w:pStyle w:val="40"/>
                    <w:bidi w:val="0"/>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非甲烷总烃</w:t>
                  </w:r>
                </w:p>
              </w:tc>
            </w:tr>
            <w:tr w14:paraId="02881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163" w:type="dxa"/>
                  <w:vMerge w:val="restart"/>
                  <w:vAlign w:val="center"/>
                </w:tcPr>
                <w:p w14:paraId="68C2F7F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无组织</w:t>
                  </w:r>
                </w:p>
              </w:tc>
              <w:tc>
                <w:tcPr>
                  <w:tcW w:w="2373" w:type="dxa"/>
                  <w:vAlign w:val="center"/>
                </w:tcPr>
                <w:p w14:paraId="3432949B">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卸车台</w:t>
                  </w:r>
                </w:p>
              </w:tc>
              <w:tc>
                <w:tcPr>
                  <w:tcW w:w="1768" w:type="dxa"/>
                  <w:vAlign w:val="center"/>
                </w:tcPr>
                <w:p w14:paraId="13165A3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5B673BD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05365F9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N109°39′0.381″</w:t>
                  </w:r>
                </w:p>
                <w:p w14:paraId="762DF46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E40°34′55.865″</w:t>
                  </w:r>
                </w:p>
              </w:tc>
              <w:tc>
                <w:tcPr>
                  <w:tcW w:w="1769" w:type="dxa"/>
                  <w:vAlign w:val="center"/>
                </w:tcPr>
                <w:p w14:paraId="74E831C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10m×4m</w:t>
                  </w:r>
                </w:p>
              </w:tc>
              <w:tc>
                <w:tcPr>
                  <w:tcW w:w="1770" w:type="dxa"/>
                  <w:vAlign w:val="center"/>
                </w:tcPr>
                <w:p w14:paraId="09BABD51">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非甲烷总烃、臭气浓度</w:t>
                  </w:r>
                </w:p>
              </w:tc>
            </w:tr>
            <w:tr w14:paraId="09929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163" w:type="dxa"/>
                  <w:vMerge w:val="continue"/>
                  <w:vAlign w:val="center"/>
                </w:tcPr>
                <w:p w14:paraId="2992A93F">
                  <w:pPr>
                    <w:pStyle w:val="40"/>
                    <w:bidi w:val="0"/>
                    <w:jc w:val="center"/>
                    <w:rPr>
                      <w:rFonts w:hint="default" w:ascii="Times New Roman" w:hAnsi="Times New Roman" w:cs="Times New Roman"/>
                      <w:lang w:val="en-US" w:eastAsia="zh-CN"/>
                    </w:rPr>
                  </w:pPr>
                </w:p>
              </w:tc>
              <w:tc>
                <w:tcPr>
                  <w:tcW w:w="2373" w:type="dxa"/>
                  <w:vAlign w:val="center"/>
                </w:tcPr>
                <w:p w14:paraId="08B9AF4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液化石油气储罐区</w:t>
                  </w:r>
                </w:p>
              </w:tc>
              <w:tc>
                <w:tcPr>
                  <w:tcW w:w="1768" w:type="dxa"/>
                  <w:vAlign w:val="center"/>
                </w:tcPr>
                <w:p w14:paraId="3AF058F6">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481F0B19">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50ED88DF">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N109°39′1.964″</w:t>
                  </w:r>
                </w:p>
                <w:p w14:paraId="7F0CB3E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E40°34′55.227″</w:t>
                  </w:r>
                </w:p>
              </w:tc>
              <w:tc>
                <w:tcPr>
                  <w:tcW w:w="1769" w:type="dxa"/>
                  <w:vAlign w:val="center"/>
                </w:tcPr>
                <w:p w14:paraId="001964C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15m×13m</w:t>
                  </w:r>
                </w:p>
              </w:tc>
              <w:tc>
                <w:tcPr>
                  <w:tcW w:w="1770" w:type="dxa"/>
                  <w:vAlign w:val="center"/>
                </w:tcPr>
                <w:p w14:paraId="14AFB48C">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非甲烷总烃、臭气浓度</w:t>
                  </w:r>
                </w:p>
              </w:tc>
            </w:tr>
            <w:tr w14:paraId="2A68E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163" w:type="dxa"/>
                  <w:vMerge w:val="continue"/>
                  <w:vAlign w:val="center"/>
                </w:tcPr>
                <w:p w14:paraId="2E3B9410">
                  <w:pPr>
                    <w:pStyle w:val="40"/>
                    <w:bidi w:val="0"/>
                    <w:jc w:val="center"/>
                    <w:rPr>
                      <w:rFonts w:hint="default" w:ascii="Times New Roman" w:hAnsi="Times New Roman" w:cs="Times New Roman"/>
                      <w:lang w:val="en-US" w:eastAsia="zh-CN"/>
                    </w:rPr>
                  </w:pPr>
                </w:p>
              </w:tc>
              <w:tc>
                <w:tcPr>
                  <w:tcW w:w="2373" w:type="dxa"/>
                  <w:vAlign w:val="center"/>
                </w:tcPr>
                <w:p w14:paraId="4C9633D9">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改性丙烷储罐区</w:t>
                  </w:r>
                </w:p>
              </w:tc>
              <w:tc>
                <w:tcPr>
                  <w:tcW w:w="1768" w:type="dxa"/>
                  <w:vAlign w:val="center"/>
                </w:tcPr>
                <w:p w14:paraId="61076CE6">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72F6F8E6">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752D946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N109°39′3.075″</w:t>
                  </w:r>
                </w:p>
                <w:p w14:paraId="1376BCD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E40°34′54.667″</w:t>
                  </w:r>
                </w:p>
              </w:tc>
              <w:tc>
                <w:tcPr>
                  <w:tcW w:w="1769" w:type="dxa"/>
                  <w:vAlign w:val="center"/>
                </w:tcPr>
                <w:p w14:paraId="6F2767F5">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15m×13m</w:t>
                  </w:r>
                </w:p>
              </w:tc>
              <w:tc>
                <w:tcPr>
                  <w:tcW w:w="1770" w:type="dxa"/>
                  <w:vAlign w:val="center"/>
                </w:tcPr>
                <w:p w14:paraId="79CE422B">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非甲烷总烃</w:t>
                  </w:r>
                </w:p>
              </w:tc>
            </w:tr>
            <w:tr w14:paraId="39707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163" w:type="dxa"/>
                  <w:vMerge w:val="continue"/>
                  <w:vAlign w:val="center"/>
                </w:tcPr>
                <w:p w14:paraId="27476E96">
                  <w:pPr>
                    <w:pStyle w:val="40"/>
                    <w:bidi w:val="0"/>
                    <w:jc w:val="center"/>
                    <w:rPr>
                      <w:rFonts w:hint="default" w:ascii="Times New Roman" w:hAnsi="Times New Roman" w:cs="Times New Roman"/>
                      <w:lang w:val="en-US" w:eastAsia="zh-CN"/>
                    </w:rPr>
                  </w:pPr>
                </w:p>
              </w:tc>
              <w:tc>
                <w:tcPr>
                  <w:tcW w:w="2373" w:type="dxa"/>
                  <w:vAlign w:val="center"/>
                </w:tcPr>
                <w:p w14:paraId="3E39606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液化石油气灌装间</w:t>
                  </w:r>
                </w:p>
              </w:tc>
              <w:tc>
                <w:tcPr>
                  <w:tcW w:w="1768" w:type="dxa"/>
                  <w:vAlign w:val="center"/>
                </w:tcPr>
                <w:p w14:paraId="7F97DC50">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3CD3CD4C">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4B5FC13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N109°39′1.926″</w:t>
                  </w:r>
                </w:p>
                <w:p w14:paraId="74F8470A">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E40°34′57.081″</w:t>
                  </w:r>
                </w:p>
              </w:tc>
              <w:tc>
                <w:tcPr>
                  <w:tcW w:w="1769" w:type="dxa"/>
                  <w:vAlign w:val="center"/>
                </w:tcPr>
                <w:p w14:paraId="16692D2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29m×12.5m</w:t>
                  </w:r>
                </w:p>
              </w:tc>
              <w:tc>
                <w:tcPr>
                  <w:tcW w:w="1770" w:type="dxa"/>
                  <w:vAlign w:val="center"/>
                </w:tcPr>
                <w:p w14:paraId="267B5A8A">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非甲烷总烃、臭气浓度</w:t>
                  </w:r>
                </w:p>
              </w:tc>
            </w:tr>
            <w:tr w14:paraId="6D250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163" w:type="dxa"/>
                  <w:vMerge w:val="continue"/>
                  <w:vAlign w:val="center"/>
                </w:tcPr>
                <w:p w14:paraId="3279A91D">
                  <w:pPr>
                    <w:pStyle w:val="40"/>
                    <w:bidi w:val="0"/>
                    <w:jc w:val="center"/>
                    <w:rPr>
                      <w:rFonts w:hint="default" w:ascii="Times New Roman" w:hAnsi="Times New Roman" w:cs="Times New Roman"/>
                      <w:lang w:val="en-US" w:eastAsia="zh-CN"/>
                    </w:rPr>
                  </w:pPr>
                </w:p>
              </w:tc>
              <w:tc>
                <w:tcPr>
                  <w:tcW w:w="2373" w:type="dxa"/>
                  <w:vAlign w:val="center"/>
                </w:tcPr>
                <w:p w14:paraId="3AC751C4">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改性丙烷灌装间</w:t>
                  </w:r>
                </w:p>
              </w:tc>
              <w:tc>
                <w:tcPr>
                  <w:tcW w:w="1768" w:type="dxa"/>
                  <w:vAlign w:val="center"/>
                </w:tcPr>
                <w:p w14:paraId="64DC22BB">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3D1ABDE9">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57DCBA5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N109°39′3.142″</w:t>
                  </w:r>
                </w:p>
                <w:p w14:paraId="73016746">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E40°34′56.782″</w:t>
                  </w:r>
                </w:p>
              </w:tc>
              <w:tc>
                <w:tcPr>
                  <w:tcW w:w="1769" w:type="dxa"/>
                  <w:vAlign w:val="center"/>
                </w:tcPr>
                <w:p w14:paraId="05817C18">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23m×8.5m</w:t>
                  </w:r>
                </w:p>
              </w:tc>
              <w:tc>
                <w:tcPr>
                  <w:tcW w:w="1770" w:type="dxa"/>
                  <w:vAlign w:val="center"/>
                </w:tcPr>
                <w:p w14:paraId="4AF56CAF">
                  <w:pPr>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非甲烷总烃</w:t>
                  </w:r>
                </w:p>
              </w:tc>
            </w:tr>
            <w:tr w14:paraId="45F0D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163" w:type="dxa"/>
                  <w:vMerge w:val="continue"/>
                  <w:vAlign w:val="center"/>
                </w:tcPr>
                <w:p w14:paraId="37858869">
                  <w:pPr>
                    <w:pStyle w:val="40"/>
                    <w:bidi w:val="0"/>
                    <w:jc w:val="center"/>
                    <w:rPr>
                      <w:rFonts w:hint="default" w:ascii="Times New Roman" w:hAnsi="Times New Roman" w:cs="Times New Roman"/>
                      <w:lang w:val="en-US" w:eastAsia="zh-CN"/>
                    </w:rPr>
                  </w:pPr>
                </w:p>
              </w:tc>
              <w:tc>
                <w:tcPr>
                  <w:tcW w:w="2373" w:type="dxa"/>
                  <w:vAlign w:val="center"/>
                </w:tcPr>
                <w:p w14:paraId="69A805A3">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气瓶检验站</w:t>
                  </w:r>
                </w:p>
              </w:tc>
              <w:tc>
                <w:tcPr>
                  <w:tcW w:w="1768" w:type="dxa"/>
                  <w:vAlign w:val="center"/>
                </w:tcPr>
                <w:p w14:paraId="00C4837D">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7172E560">
                  <w:pPr>
                    <w:pStyle w:val="40"/>
                    <w:bidi w:val="0"/>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w:t>
                  </w:r>
                </w:p>
              </w:tc>
              <w:tc>
                <w:tcPr>
                  <w:tcW w:w="1769" w:type="dxa"/>
                  <w:vAlign w:val="center"/>
                </w:tcPr>
                <w:p w14:paraId="6FBAB84D">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N109°38′58.807″</w:t>
                  </w:r>
                </w:p>
                <w:p w14:paraId="24EA826C">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E40°34′54.725″</w:t>
                  </w:r>
                </w:p>
              </w:tc>
              <w:tc>
                <w:tcPr>
                  <w:tcW w:w="1769" w:type="dxa"/>
                  <w:vAlign w:val="center"/>
                </w:tcPr>
                <w:p w14:paraId="131029DE">
                  <w:pPr>
                    <w:pStyle w:val="40"/>
                    <w:bidi w:val="0"/>
                    <w:jc w:val="center"/>
                    <w:rPr>
                      <w:rFonts w:hint="default" w:ascii="Times New Roman" w:hAnsi="Times New Roman" w:cs="Times New Roman"/>
                      <w:lang w:val="en-US" w:eastAsia="zh-CN"/>
                    </w:rPr>
                  </w:pPr>
                  <w:r>
                    <w:rPr>
                      <w:rFonts w:hint="default" w:ascii="Times New Roman" w:hAnsi="Times New Roman" w:cs="Times New Roman"/>
                      <w:lang w:val="en-US" w:eastAsia="zh-CN"/>
                    </w:rPr>
                    <w:t>40m×27m</w:t>
                  </w:r>
                </w:p>
              </w:tc>
              <w:tc>
                <w:tcPr>
                  <w:tcW w:w="1770" w:type="dxa"/>
                  <w:vAlign w:val="center"/>
                </w:tcPr>
                <w:p w14:paraId="22AE0DCC">
                  <w:pPr>
                    <w:bidi w:val="0"/>
                    <w:jc w:val="center"/>
                    <w:rPr>
                      <w:rFonts w:hint="default" w:ascii="Times New Roman" w:hAnsi="Times New Roman" w:cs="Times New Roman"/>
                      <w:lang w:val="en-US" w:eastAsia="zh-CN"/>
                    </w:rPr>
                  </w:pPr>
                  <w:r>
                    <w:rPr>
                      <w:rFonts w:hint="eastAsia" w:cs="Times New Roman"/>
                      <w:lang w:val="en-US" w:eastAsia="zh-CN"/>
                    </w:rPr>
                    <w:t>颗粒物、</w:t>
                  </w:r>
                  <w:r>
                    <w:rPr>
                      <w:rFonts w:hint="default" w:ascii="Times New Roman" w:hAnsi="Times New Roman" w:cs="Times New Roman"/>
                      <w:lang w:val="en-US" w:eastAsia="zh-CN"/>
                    </w:rPr>
                    <w:t>非甲烷总烃、臭气浓度</w:t>
                  </w:r>
                </w:p>
              </w:tc>
            </w:tr>
          </w:tbl>
          <w:p w14:paraId="532A1A37">
            <w:pPr>
              <w:pStyle w:val="44"/>
              <w:jc w:val="center"/>
              <w:rPr>
                <w:rFonts w:hint="default" w:ascii="Times New Roman" w:hAnsi="Times New Roman" w:cs="Times New Roman"/>
                <w:b/>
                <w:bCs/>
                <w:sz w:val="21"/>
                <w:szCs w:val="20"/>
                <w:vertAlign w:val="baseline"/>
                <w:lang w:val="en-US" w:eastAsia="zh-CN"/>
              </w:rPr>
            </w:pPr>
          </w:p>
          <w:p w14:paraId="751BA167">
            <w:pPr>
              <w:adjustRightInd w:val="0"/>
              <w:snapToGrid w:val="0"/>
              <w:spacing w:before="120" w:beforeLines="50"/>
              <w:jc w:val="center"/>
              <w:rPr>
                <w:rFonts w:hint="default" w:ascii="Times New Roman" w:hAnsi="Times New Roman" w:eastAsia="宋体" w:cs="Times New Roman"/>
                <w:b/>
                <w:color w:val="000000"/>
                <w:kern w:val="0"/>
                <w:sz w:val="24"/>
                <w:lang w:val="en-US" w:eastAsia="zh-CN" w:bidi="ar"/>
              </w:rPr>
            </w:pPr>
          </w:p>
          <w:p w14:paraId="550ED324">
            <w:pPr>
              <w:adjustRightInd w:val="0"/>
              <w:snapToGrid w:val="0"/>
              <w:spacing w:before="120" w:beforeLines="50"/>
              <w:jc w:val="center"/>
              <w:rPr>
                <w:rFonts w:hint="default" w:ascii="Times New Roman" w:hAnsi="Times New Roman" w:eastAsia="宋体" w:cs="Times New Roman"/>
                <w:b/>
                <w:color w:val="000000"/>
                <w:kern w:val="0"/>
                <w:sz w:val="24"/>
                <w:lang w:val="en-US" w:eastAsia="zh-CN" w:bidi="ar"/>
              </w:rPr>
            </w:pPr>
            <w:r>
              <w:rPr>
                <w:rFonts w:hint="default" w:ascii="Times New Roman" w:hAnsi="Times New Roman" w:eastAsia="宋体" w:cs="Times New Roman"/>
                <w:b/>
                <w:color w:val="000000"/>
                <w:kern w:val="0"/>
                <w:sz w:val="24"/>
                <w:lang w:val="en-US" w:eastAsia="zh-CN" w:bidi="ar"/>
              </w:rPr>
              <w:t>表4.6-11   大气污染物年排放量核算表</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3"/>
              <w:gridCol w:w="3243"/>
              <w:gridCol w:w="6698"/>
            </w:tblGrid>
            <w:tr w14:paraId="4F85C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983" w:type="pct"/>
                  <w:noWrap w:val="0"/>
                  <w:vAlign w:val="top"/>
                </w:tcPr>
                <w:p w14:paraId="2B8D2149">
                  <w:pPr>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序号</w:t>
                  </w:r>
                </w:p>
              </w:tc>
              <w:tc>
                <w:tcPr>
                  <w:tcW w:w="1310" w:type="pct"/>
                  <w:noWrap w:val="0"/>
                  <w:vAlign w:val="top"/>
                </w:tcPr>
                <w:p w14:paraId="7B8FEAE7">
                  <w:pPr>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污染物</w:t>
                  </w:r>
                </w:p>
              </w:tc>
              <w:tc>
                <w:tcPr>
                  <w:tcW w:w="2706" w:type="pct"/>
                  <w:noWrap w:val="0"/>
                  <w:vAlign w:val="top"/>
                </w:tcPr>
                <w:p w14:paraId="1E93C859">
                  <w:pPr>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年排放量/（t/a）</w:t>
                  </w:r>
                </w:p>
              </w:tc>
            </w:tr>
            <w:tr w14:paraId="34095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983" w:type="pct"/>
                  <w:noWrap w:val="0"/>
                  <w:vAlign w:val="top"/>
                </w:tcPr>
                <w:p w14:paraId="3789C273">
                  <w:pPr>
                    <w:jc w:val="center"/>
                    <w:rPr>
                      <w:rFonts w:hint="default" w:ascii="Times New Roman" w:hAnsi="Times New Roman" w:eastAsia="宋体" w:cs="Times New Roman"/>
                      <w:color w:val="auto"/>
                      <w:sz w:val="21"/>
                      <w:szCs w:val="18"/>
                      <w:highlight w:val="none"/>
                    </w:rPr>
                  </w:pPr>
                  <w:r>
                    <w:rPr>
                      <w:rFonts w:hint="default" w:ascii="Times New Roman" w:hAnsi="Times New Roman" w:eastAsia="宋体" w:cs="Times New Roman"/>
                      <w:color w:val="auto"/>
                      <w:sz w:val="21"/>
                      <w:szCs w:val="18"/>
                      <w:highlight w:val="none"/>
                    </w:rPr>
                    <w:t>1</w:t>
                  </w:r>
                </w:p>
              </w:tc>
              <w:tc>
                <w:tcPr>
                  <w:tcW w:w="1310" w:type="pct"/>
                  <w:noWrap w:val="0"/>
                  <w:vAlign w:val="center"/>
                </w:tcPr>
                <w:p w14:paraId="33DC3F66">
                  <w:pPr>
                    <w:jc w:val="center"/>
                    <w:rPr>
                      <w:rFonts w:hint="default" w:ascii="Times New Roman" w:hAnsi="Times New Roman" w:eastAsia="宋体" w:cs="Times New Roman"/>
                      <w:color w:val="auto"/>
                      <w:sz w:val="21"/>
                      <w:szCs w:val="18"/>
                      <w:highlight w:val="none"/>
                      <w:lang w:val="en-US" w:eastAsia="zh-CN"/>
                    </w:rPr>
                  </w:pPr>
                  <w:r>
                    <w:rPr>
                      <w:rFonts w:hint="default" w:ascii="Times New Roman" w:hAnsi="Times New Roman" w:eastAsia="宋体" w:cs="Times New Roman"/>
                      <w:color w:val="auto"/>
                      <w:sz w:val="21"/>
                      <w:szCs w:val="18"/>
                      <w:highlight w:val="none"/>
                      <w:lang w:val="en-US" w:eastAsia="zh-CN"/>
                    </w:rPr>
                    <w:t>颗粒物</w:t>
                  </w:r>
                </w:p>
              </w:tc>
              <w:tc>
                <w:tcPr>
                  <w:tcW w:w="6698" w:type="dxa"/>
                  <w:noWrap w:val="0"/>
                  <w:vAlign w:val="center"/>
                </w:tcPr>
                <w:p w14:paraId="177729DB">
                  <w:pPr>
                    <w:keepNext w:val="0"/>
                    <w:keepLines w:val="0"/>
                    <w:widowControl/>
                    <w:suppressLineNumbers w:val="0"/>
                    <w:jc w:val="center"/>
                    <w:textAlignment w:val="center"/>
                    <w:rPr>
                      <w:rFonts w:hint="default" w:ascii="Times New Roman" w:hAnsi="Times New Roman"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0.498 </w:t>
                  </w:r>
                </w:p>
              </w:tc>
            </w:tr>
            <w:tr w14:paraId="0E542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983" w:type="pct"/>
                  <w:noWrap w:val="0"/>
                  <w:vAlign w:val="top"/>
                </w:tcPr>
                <w:p w14:paraId="4D8ED75F">
                  <w:pPr>
                    <w:jc w:val="center"/>
                    <w:rPr>
                      <w:rFonts w:hint="default" w:ascii="Times New Roman" w:hAnsi="Times New Roman" w:eastAsia="宋体" w:cs="Times New Roman"/>
                      <w:color w:val="auto"/>
                      <w:sz w:val="21"/>
                      <w:szCs w:val="18"/>
                      <w:highlight w:val="none"/>
                      <w:lang w:val="en-US" w:eastAsia="zh-CN"/>
                    </w:rPr>
                  </w:pPr>
                  <w:r>
                    <w:rPr>
                      <w:rFonts w:hint="default" w:ascii="Times New Roman" w:hAnsi="Times New Roman" w:eastAsia="宋体" w:cs="Times New Roman"/>
                      <w:color w:val="auto"/>
                      <w:sz w:val="21"/>
                      <w:szCs w:val="18"/>
                      <w:highlight w:val="none"/>
                      <w:lang w:val="en-US" w:eastAsia="zh-CN"/>
                    </w:rPr>
                    <w:t>2</w:t>
                  </w:r>
                </w:p>
              </w:tc>
              <w:tc>
                <w:tcPr>
                  <w:tcW w:w="1310" w:type="pct"/>
                  <w:noWrap w:val="0"/>
                  <w:vAlign w:val="center"/>
                </w:tcPr>
                <w:p w14:paraId="4F7FBE08">
                  <w:pPr>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lang w:val="en-US" w:eastAsia="zh-CN"/>
                    </w:rPr>
                    <w:t>SO</w:t>
                  </w:r>
                  <w:r>
                    <w:rPr>
                      <w:rFonts w:hint="default" w:ascii="Times New Roman" w:hAnsi="Times New Roman" w:cs="Times New Roman"/>
                      <w:vertAlign w:val="subscript"/>
                      <w:lang w:val="en-US" w:eastAsia="zh-CN"/>
                    </w:rPr>
                    <w:t>2</w:t>
                  </w:r>
                </w:p>
              </w:tc>
              <w:tc>
                <w:tcPr>
                  <w:tcW w:w="6698" w:type="dxa"/>
                  <w:noWrap w:val="0"/>
                  <w:vAlign w:val="center"/>
                </w:tcPr>
                <w:p w14:paraId="78DD80CE">
                  <w:pPr>
                    <w:keepNext w:val="0"/>
                    <w:keepLines w:val="0"/>
                    <w:widowControl/>
                    <w:suppressLineNumbers w:val="0"/>
                    <w:jc w:val="center"/>
                    <w:textAlignment w:val="center"/>
                    <w:rPr>
                      <w:rFonts w:hint="default" w:ascii="Times New Roman" w:hAnsi="Times New Roman"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0.006 </w:t>
                  </w:r>
                </w:p>
              </w:tc>
            </w:tr>
            <w:tr w14:paraId="65590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983" w:type="pct"/>
                  <w:noWrap w:val="0"/>
                  <w:vAlign w:val="top"/>
                </w:tcPr>
                <w:p w14:paraId="5CD54962">
                  <w:pPr>
                    <w:jc w:val="center"/>
                    <w:rPr>
                      <w:rFonts w:hint="default" w:ascii="Times New Roman" w:hAnsi="Times New Roman" w:eastAsia="宋体" w:cs="Times New Roman"/>
                      <w:color w:val="auto"/>
                      <w:sz w:val="21"/>
                      <w:szCs w:val="18"/>
                      <w:highlight w:val="none"/>
                      <w:lang w:val="en-US" w:eastAsia="zh-CN"/>
                    </w:rPr>
                  </w:pPr>
                  <w:r>
                    <w:rPr>
                      <w:rFonts w:hint="default" w:ascii="Times New Roman" w:hAnsi="Times New Roman" w:eastAsia="宋体" w:cs="Times New Roman"/>
                      <w:color w:val="auto"/>
                      <w:sz w:val="21"/>
                      <w:szCs w:val="18"/>
                      <w:highlight w:val="none"/>
                      <w:lang w:val="en-US" w:eastAsia="zh-CN"/>
                    </w:rPr>
                    <w:t>3</w:t>
                  </w:r>
                </w:p>
              </w:tc>
              <w:tc>
                <w:tcPr>
                  <w:tcW w:w="1310" w:type="pct"/>
                  <w:noWrap w:val="0"/>
                  <w:vAlign w:val="center"/>
                </w:tcPr>
                <w:p w14:paraId="5A73C76F">
                  <w:pPr>
                    <w:jc w:val="center"/>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cs="Times New Roman"/>
                      <w:lang w:val="en-US" w:eastAsia="zh-CN"/>
                    </w:rPr>
                    <w:t>NOx</w:t>
                  </w:r>
                </w:p>
              </w:tc>
              <w:tc>
                <w:tcPr>
                  <w:tcW w:w="6698" w:type="dxa"/>
                  <w:noWrap w:val="0"/>
                  <w:vAlign w:val="center"/>
                </w:tcPr>
                <w:p w14:paraId="23FC7CB5">
                  <w:pPr>
                    <w:keepNext w:val="0"/>
                    <w:keepLines w:val="0"/>
                    <w:widowControl/>
                    <w:suppressLineNumbers w:val="0"/>
                    <w:jc w:val="center"/>
                    <w:textAlignment w:val="center"/>
                    <w:rPr>
                      <w:rFonts w:hint="default" w:ascii="Times New Roman" w:hAnsi="Times New Roman"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0.027 </w:t>
                  </w:r>
                </w:p>
              </w:tc>
            </w:tr>
            <w:tr w14:paraId="2223D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983" w:type="pct"/>
                  <w:noWrap w:val="0"/>
                  <w:vAlign w:val="top"/>
                </w:tcPr>
                <w:p w14:paraId="741AA3CE">
                  <w:pPr>
                    <w:jc w:val="center"/>
                    <w:rPr>
                      <w:rFonts w:hint="default" w:ascii="Times New Roman" w:hAnsi="Times New Roman" w:eastAsia="宋体" w:cs="Times New Roman"/>
                      <w:color w:val="auto"/>
                      <w:sz w:val="21"/>
                      <w:szCs w:val="18"/>
                      <w:highlight w:val="none"/>
                      <w:lang w:val="en-US" w:eastAsia="zh-CN"/>
                    </w:rPr>
                  </w:pPr>
                  <w:r>
                    <w:rPr>
                      <w:rFonts w:hint="default" w:ascii="Times New Roman" w:hAnsi="Times New Roman" w:eastAsia="宋体" w:cs="Times New Roman"/>
                      <w:color w:val="auto"/>
                      <w:sz w:val="21"/>
                      <w:szCs w:val="18"/>
                      <w:highlight w:val="none"/>
                      <w:lang w:val="en-US" w:eastAsia="zh-CN"/>
                    </w:rPr>
                    <w:t>4</w:t>
                  </w:r>
                </w:p>
              </w:tc>
              <w:tc>
                <w:tcPr>
                  <w:tcW w:w="1310" w:type="pct"/>
                  <w:shd w:val="clear" w:color="auto" w:fill="auto"/>
                  <w:noWrap w:val="0"/>
                  <w:vAlign w:val="center"/>
                </w:tcPr>
                <w:p w14:paraId="4F78FB56">
                  <w:pPr>
                    <w:jc w:val="center"/>
                    <w:rPr>
                      <w:rFonts w:hint="default" w:ascii="Times New Roman" w:hAnsi="Times New Roman" w:eastAsia="宋体" w:cs="Times New Roman"/>
                      <w:color w:val="auto"/>
                      <w:kern w:val="2"/>
                      <w:sz w:val="21"/>
                      <w:szCs w:val="18"/>
                      <w:highlight w:val="no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非甲烷总烃</w:t>
                  </w:r>
                </w:p>
              </w:tc>
              <w:tc>
                <w:tcPr>
                  <w:tcW w:w="6698" w:type="dxa"/>
                  <w:shd w:val="clear" w:color="auto" w:fill="auto"/>
                  <w:noWrap w:val="0"/>
                  <w:vAlign w:val="center"/>
                </w:tcPr>
                <w:p w14:paraId="248D1738">
                  <w:pPr>
                    <w:keepNext w:val="0"/>
                    <w:keepLines w:val="0"/>
                    <w:widowControl/>
                    <w:suppressLineNumbers w:val="0"/>
                    <w:jc w:val="center"/>
                    <w:textAlignment w:val="center"/>
                    <w:rPr>
                      <w:rFonts w:hint="default" w:ascii="Times New Roman" w:hAnsi="Times New Roman" w:cs="Times New Rom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2.716 </w:t>
                  </w:r>
                </w:p>
              </w:tc>
            </w:tr>
          </w:tbl>
          <w:p w14:paraId="4CA6C9D9">
            <w:pPr>
              <w:pStyle w:val="44"/>
              <w:jc w:val="center"/>
              <w:rPr>
                <w:rFonts w:hint="default" w:ascii="Times New Roman" w:hAnsi="Times New Roman" w:cs="Times New Roman"/>
                <w:b/>
                <w:bCs/>
                <w:sz w:val="21"/>
                <w:szCs w:val="20"/>
                <w:vertAlign w:val="baseline"/>
                <w:lang w:val="en-US" w:eastAsia="zh-CN"/>
              </w:rPr>
            </w:pPr>
          </w:p>
        </w:tc>
      </w:tr>
    </w:tbl>
    <w:p w14:paraId="2AA0C34B">
      <w:pPr>
        <w:pStyle w:val="44"/>
        <w:ind w:left="0" w:leftChars="0" w:firstLine="0" w:firstLineChars="0"/>
        <w:rPr>
          <w:rFonts w:hint="default" w:ascii="Times New Roman" w:hAnsi="Times New Roman" w:cs="Times New Roman"/>
        </w:rPr>
      </w:pPr>
    </w:p>
    <w:p w14:paraId="56806B7D">
      <w:pPr>
        <w:pStyle w:val="44"/>
        <w:ind w:left="0" w:leftChars="0" w:firstLine="0" w:firstLineChars="0"/>
        <w:rPr>
          <w:rFonts w:hint="default" w:ascii="Times New Roman" w:hAnsi="Times New Roman" w:cs="Times New Roman"/>
        </w:rPr>
        <w:sectPr>
          <w:pgSz w:w="16840" w:h="11907" w:orient="landscape"/>
          <w:pgMar w:top="1531" w:right="1701" w:bottom="1531" w:left="2127"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8322"/>
      </w:tblGrid>
      <w:tr w14:paraId="78364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8" w:hRule="atLeast"/>
        </w:trPr>
        <w:tc>
          <w:tcPr>
            <w:tcW w:w="739" w:type="dxa"/>
          </w:tcPr>
          <w:p w14:paraId="752465B5">
            <w:pPr>
              <w:pStyle w:val="44"/>
              <w:rPr>
                <w:rFonts w:hint="default" w:ascii="Times New Roman" w:hAnsi="Times New Roman" w:cs="Times New Roman"/>
                <w:vertAlign w:val="baseline"/>
              </w:rPr>
            </w:pPr>
          </w:p>
        </w:tc>
        <w:tc>
          <w:tcPr>
            <w:tcW w:w="8322" w:type="dxa"/>
          </w:tcPr>
          <w:p w14:paraId="75F7B9AA">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rPr>
            </w:pPr>
            <w:bookmarkStart w:id="9" w:name="_Ref534374327"/>
            <w:bookmarkEnd w:id="9"/>
            <w:r>
              <w:rPr>
                <w:rFonts w:hint="default" w:ascii="Times New Roman" w:hAnsi="Times New Roman" w:eastAsia="宋体" w:cs="Times New Roman"/>
                <w:b/>
                <w:bCs/>
                <w:color w:val="auto"/>
                <w:kern w:val="0"/>
                <w:sz w:val="24"/>
                <w:szCs w:val="24"/>
                <w:lang w:val="en-US" w:eastAsia="zh-CN" w:bidi="ar"/>
              </w:rPr>
              <w:t xml:space="preserve">6.2废气治理措施可行性及达标分析 </w:t>
            </w:r>
          </w:p>
          <w:p w14:paraId="3964328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kern w:val="2"/>
                <w:sz w:val="24"/>
                <w:szCs w:val="24"/>
                <w:highlight w:val="none"/>
                <w:lang w:val="en-US" w:eastAsia="zh-CN" w:bidi="ar-SA"/>
              </w:rPr>
            </w:pPr>
            <w:r>
              <w:rPr>
                <w:rFonts w:hint="default" w:ascii="Times New Roman" w:hAnsi="Times New Roman" w:eastAsia="宋体" w:cs="Times New Roman"/>
                <w:b w:val="0"/>
                <w:bCs w:val="0"/>
                <w:color w:val="0000FF"/>
                <w:kern w:val="2"/>
                <w:sz w:val="24"/>
                <w:szCs w:val="24"/>
                <w:highlight w:val="none"/>
                <w:lang w:val="en-US" w:eastAsia="zh-CN" w:bidi="ar-SA"/>
              </w:rPr>
              <w:t>（1）</w:t>
            </w:r>
            <w:r>
              <w:rPr>
                <w:rFonts w:hint="default" w:ascii="Times New Roman" w:hAnsi="Times New Roman" w:cs="Times New Roman"/>
                <w:b w:val="0"/>
                <w:bCs w:val="0"/>
                <w:color w:val="0000FF"/>
                <w:kern w:val="2"/>
                <w:sz w:val="24"/>
                <w:szCs w:val="24"/>
                <w:highlight w:val="none"/>
                <w:lang w:val="en-US" w:eastAsia="zh-CN" w:bidi="ar-SA"/>
              </w:rPr>
              <w:t>气瓶检验站</w:t>
            </w:r>
            <w:r>
              <w:rPr>
                <w:rFonts w:hint="default" w:ascii="Times New Roman" w:hAnsi="Times New Roman" w:eastAsia="宋体" w:cs="Times New Roman"/>
                <w:b w:val="0"/>
                <w:bCs w:val="0"/>
                <w:color w:val="0000FF"/>
                <w:kern w:val="2"/>
                <w:sz w:val="24"/>
                <w:szCs w:val="24"/>
                <w:highlight w:val="none"/>
                <w:lang w:val="en-US" w:eastAsia="zh-CN" w:bidi="ar-SA"/>
              </w:rPr>
              <w:t>焚烧废气收集后经低氮燃烧</w:t>
            </w:r>
            <w:r>
              <w:rPr>
                <w:rFonts w:hint="eastAsia" w:cs="Times New Roman"/>
                <w:b w:val="0"/>
                <w:bCs w:val="0"/>
                <w:color w:val="0000FF"/>
                <w:kern w:val="2"/>
                <w:sz w:val="24"/>
                <w:szCs w:val="24"/>
                <w:highlight w:val="none"/>
                <w:lang w:val="en-US" w:eastAsia="zh-CN" w:bidi="ar-SA"/>
              </w:rPr>
              <w:t>+水喷淋除尘</w:t>
            </w:r>
            <w:r>
              <w:rPr>
                <w:rFonts w:hint="default" w:ascii="Times New Roman" w:hAnsi="Times New Roman" w:eastAsia="宋体" w:cs="Times New Roman"/>
                <w:b w:val="0"/>
                <w:bCs w:val="0"/>
                <w:color w:val="0000FF"/>
                <w:kern w:val="2"/>
                <w:sz w:val="24"/>
                <w:szCs w:val="24"/>
                <w:highlight w:val="none"/>
                <w:lang w:val="en-US" w:eastAsia="zh-CN" w:bidi="ar-SA"/>
              </w:rPr>
              <w:t>后引至15m排气简高空排放，颗粒物、二氧化硫以及氮氧化物均可以达到</w:t>
            </w:r>
            <w:r>
              <w:rPr>
                <w:rFonts w:hint="default" w:ascii="Times New Roman" w:hAnsi="Times New Roman" w:eastAsia="宋体" w:cs="Times New Roman"/>
                <w:color w:val="0000FF"/>
                <w:sz w:val="24"/>
                <w:highlight w:val="none"/>
                <w:lang w:eastAsia="zh-CN"/>
              </w:rPr>
              <w:t>《大气污染物综合排放标准》(GB16297-1996)</w:t>
            </w:r>
            <w:r>
              <w:rPr>
                <w:rFonts w:hint="default" w:ascii="Times New Roman" w:hAnsi="Times New Roman" w:eastAsia="宋体" w:cs="Times New Roman"/>
                <w:b w:val="0"/>
                <w:bCs w:val="0"/>
                <w:color w:val="0000FF"/>
                <w:kern w:val="2"/>
                <w:sz w:val="24"/>
                <w:szCs w:val="24"/>
                <w:highlight w:val="none"/>
                <w:lang w:val="en-US" w:eastAsia="zh-CN" w:bidi="ar-SA"/>
              </w:rPr>
              <w:t>相关要求。</w:t>
            </w:r>
          </w:p>
          <w:p w14:paraId="5C86ECC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Segoe UI" w:hAnsi="Segoe UI" w:eastAsia="宋体" w:cs="Segoe UI"/>
                <w:i w:val="0"/>
                <w:iCs w:val="0"/>
                <w:caps w:val="0"/>
                <w:color w:val="0000FF"/>
                <w:spacing w:val="0"/>
                <w:sz w:val="24"/>
                <w:szCs w:val="24"/>
                <w:shd w:val="clear" w:fill="FFFFFF"/>
                <w:lang w:val="en-US" w:eastAsia="zh-CN"/>
              </w:rPr>
            </w:pPr>
            <w:r>
              <w:rPr>
                <w:rFonts w:ascii="Segoe UI" w:hAnsi="Segoe UI" w:eastAsia="Segoe UI" w:cs="Segoe UI"/>
                <w:i w:val="0"/>
                <w:iCs w:val="0"/>
                <w:caps w:val="0"/>
                <w:color w:val="0000FF"/>
                <w:spacing w:val="0"/>
                <w:sz w:val="24"/>
                <w:szCs w:val="24"/>
                <w:shd w:val="clear" w:fill="FFFFFF"/>
              </w:rPr>
              <w:t>水喷淋除尘工艺是一种非常经典且应用广泛的空气污染控制技术。其核心原理是利用液滴（通常是水）来捕获气流中的粉尘颗粒，通过惯性碰撞、拦截、扩散等机制使尘粒增重、沉降，从而达到净化气体的目的。</w:t>
            </w:r>
            <w:r>
              <w:rPr>
                <w:rFonts w:hint="eastAsia" w:ascii="Segoe UI" w:hAnsi="Segoe UI" w:eastAsia="宋体" w:cs="Segoe UI"/>
                <w:i w:val="0"/>
                <w:iCs w:val="0"/>
                <w:caps w:val="0"/>
                <w:color w:val="0000FF"/>
                <w:spacing w:val="0"/>
                <w:sz w:val="24"/>
                <w:szCs w:val="24"/>
                <w:shd w:val="clear" w:fill="FFFFFF"/>
                <w:lang w:val="en-US" w:eastAsia="zh-CN"/>
              </w:rPr>
              <w:t>具有结构简单、成本低廉、安全性高的特点，对于脱除粒径较大的粉尘、高温含尘废气有较高的适用性。</w:t>
            </w:r>
          </w:p>
          <w:p w14:paraId="6625887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kern w:val="2"/>
                <w:sz w:val="24"/>
                <w:szCs w:val="24"/>
                <w:highlight w:val="none"/>
                <w:lang w:val="en-US" w:eastAsia="zh-CN" w:bidi="ar-SA"/>
              </w:rPr>
            </w:pPr>
            <w:r>
              <w:rPr>
                <w:rFonts w:hint="eastAsia" w:ascii="Times New Roman" w:hAnsi="Times New Roman" w:eastAsia="宋体" w:cs="Times New Roman"/>
                <w:b w:val="0"/>
                <w:bCs w:val="0"/>
                <w:color w:val="0000FF"/>
                <w:kern w:val="2"/>
                <w:sz w:val="24"/>
                <w:szCs w:val="24"/>
                <w:highlight w:val="none"/>
                <w:lang w:val="en-US" w:eastAsia="zh-CN" w:bidi="ar-SA"/>
              </w:rPr>
              <w:t>根据《国家污染防治技术指导目录》《2025年版》，洗涤除尘属于低效类除尘技术，但是若含尘废气属于高温气体，可排除应用闲置。本项目焚烧废气属于高温尾气，且初始含尘浓度较低，适用于水喷淋除尘工艺，经核算尾气中颗粒物可达标排放，且经对比水喷淋除尘工艺在国内同类型项目中均有使用案例。</w:t>
            </w:r>
          </w:p>
          <w:p w14:paraId="28922454">
            <w:pPr>
              <w:pStyle w:val="44"/>
              <w:rPr>
                <w:rFonts w:hint="default" w:ascii="Times New Roman" w:hAnsi="Times New Roman" w:cs="Times New Roman"/>
                <w:lang w:val="en-US" w:eastAsia="zh-CN"/>
              </w:rPr>
            </w:pPr>
            <w:r>
              <w:rPr>
                <w:rFonts w:hint="default" w:ascii="Times New Roman" w:hAnsi="Times New Roman" w:eastAsia="宋体" w:cs="Times New Roman"/>
                <w:b w:val="0"/>
                <w:bCs w:val="0"/>
                <w:color w:val="auto"/>
                <w:kern w:val="2"/>
                <w:sz w:val="24"/>
                <w:szCs w:val="24"/>
                <w:highlight w:val="none"/>
                <w:lang w:val="en-US" w:eastAsia="zh-CN" w:bidi="ar-SA"/>
              </w:rPr>
              <w:t>（2）</w:t>
            </w:r>
            <w:r>
              <w:rPr>
                <w:rFonts w:hint="default" w:ascii="Times New Roman" w:hAnsi="Times New Roman" w:cs="Times New Roman"/>
                <w:b w:val="0"/>
                <w:bCs w:val="0"/>
                <w:color w:val="auto"/>
                <w:kern w:val="2"/>
                <w:sz w:val="24"/>
                <w:szCs w:val="24"/>
                <w:highlight w:val="none"/>
                <w:lang w:val="en-US" w:eastAsia="zh-CN" w:bidi="ar-SA"/>
              </w:rPr>
              <w:t>气瓶检验站</w:t>
            </w:r>
            <w:r>
              <w:rPr>
                <w:rFonts w:hint="default" w:ascii="Times New Roman" w:hAnsi="Times New Roman" w:eastAsia="宋体" w:cs="Times New Roman"/>
                <w:b w:val="0"/>
                <w:bCs w:val="0"/>
                <w:color w:val="auto"/>
                <w:sz w:val="24"/>
                <w:szCs w:val="24"/>
                <w:highlight w:val="none"/>
                <w:lang w:val="en-US" w:eastAsia="zh-CN"/>
              </w:rPr>
              <w:t>抛丸粉尘经自带布袋除尘装置除尘后，通过15m高排气</w:t>
            </w:r>
            <w:r>
              <w:rPr>
                <w:rFonts w:hint="eastAsia" w:cs="Times New Roman"/>
                <w:b w:val="0"/>
                <w:bCs w:val="0"/>
                <w:color w:val="auto"/>
                <w:sz w:val="24"/>
                <w:szCs w:val="24"/>
                <w:highlight w:val="none"/>
                <w:lang w:val="en-US" w:eastAsia="zh-CN"/>
              </w:rPr>
              <w:t>筒</w:t>
            </w:r>
            <w:r>
              <w:rPr>
                <w:rFonts w:hint="default" w:ascii="Times New Roman" w:hAnsi="Times New Roman" w:eastAsia="宋体" w:cs="Times New Roman"/>
                <w:b w:val="0"/>
                <w:bCs w:val="0"/>
                <w:color w:val="auto"/>
                <w:sz w:val="24"/>
                <w:szCs w:val="24"/>
                <w:highlight w:val="none"/>
                <w:lang w:val="en-US" w:eastAsia="zh-CN"/>
              </w:rPr>
              <w:t>排放，颗粒物排放可以达到</w:t>
            </w:r>
            <w:r>
              <w:rPr>
                <w:rFonts w:hint="default" w:ascii="Times New Roman" w:hAnsi="Times New Roman" w:cs="Times New Roman"/>
                <w:color w:val="auto"/>
                <w:kern w:val="0"/>
                <w:sz w:val="24"/>
                <w:szCs w:val="24"/>
                <w:lang w:val="en-US" w:eastAsia="zh-CN"/>
              </w:rPr>
              <w:t>《大气污染物综合排放标准》（GB16297-1996）表2二级排放标准</w:t>
            </w:r>
            <w:r>
              <w:rPr>
                <w:rFonts w:hint="default" w:ascii="Times New Roman" w:hAnsi="Times New Roman" w:eastAsia="宋体" w:cs="Times New Roman"/>
                <w:b w:val="0"/>
                <w:bCs w:val="0"/>
                <w:color w:val="auto"/>
                <w:sz w:val="24"/>
                <w:szCs w:val="24"/>
                <w:highlight w:val="none"/>
                <w:lang w:val="en-US" w:eastAsia="zh-CN"/>
              </w:rPr>
              <w:t>限值要求。</w:t>
            </w:r>
            <w:r>
              <w:rPr>
                <w:rFonts w:hint="default" w:ascii="Times New Roman" w:hAnsi="Times New Roman" w:cs="Times New Roman"/>
                <w:b w:val="0"/>
                <w:bCs w:val="0"/>
                <w:color w:val="auto"/>
                <w:sz w:val="24"/>
                <w:szCs w:val="24"/>
                <w:highlight w:val="none"/>
                <w:lang w:val="en-US" w:eastAsia="zh-CN"/>
              </w:rPr>
              <w:t>根据</w:t>
            </w:r>
            <w:r>
              <w:rPr>
                <w:rFonts w:hint="default" w:ascii="Times New Roman" w:hAnsi="Times New Roman" w:eastAsia="宋体" w:cs="Times New Roman"/>
                <w:b w:val="0"/>
                <w:bCs w:val="0"/>
                <w:color w:val="auto"/>
                <w:sz w:val="24"/>
                <w:szCs w:val="24"/>
                <w:highlight w:val="none"/>
                <w:lang w:val="en-US" w:eastAsia="zh-CN"/>
              </w:rPr>
              <w:t>《排放源统计调查产排污核算方法和系数手册》中《33-37.431-434机械行业系数手册》系数表--06预处理-干式预处理件-抛丸、喷砂、打磨、滚筒，抛丸粉尘采用袋式除尘</w:t>
            </w:r>
            <w:r>
              <w:rPr>
                <w:rFonts w:hint="default" w:ascii="Times New Roman" w:hAnsi="Times New Roman" w:cs="Times New Roman"/>
                <w:b w:val="0"/>
                <w:bCs w:val="0"/>
                <w:color w:val="auto"/>
                <w:sz w:val="24"/>
                <w:szCs w:val="24"/>
                <w:highlight w:val="none"/>
                <w:lang w:val="en-US" w:eastAsia="zh-CN"/>
              </w:rPr>
              <w:t>为推荐末端治理技术，除尘效率建议取值为95%。因此，</w:t>
            </w:r>
            <w:r>
              <w:rPr>
                <w:rFonts w:hint="default" w:ascii="Times New Roman" w:hAnsi="Times New Roman" w:eastAsia="宋体" w:cs="Times New Roman"/>
                <w:b w:val="0"/>
                <w:bCs w:val="0"/>
                <w:color w:val="auto"/>
                <w:sz w:val="24"/>
                <w:szCs w:val="24"/>
                <w:highlight w:val="none"/>
                <w:lang w:val="en-US" w:eastAsia="zh-CN"/>
              </w:rPr>
              <w:t>抛丸粉尘采用袋式除尘属于可行技术。</w:t>
            </w:r>
          </w:p>
          <w:p w14:paraId="5C7B0B0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aps w:val="0"/>
                <w:color w:val="auto"/>
                <w:sz w:val="24"/>
                <w:szCs w:val="24"/>
                <w:highlight w:val="none"/>
                <w:lang w:val="en-US" w:eastAsia="zh-CN"/>
              </w:rPr>
              <w:t>（3）</w:t>
            </w:r>
            <w:r>
              <w:rPr>
                <w:rFonts w:hint="default" w:ascii="Times New Roman" w:hAnsi="Times New Roman" w:cs="Times New Roman"/>
                <w:b w:val="0"/>
                <w:bCs w:val="0"/>
                <w:caps w:val="0"/>
                <w:color w:val="auto"/>
                <w:sz w:val="24"/>
                <w:szCs w:val="24"/>
                <w:highlight w:val="none"/>
                <w:lang w:val="en-US" w:eastAsia="zh-CN"/>
              </w:rPr>
              <w:t>气瓶检验站</w:t>
            </w:r>
            <w:r>
              <w:rPr>
                <w:rFonts w:hint="default" w:ascii="Times New Roman" w:hAnsi="Times New Roman" w:eastAsia="宋体" w:cs="Times New Roman"/>
                <w:b w:val="0"/>
                <w:bCs w:val="0"/>
                <w:color w:val="auto"/>
                <w:sz w:val="24"/>
                <w:szCs w:val="24"/>
                <w:highlight w:val="none"/>
                <w:lang w:val="en-US" w:eastAsia="zh-CN"/>
              </w:rPr>
              <w:t>喷塑过程位于密闭的喷粉柜内，产生的喷塑</w:t>
            </w:r>
            <w:r>
              <w:rPr>
                <w:rFonts w:hint="default" w:ascii="Times New Roman" w:hAnsi="Times New Roman" w:eastAsia="宋体" w:cs="Times New Roman"/>
                <w:color w:val="000000"/>
                <w:kern w:val="2"/>
                <w:sz w:val="24"/>
                <w:szCs w:val="24"/>
                <w:lang w:val="en-US" w:eastAsia="zh-CN" w:bidi="ar"/>
              </w:rPr>
              <w:t>喷粉</w:t>
            </w:r>
            <w:r>
              <w:rPr>
                <w:rFonts w:hint="default" w:ascii="Times New Roman" w:hAnsi="Times New Roman" w:eastAsia="宋体" w:cs="Times New Roman"/>
                <w:b w:val="0"/>
                <w:bCs w:val="0"/>
                <w:color w:val="auto"/>
                <w:sz w:val="24"/>
                <w:szCs w:val="24"/>
                <w:highlight w:val="none"/>
                <w:lang w:val="en-US" w:eastAsia="zh-CN"/>
              </w:rPr>
              <w:t>通过引风收集后，经</w:t>
            </w:r>
            <w:r>
              <w:rPr>
                <w:rFonts w:hint="default" w:ascii="Times New Roman" w:hAnsi="Times New Roman" w:eastAsia="宋体" w:cs="Times New Roman"/>
                <w:color w:val="000000"/>
                <w:kern w:val="2"/>
                <w:sz w:val="24"/>
                <w:szCs w:val="24"/>
                <w:lang w:val="en-US" w:eastAsia="zh-CN" w:bidi="ar"/>
              </w:rPr>
              <w:t>自带的滤芯过滤装置</w:t>
            </w:r>
            <w:r>
              <w:rPr>
                <w:rFonts w:hint="default" w:ascii="Times New Roman" w:hAnsi="Times New Roman" w:eastAsia="宋体" w:cs="Times New Roman"/>
                <w:b w:val="0"/>
                <w:bCs w:val="0"/>
                <w:color w:val="auto"/>
                <w:sz w:val="24"/>
                <w:szCs w:val="24"/>
                <w:highlight w:val="none"/>
                <w:lang w:val="en-US" w:eastAsia="zh-CN"/>
              </w:rPr>
              <w:t>回收系统除尘后，通过15m高排气筒排放。颗粒物排放浓度</w:t>
            </w:r>
            <w:r>
              <w:rPr>
                <w:rFonts w:hint="default" w:ascii="Times New Roman" w:hAnsi="Times New Roman" w:cs="Times New Roman"/>
                <w:color w:val="auto"/>
                <w:kern w:val="0"/>
                <w:sz w:val="24"/>
                <w:szCs w:val="24"/>
                <w:lang w:val="en-US" w:eastAsia="zh-CN"/>
              </w:rPr>
              <w:t>《大气污染物综合排放标准》（GB16297-1996）表2二级排放标准</w:t>
            </w:r>
            <w:r>
              <w:rPr>
                <w:rFonts w:hint="default" w:ascii="Times New Roman" w:hAnsi="Times New Roman" w:eastAsia="宋体" w:cs="Times New Roman"/>
                <w:b w:val="0"/>
                <w:bCs w:val="0"/>
                <w:color w:val="auto"/>
                <w:sz w:val="24"/>
                <w:szCs w:val="24"/>
                <w:highlight w:val="none"/>
                <w:lang w:val="en-US" w:eastAsia="zh-CN"/>
              </w:rPr>
              <w:t>限值要求</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（染料尘18mg/m</w:t>
            </w:r>
            <w:r>
              <w:rPr>
                <w:rFonts w:hint="default" w:ascii="Times New Roman" w:hAnsi="Times New Roman"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cs="Times New Roman"/>
                <w:color w:val="000000" w:themeColor="text1"/>
                <w:kern w:val="2"/>
                <w:sz w:val="24"/>
                <w:szCs w:val="24"/>
                <w:lang w:val="en-US" w:eastAsia="zh-CN" w:bidi="ar-SA"/>
                <w14:textFill>
                  <w14:solidFill>
                    <w14:schemeClr w14:val="tx1"/>
                  </w14:solidFill>
                </w14:textFill>
              </w:rPr>
              <w:t>）</w:t>
            </w:r>
            <w:r>
              <w:rPr>
                <w:rFonts w:hint="default" w:ascii="Times New Roman" w:hAnsi="Times New Roman" w:eastAsia="宋体" w:cs="Times New Roman"/>
                <w:b w:val="0"/>
                <w:bCs w:val="0"/>
                <w:color w:val="auto"/>
                <w:sz w:val="24"/>
                <w:szCs w:val="24"/>
                <w:highlight w:val="none"/>
                <w:lang w:val="en-US" w:eastAsia="zh-CN"/>
              </w:rPr>
              <w:t>。</w:t>
            </w:r>
          </w:p>
          <w:p w14:paraId="63B977E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根据</w:t>
            </w:r>
            <w:r>
              <w:rPr>
                <w:rFonts w:hint="default" w:ascii="Times New Roman" w:hAnsi="Times New Roman" w:eastAsia="宋体" w:cs="Times New Roman"/>
                <w:b w:val="0"/>
                <w:bCs w:val="0"/>
                <w:color w:val="auto"/>
                <w:sz w:val="24"/>
                <w:szCs w:val="24"/>
                <w:highlight w:val="none"/>
                <w:lang w:val="en-US" w:eastAsia="zh-CN"/>
              </w:rPr>
              <w:t>《排放源统计调查产排污核算方法和系数手册》中《33-37.431-434机械行业系数手册》系数表--粉末涂料-喷塑，喷塑粉尘采用袋式除尘</w:t>
            </w:r>
            <w:r>
              <w:rPr>
                <w:rFonts w:hint="default" w:ascii="Times New Roman" w:hAnsi="Times New Roman" w:cs="Times New Roman"/>
                <w:b w:val="0"/>
                <w:bCs w:val="0"/>
                <w:color w:val="auto"/>
                <w:sz w:val="24"/>
                <w:szCs w:val="24"/>
                <w:highlight w:val="none"/>
                <w:lang w:val="en-US" w:eastAsia="zh-CN"/>
              </w:rPr>
              <w:t>为推荐末端治理技术，除尘效率建议取值为95%。因此，</w:t>
            </w:r>
            <w:r>
              <w:rPr>
                <w:rFonts w:hint="default" w:ascii="Times New Roman" w:hAnsi="Times New Roman" w:eastAsia="宋体" w:cs="Times New Roman"/>
                <w:b w:val="0"/>
                <w:bCs w:val="0"/>
                <w:color w:val="auto"/>
                <w:sz w:val="24"/>
                <w:szCs w:val="24"/>
                <w:highlight w:val="none"/>
                <w:lang w:val="en-US" w:eastAsia="zh-CN"/>
              </w:rPr>
              <w:t>喷塑粉尘采用袋式除尘属于可行技术。</w:t>
            </w:r>
          </w:p>
          <w:p w14:paraId="44FFBC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（4）气瓶检验站固化、丝印废气采用集气罩进行收集，有组织排放，符合《挥发性有机物无组织排放控制标准（GB 37822-2019）》中关于有机废气收集和排放的要求，有组织排放浓度满足《印刷工业大气污染物排放标准》（GB41616-2022）表1要求。</w:t>
            </w:r>
          </w:p>
          <w:p w14:paraId="7F7161F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highlight w:val="none"/>
                <w:lang w:eastAsia="zh-CN"/>
              </w:rPr>
            </w:pPr>
            <w:r>
              <w:rPr>
                <w:rFonts w:hint="default" w:ascii="Times New Roman" w:hAnsi="Times New Roman" w:eastAsia="宋体" w:cs="Times New Roman"/>
                <w:b w:val="0"/>
                <w:bCs w:val="0"/>
                <w:caps w:val="0"/>
                <w:color w:val="auto"/>
                <w:sz w:val="24"/>
                <w:szCs w:val="24"/>
                <w:highlight w:val="none"/>
                <w:lang w:val="en-US" w:eastAsia="zh-CN"/>
              </w:rPr>
              <w:t>（4）本项目卸车废气、储罐废气、灌装废气污染物为非甲烷总烃，无组织排放；抛丸、喷涂过程产生少量无组织废气，污染物为颗粒物；固化、丝印废气</w:t>
            </w:r>
            <w:r>
              <w:rPr>
                <w:rFonts w:hint="default" w:ascii="Times New Roman" w:hAnsi="Times New Roman" w:cs="Times New Roman"/>
                <w:b w:val="0"/>
                <w:bCs w:val="0"/>
                <w:caps w:val="0"/>
                <w:color w:val="auto"/>
                <w:sz w:val="24"/>
                <w:szCs w:val="24"/>
                <w:highlight w:val="none"/>
                <w:lang w:val="en-US" w:eastAsia="zh-CN"/>
              </w:rPr>
              <w:t>无组织排放少量</w:t>
            </w:r>
            <w:r>
              <w:rPr>
                <w:rFonts w:hint="default" w:ascii="Times New Roman" w:hAnsi="Times New Roman" w:eastAsia="宋体" w:cs="Times New Roman"/>
                <w:b w:val="0"/>
                <w:bCs w:val="0"/>
                <w:caps w:val="0"/>
                <w:color w:val="auto"/>
                <w:sz w:val="24"/>
                <w:szCs w:val="24"/>
                <w:highlight w:val="none"/>
                <w:lang w:val="en-US" w:eastAsia="zh-CN"/>
              </w:rPr>
              <w:t>非甲烷总烃。经预测，厂界颗粒物、非甲烷总烃浓度满足《大气污染物综合排放标准》（GB16297-1996）</w:t>
            </w:r>
            <w:r>
              <w:rPr>
                <w:rFonts w:hint="default" w:ascii="Times New Roman" w:hAnsi="Times New Roman" w:eastAsia="宋体" w:cs="Times New Roman"/>
                <w:color w:val="auto"/>
                <w:kern w:val="0"/>
                <w:sz w:val="24"/>
                <w:szCs w:val="24"/>
                <w:highlight w:val="none"/>
                <w:lang w:val="en-US" w:eastAsia="zh-CN"/>
              </w:rPr>
              <w:t>企业边界大气污染物浓度限值要求</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非甲烷总烃≤4.0mg/m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vertAlign w:val="baseline"/>
                <w:lang w:val="en-US" w:eastAsia="zh-CN"/>
              </w:rPr>
              <w:t>，颗粒物≤1.0</w:t>
            </w:r>
            <w:r>
              <w:rPr>
                <w:rFonts w:hint="default" w:ascii="Times New Roman" w:hAnsi="Times New Roman" w:eastAsia="宋体" w:cs="Times New Roman"/>
                <w:color w:val="auto"/>
                <w:kern w:val="0"/>
                <w:sz w:val="24"/>
                <w:szCs w:val="24"/>
                <w:highlight w:val="none"/>
                <w:lang w:val="en-US" w:eastAsia="zh-CN"/>
              </w:rPr>
              <w:t>mg/m</w:t>
            </w:r>
            <w:r>
              <w:rPr>
                <w:rFonts w:hint="default" w:ascii="Times New Roman" w:hAnsi="Times New Roman" w:eastAsia="宋体" w:cs="Times New Roman"/>
                <w:color w:val="auto"/>
                <w:kern w:val="0"/>
                <w:sz w:val="24"/>
                <w:szCs w:val="24"/>
                <w:highlight w:val="none"/>
                <w:vertAlign w:val="superscript"/>
                <w:lang w:val="en-US" w:eastAsia="zh-CN"/>
              </w:rPr>
              <w:t>3</w:t>
            </w:r>
            <w:r>
              <w:rPr>
                <w:rFonts w:hint="default" w:ascii="Times New Roman" w:hAnsi="Times New Roman" w:eastAsia="宋体" w:cs="Times New Roman"/>
                <w:color w:val="auto"/>
                <w:kern w:val="0"/>
                <w:sz w:val="24"/>
                <w:szCs w:val="24"/>
                <w:highlight w:val="none"/>
                <w:lang w:eastAsia="zh-CN"/>
              </w:rPr>
              <w:t>）。</w:t>
            </w:r>
          </w:p>
          <w:p w14:paraId="3E0E2B58">
            <w:pPr>
              <w:adjustRightInd w:val="0"/>
              <w:snapToGrid w:val="0"/>
              <w:spacing w:before="120" w:beforeLines="50"/>
              <w:jc w:val="center"/>
              <w:rPr>
                <w:rFonts w:hint="default" w:ascii="Times New Roman" w:hAnsi="Times New Roman" w:eastAsia="宋体" w:cs="Times New Roman"/>
                <w:b/>
                <w:color w:val="0000FF"/>
                <w:kern w:val="0"/>
                <w:sz w:val="21"/>
                <w:szCs w:val="21"/>
                <w:lang w:val="en-US" w:eastAsia="zh-CN" w:bidi="ar"/>
              </w:rPr>
            </w:pPr>
            <w:r>
              <w:rPr>
                <w:rFonts w:hint="default" w:ascii="Times New Roman" w:hAnsi="Times New Roman" w:eastAsia="宋体" w:cs="Times New Roman"/>
                <w:b/>
                <w:color w:val="0000FF"/>
                <w:kern w:val="0"/>
                <w:sz w:val="21"/>
                <w:szCs w:val="21"/>
                <w:lang w:val="en-US" w:eastAsia="zh-CN" w:bidi="ar"/>
              </w:rPr>
              <w:t>表4.6-12   大气估算结果</w:t>
            </w:r>
          </w:p>
          <w:tbl>
            <w:tblPr>
              <w:tblStyle w:val="32"/>
              <w:tblW w:w="483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379"/>
              <w:gridCol w:w="1728"/>
              <w:gridCol w:w="1868"/>
              <w:gridCol w:w="1196"/>
              <w:gridCol w:w="861"/>
            </w:tblGrid>
            <w:tr w14:paraId="23F77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506" w:type="pct"/>
                  <w:noWrap w:val="0"/>
                  <w:vAlign w:val="center"/>
                </w:tcPr>
                <w:p w14:paraId="045EA517">
                  <w:pPr>
                    <w:jc w:val="center"/>
                    <w:rPr>
                      <w:rFonts w:hint="default" w:ascii="Times New Roman" w:hAnsi="Times New Roman" w:eastAsia="宋体" w:cs="Times New Roman"/>
                      <w:color w:val="0000FF"/>
                      <w:sz w:val="21"/>
                      <w:szCs w:val="18"/>
                      <w:highlight w:val="none"/>
                    </w:rPr>
                  </w:pPr>
                  <w:r>
                    <w:rPr>
                      <w:rFonts w:hint="default" w:ascii="Times New Roman" w:hAnsi="Times New Roman" w:eastAsia="宋体" w:cs="Times New Roman"/>
                      <w:color w:val="0000FF"/>
                      <w:sz w:val="21"/>
                      <w:szCs w:val="18"/>
                      <w:highlight w:val="none"/>
                    </w:rPr>
                    <w:t>序号</w:t>
                  </w:r>
                </w:p>
              </w:tc>
              <w:tc>
                <w:tcPr>
                  <w:tcW w:w="881" w:type="pct"/>
                  <w:shd w:val="clear" w:color="auto" w:fill="auto"/>
                  <w:noWrap w:val="0"/>
                  <w:vAlign w:val="center"/>
                </w:tcPr>
                <w:p w14:paraId="64404B2E">
                  <w:pPr>
                    <w:jc w:val="center"/>
                    <w:rPr>
                      <w:rFonts w:hint="default" w:ascii="Times New Roman" w:hAnsi="Times New Roman" w:eastAsia="宋体" w:cs="Times New Roman"/>
                      <w:color w:val="0000FF"/>
                      <w:kern w:val="2"/>
                      <w:sz w:val="21"/>
                      <w:szCs w:val="18"/>
                      <w:highlight w:val="none"/>
                      <w:lang w:val="en-US" w:eastAsia="zh-CN" w:bidi="ar-SA"/>
                    </w:rPr>
                  </w:pPr>
                  <w:r>
                    <w:rPr>
                      <w:rFonts w:hint="default" w:ascii="Times New Roman" w:hAnsi="Times New Roman" w:eastAsia="宋体" w:cs="Times New Roman"/>
                      <w:color w:val="0000FF"/>
                      <w:sz w:val="21"/>
                      <w:szCs w:val="18"/>
                      <w:highlight w:val="none"/>
                    </w:rPr>
                    <w:t>污染物</w:t>
                  </w:r>
                </w:p>
              </w:tc>
              <w:tc>
                <w:tcPr>
                  <w:tcW w:w="1104" w:type="pct"/>
                  <w:noWrap w:val="0"/>
                  <w:vAlign w:val="center"/>
                </w:tcPr>
                <w:p w14:paraId="1303206C">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位置</w:t>
                  </w:r>
                </w:p>
              </w:tc>
              <w:tc>
                <w:tcPr>
                  <w:tcW w:w="1193" w:type="pct"/>
                  <w:noWrap w:val="0"/>
                  <w:vAlign w:val="center"/>
                </w:tcPr>
                <w:p w14:paraId="6FB8ADCD">
                  <w:pPr>
                    <w:jc w:val="center"/>
                    <w:rPr>
                      <w:rFonts w:hint="default" w:ascii="Times New Roman" w:hAnsi="Times New Roman" w:eastAsia="宋体" w:cs="Times New Roman"/>
                      <w:color w:val="0000FF"/>
                      <w:sz w:val="21"/>
                      <w:szCs w:val="18"/>
                      <w:highlight w:val="none"/>
                    </w:rPr>
                  </w:pPr>
                  <w:r>
                    <w:rPr>
                      <w:rFonts w:hint="default" w:ascii="Times New Roman" w:hAnsi="Times New Roman" w:eastAsia="宋体" w:cs="Times New Roman"/>
                      <w:color w:val="0000FF"/>
                      <w:sz w:val="21"/>
                      <w:szCs w:val="18"/>
                      <w:highlight w:val="none"/>
                      <w:lang w:val="en-US" w:eastAsia="zh-CN"/>
                    </w:rPr>
                    <w:t>预测点最高浓度</w:t>
                  </w:r>
                  <w:r>
                    <w:rPr>
                      <w:rFonts w:hint="default" w:ascii="Times New Roman" w:hAnsi="Times New Roman" w:eastAsia="宋体" w:cs="Times New Roman"/>
                      <w:color w:val="0000FF"/>
                      <w:sz w:val="21"/>
                      <w:szCs w:val="18"/>
                      <w:highlight w:val="none"/>
                    </w:rPr>
                    <w:t>（</w:t>
                  </w:r>
                  <w:r>
                    <w:rPr>
                      <w:rFonts w:hint="default" w:ascii="Times New Roman" w:hAnsi="Times New Roman" w:eastAsia="宋体" w:cs="Times New Roman"/>
                      <w:color w:val="0000FF"/>
                      <w:sz w:val="21"/>
                      <w:szCs w:val="18"/>
                      <w:highlight w:val="none"/>
                      <w:lang w:val="en-US" w:eastAsia="zh-CN"/>
                    </w:rPr>
                    <w:t>mg/m</w:t>
                  </w:r>
                  <w:r>
                    <w:rPr>
                      <w:rFonts w:hint="default" w:ascii="Times New Roman" w:hAnsi="Times New Roman" w:eastAsia="宋体" w:cs="Times New Roman"/>
                      <w:color w:val="0000FF"/>
                      <w:sz w:val="21"/>
                      <w:szCs w:val="18"/>
                      <w:highlight w:val="none"/>
                      <w:vertAlign w:val="superscript"/>
                      <w:lang w:val="en-US" w:eastAsia="zh-CN"/>
                    </w:rPr>
                    <w:t>3</w:t>
                  </w:r>
                  <w:r>
                    <w:rPr>
                      <w:rFonts w:hint="default" w:ascii="Times New Roman" w:hAnsi="Times New Roman" w:eastAsia="宋体" w:cs="Times New Roman"/>
                      <w:color w:val="0000FF"/>
                      <w:sz w:val="21"/>
                      <w:szCs w:val="18"/>
                      <w:highlight w:val="none"/>
                    </w:rPr>
                    <w:t>）</w:t>
                  </w:r>
                </w:p>
              </w:tc>
              <w:tc>
                <w:tcPr>
                  <w:tcW w:w="764" w:type="pct"/>
                  <w:noWrap w:val="0"/>
                  <w:vAlign w:val="center"/>
                </w:tcPr>
                <w:p w14:paraId="6D53F0F0">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标准值</w:t>
                  </w:r>
                  <w:r>
                    <w:rPr>
                      <w:rFonts w:hint="default" w:ascii="Times New Roman" w:hAnsi="Times New Roman" w:eastAsia="宋体" w:cs="Times New Roman"/>
                      <w:color w:val="0000FF"/>
                      <w:sz w:val="21"/>
                      <w:szCs w:val="18"/>
                      <w:highlight w:val="none"/>
                    </w:rPr>
                    <w:t>（</w:t>
                  </w:r>
                  <w:r>
                    <w:rPr>
                      <w:rFonts w:hint="default" w:ascii="Times New Roman" w:hAnsi="Times New Roman" w:eastAsia="宋体" w:cs="Times New Roman"/>
                      <w:color w:val="0000FF"/>
                      <w:sz w:val="21"/>
                      <w:szCs w:val="18"/>
                      <w:highlight w:val="none"/>
                      <w:lang w:val="en-US" w:eastAsia="zh-CN"/>
                    </w:rPr>
                    <w:t>mg/m</w:t>
                  </w:r>
                  <w:r>
                    <w:rPr>
                      <w:rFonts w:hint="default" w:ascii="Times New Roman" w:hAnsi="Times New Roman" w:eastAsia="宋体" w:cs="Times New Roman"/>
                      <w:color w:val="0000FF"/>
                      <w:sz w:val="21"/>
                      <w:szCs w:val="18"/>
                      <w:highlight w:val="none"/>
                      <w:vertAlign w:val="superscript"/>
                      <w:lang w:val="en-US" w:eastAsia="zh-CN"/>
                    </w:rPr>
                    <w:t>3</w:t>
                  </w:r>
                  <w:r>
                    <w:rPr>
                      <w:rFonts w:hint="default" w:ascii="Times New Roman" w:hAnsi="Times New Roman" w:eastAsia="宋体" w:cs="Times New Roman"/>
                      <w:color w:val="0000FF"/>
                      <w:sz w:val="21"/>
                      <w:szCs w:val="18"/>
                      <w:highlight w:val="none"/>
                    </w:rPr>
                    <w:t>）</w:t>
                  </w:r>
                </w:p>
              </w:tc>
              <w:tc>
                <w:tcPr>
                  <w:tcW w:w="550" w:type="pct"/>
                  <w:noWrap w:val="0"/>
                  <w:vAlign w:val="center"/>
                </w:tcPr>
                <w:p w14:paraId="6E498364">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达标性</w:t>
                  </w:r>
                </w:p>
              </w:tc>
            </w:tr>
            <w:tr w14:paraId="2D521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6" w:type="pct"/>
                  <w:noWrap w:val="0"/>
                  <w:vAlign w:val="center"/>
                </w:tcPr>
                <w:p w14:paraId="26E1A262">
                  <w:pPr>
                    <w:jc w:val="center"/>
                    <w:rPr>
                      <w:rFonts w:hint="default" w:ascii="Times New Roman" w:hAnsi="Times New Roman" w:eastAsia="宋体" w:cs="Times New Roman"/>
                      <w:color w:val="0000FF"/>
                      <w:sz w:val="21"/>
                      <w:szCs w:val="18"/>
                      <w:highlight w:val="none"/>
                    </w:rPr>
                  </w:pPr>
                  <w:r>
                    <w:rPr>
                      <w:rFonts w:hint="default" w:ascii="Times New Roman" w:hAnsi="Times New Roman" w:eastAsia="宋体" w:cs="Times New Roman"/>
                      <w:color w:val="0000FF"/>
                      <w:sz w:val="21"/>
                      <w:szCs w:val="18"/>
                      <w:highlight w:val="none"/>
                    </w:rPr>
                    <w:t>1</w:t>
                  </w:r>
                </w:p>
              </w:tc>
              <w:tc>
                <w:tcPr>
                  <w:tcW w:w="881" w:type="pct"/>
                  <w:vMerge w:val="restart"/>
                  <w:shd w:val="clear" w:color="auto" w:fill="auto"/>
                  <w:noWrap w:val="0"/>
                  <w:vAlign w:val="center"/>
                </w:tcPr>
                <w:p w14:paraId="2CD32FAC">
                  <w:pPr>
                    <w:jc w:val="center"/>
                    <w:rPr>
                      <w:rFonts w:hint="default" w:ascii="Times New Roman" w:hAnsi="Times New Roman" w:eastAsia="宋体" w:cs="Times New Roman"/>
                      <w:color w:val="0000FF"/>
                      <w:kern w:val="2"/>
                      <w:sz w:val="21"/>
                      <w:szCs w:val="18"/>
                      <w:highlight w:val="none"/>
                      <w:lang w:val="en-US" w:eastAsia="zh-CN" w:bidi="ar-SA"/>
                    </w:rPr>
                  </w:pPr>
                  <w:r>
                    <w:rPr>
                      <w:rFonts w:hint="default" w:ascii="Times New Roman" w:hAnsi="Times New Roman" w:eastAsia="宋体" w:cs="Times New Roman"/>
                      <w:b w:val="0"/>
                      <w:bCs w:val="0"/>
                      <w:color w:val="0000FF"/>
                      <w:sz w:val="21"/>
                      <w:szCs w:val="21"/>
                      <w:highlight w:val="none"/>
                      <w:vertAlign w:val="baseline"/>
                      <w:lang w:val="en-US" w:eastAsia="zh-CN"/>
                    </w:rPr>
                    <w:t>非甲烷总烃</w:t>
                  </w:r>
                </w:p>
              </w:tc>
              <w:tc>
                <w:tcPr>
                  <w:tcW w:w="1104" w:type="pct"/>
                  <w:noWrap w:val="0"/>
                  <w:vAlign w:val="center"/>
                </w:tcPr>
                <w:p w14:paraId="60BD2918">
                  <w:pPr>
                    <w:jc w:val="center"/>
                    <w:rPr>
                      <w:rFonts w:hint="default" w:ascii="Times New Roman" w:hAnsi="Times New Roman" w:eastAsia="宋体" w:cs="Times New Roman"/>
                      <w:b w:val="0"/>
                      <w:bCs w:val="0"/>
                      <w:color w:val="0000FF"/>
                      <w:sz w:val="21"/>
                      <w:szCs w:val="21"/>
                      <w:highlight w:val="none"/>
                      <w:vertAlign w:val="baseline"/>
                      <w:lang w:val="en-US" w:eastAsia="zh-CN"/>
                    </w:rPr>
                  </w:pPr>
                  <w:r>
                    <w:rPr>
                      <w:rFonts w:hint="default" w:ascii="Times New Roman" w:hAnsi="Times New Roman" w:eastAsia="宋体" w:cs="Times New Roman"/>
                      <w:b w:val="0"/>
                      <w:bCs w:val="0"/>
                      <w:color w:val="0000FF"/>
                      <w:sz w:val="21"/>
                      <w:szCs w:val="21"/>
                      <w:highlight w:val="none"/>
                      <w:vertAlign w:val="baseline"/>
                      <w:lang w:val="en-US" w:eastAsia="zh-CN"/>
                    </w:rPr>
                    <w:t>北厂界</w:t>
                  </w:r>
                </w:p>
              </w:tc>
              <w:tc>
                <w:tcPr>
                  <w:tcW w:w="1193" w:type="pct"/>
                  <w:noWrap w:val="0"/>
                  <w:vAlign w:val="center"/>
                </w:tcPr>
                <w:p w14:paraId="24E98F06">
                  <w:pPr>
                    <w:keepNext w:val="0"/>
                    <w:keepLines w:val="0"/>
                    <w:widowControl/>
                    <w:suppressLineNumbers w:val="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0"/>
                      <w:sz w:val="21"/>
                      <w:szCs w:val="21"/>
                      <w:highlight w:val="none"/>
                      <w:u w:val="none"/>
                      <w:lang w:val="en-US" w:eastAsia="zh-CN" w:bidi="ar"/>
                    </w:rPr>
                    <w:t>0.037458</w:t>
                  </w:r>
                </w:p>
              </w:tc>
              <w:tc>
                <w:tcPr>
                  <w:tcW w:w="764" w:type="pct"/>
                  <w:noWrap w:val="0"/>
                  <w:vAlign w:val="center"/>
                </w:tcPr>
                <w:p w14:paraId="2A9F5A04">
                  <w:pPr>
                    <w:keepNext w:val="0"/>
                    <w:keepLines w:val="0"/>
                    <w:widowControl/>
                    <w:suppressLineNumbers w:val="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2"/>
                      <w:sz w:val="21"/>
                      <w:szCs w:val="21"/>
                      <w:highlight w:val="none"/>
                      <w:u w:val="none"/>
                      <w:lang w:val="en-US" w:eastAsia="zh-CN" w:bidi="ar-SA"/>
                    </w:rPr>
                    <w:t>4.0</w:t>
                  </w:r>
                </w:p>
              </w:tc>
              <w:tc>
                <w:tcPr>
                  <w:tcW w:w="550" w:type="pct"/>
                  <w:noWrap w:val="0"/>
                  <w:vAlign w:val="center"/>
                </w:tcPr>
                <w:p w14:paraId="6D1AF1A9">
                  <w:pPr>
                    <w:keepNext w:val="0"/>
                    <w:keepLines w:val="0"/>
                    <w:widowControl/>
                    <w:suppressLineNumbers w:val="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2"/>
                      <w:sz w:val="21"/>
                      <w:szCs w:val="21"/>
                      <w:highlight w:val="none"/>
                      <w:u w:val="none"/>
                      <w:lang w:val="en-US" w:eastAsia="zh-CN" w:bidi="ar-SA"/>
                    </w:rPr>
                    <w:t>达标</w:t>
                  </w:r>
                </w:p>
              </w:tc>
            </w:tr>
            <w:tr w14:paraId="6938E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6" w:type="pct"/>
                  <w:noWrap w:val="0"/>
                  <w:vAlign w:val="center"/>
                </w:tcPr>
                <w:p w14:paraId="1C7F924F">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2</w:t>
                  </w:r>
                </w:p>
              </w:tc>
              <w:tc>
                <w:tcPr>
                  <w:tcW w:w="881" w:type="pct"/>
                  <w:vMerge w:val="continue"/>
                  <w:shd w:val="clear" w:color="auto" w:fill="auto"/>
                  <w:noWrap w:val="0"/>
                  <w:vAlign w:val="center"/>
                </w:tcPr>
                <w:p w14:paraId="102839D9">
                  <w:pPr>
                    <w:jc w:val="center"/>
                    <w:rPr>
                      <w:rFonts w:hint="default" w:ascii="Times New Roman" w:hAnsi="Times New Roman" w:eastAsia="宋体" w:cs="Times New Roman"/>
                      <w:b w:val="0"/>
                      <w:bCs w:val="0"/>
                      <w:color w:val="0000FF"/>
                      <w:sz w:val="21"/>
                      <w:szCs w:val="21"/>
                      <w:highlight w:val="none"/>
                      <w:vertAlign w:val="baseline"/>
                      <w:lang w:val="en-US" w:eastAsia="zh-CN"/>
                    </w:rPr>
                  </w:pPr>
                </w:p>
              </w:tc>
              <w:tc>
                <w:tcPr>
                  <w:tcW w:w="1104" w:type="pct"/>
                  <w:noWrap w:val="0"/>
                  <w:vAlign w:val="center"/>
                </w:tcPr>
                <w:p w14:paraId="7FA95C43">
                  <w:pPr>
                    <w:jc w:val="center"/>
                    <w:rPr>
                      <w:rFonts w:hint="default" w:ascii="Times New Roman" w:hAnsi="Times New Roman" w:eastAsia="宋体" w:cs="Times New Roman"/>
                      <w:b w:val="0"/>
                      <w:bCs w:val="0"/>
                      <w:color w:val="0000FF"/>
                      <w:sz w:val="21"/>
                      <w:szCs w:val="21"/>
                      <w:highlight w:val="none"/>
                      <w:vertAlign w:val="baseline"/>
                      <w:lang w:val="en-US" w:eastAsia="zh-CN"/>
                    </w:rPr>
                  </w:pPr>
                  <w:r>
                    <w:rPr>
                      <w:rFonts w:hint="default" w:ascii="Times New Roman" w:hAnsi="Times New Roman" w:eastAsia="宋体" w:cs="Times New Roman"/>
                      <w:b w:val="0"/>
                      <w:bCs w:val="0"/>
                      <w:color w:val="0000FF"/>
                      <w:sz w:val="21"/>
                      <w:szCs w:val="21"/>
                      <w:highlight w:val="none"/>
                      <w:vertAlign w:val="baseline"/>
                      <w:lang w:val="en-US" w:eastAsia="zh-CN"/>
                    </w:rPr>
                    <w:t>西厂界</w:t>
                  </w:r>
                </w:p>
              </w:tc>
              <w:tc>
                <w:tcPr>
                  <w:tcW w:w="1193" w:type="pct"/>
                  <w:noWrap w:val="0"/>
                  <w:vAlign w:val="center"/>
                </w:tcPr>
                <w:p w14:paraId="527D2895">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0.14905</w:t>
                  </w:r>
                </w:p>
              </w:tc>
              <w:tc>
                <w:tcPr>
                  <w:tcW w:w="764" w:type="pct"/>
                  <w:noWrap w:val="0"/>
                  <w:vAlign w:val="center"/>
                </w:tcPr>
                <w:p w14:paraId="1D520924">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4.0</w:t>
                  </w:r>
                </w:p>
              </w:tc>
              <w:tc>
                <w:tcPr>
                  <w:tcW w:w="550" w:type="pct"/>
                  <w:noWrap w:val="0"/>
                  <w:vAlign w:val="center"/>
                </w:tcPr>
                <w:p w14:paraId="0C9751E5">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2"/>
                      <w:sz w:val="21"/>
                      <w:szCs w:val="21"/>
                      <w:highlight w:val="none"/>
                      <w:u w:val="none"/>
                      <w:lang w:val="en-US" w:eastAsia="zh-CN" w:bidi="ar-SA"/>
                    </w:rPr>
                    <w:t>达标</w:t>
                  </w:r>
                </w:p>
              </w:tc>
            </w:tr>
            <w:tr w14:paraId="0AA1F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6" w:type="pct"/>
                  <w:noWrap w:val="0"/>
                  <w:vAlign w:val="center"/>
                </w:tcPr>
                <w:p w14:paraId="4039A97E">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3</w:t>
                  </w:r>
                </w:p>
              </w:tc>
              <w:tc>
                <w:tcPr>
                  <w:tcW w:w="881" w:type="pct"/>
                  <w:vMerge w:val="continue"/>
                  <w:shd w:val="clear" w:color="auto" w:fill="auto"/>
                  <w:noWrap w:val="0"/>
                  <w:vAlign w:val="center"/>
                </w:tcPr>
                <w:p w14:paraId="371E20DC">
                  <w:pPr>
                    <w:jc w:val="center"/>
                    <w:rPr>
                      <w:rFonts w:hint="default" w:ascii="Times New Roman" w:hAnsi="Times New Roman" w:eastAsia="宋体" w:cs="Times New Roman"/>
                      <w:b w:val="0"/>
                      <w:bCs w:val="0"/>
                      <w:color w:val="0000FF"/>
                      <w:sz w:val="21"/>
                      <w:szCs w:val="21"/>
                      <w:highlight w:val="none"/>
                      <w:vertAlign w:val="baseline"/>
                      <w:lang w:val="en-US" w:eastAsia="zh-CN"/>
                    </w:rPr>
                  </w:pPr>
                </w:p>
              </w:tc>
              <w:tc>
                <w:tcPr>
                  <w:tcW w:w="1104" w:type="pct"/>
                  <w:noWrap w:val="0"/>
                  <w:vAlign w:val="center"/>
                </w:tcPr>
                <w:p w14:paraId="075CE61F">
                  <w:pPr>
                    <w:jc w:val="center"/>
                    <w:rPr>
                      <w:rFonts w:hint="default" w:ascii="Times New Roman" w:hAnsi="Times New Roman" w:eastAsia="宋体" w:cs="Times New Roman"/>
                      <w:b w:val="0"/>
                      <w:bCs w:val="0"/>
                      <w:color w:val="0000FF"/>
                      <w:sz w:val="21"/>
                      <w:szCs w:val="21"/>
                      <w:highlight w:val="none"/>
                      <w:vertAlign w:val="baseline"/>
                      <w:lang w:val="en-US" w:eastAsia="zh-CN"/>
                    </w:rPr>
                  </w:pPr>
                  <w:r>
                    <w:rPr>
                      <w:rFonts w:hint="default" w:ascii="Times New Roman" w:hAnsi="Times New Roman" w:eastAsia="宋体" w:cs="Times New Roman"/>
                      <w:b w:val="0"/>
                      <w:bCs w:val="0"/>
                      <w:color w:val="0000FF"/>
                      <w:sz w:val="21"/>
                      <w:szCs w:val="21"/>
                      <w:highlight w:val="none"/>
                      <w:vertAlign w:val="baseline"/>
                      <w:lang w:val="en-US" w:eastAsia="zh-CN"/>
                    </w:rPr>
                    <w:t>南厂界</w:t>
                  </w:r>
                </w:p>
              </w:tc>
              <w:tc>
                <w:tcPr>
                  <w:tcW w:w="1193" w:type="pct"/>
                  <w:noWrap w:val="0"/>
                  <w:vAlign w:val="center"/>
                </w:tcPr>
                <w:p w14:paraId="6EE79FE4">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0.24635</w:t>
                  </w:r>
                </w:p>
              </w:tc>
              <w:tc>
                <w:tcPr>
                  <w:tcW w:w="764" w:type="pct"/>
                  <w:noWrap w:val="0"/>
                  <w:vAlign w:val="center"/>
                </w:tcPr>
                <w:p w14:paraId="1FDB62D1">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4.0</w:t>
                  </w:r>
                </w:p>
              </w:tc>
              <w:tc>
                <w:tcPr>
                  <w:tcW w:w="550" w:type="pct"/>
                  <w:noWrap w:val="0"/>
                  <w:vAlign w:val="center"/>
                </w:tcPr>
                <w:p w14:paraId="6E3850B9">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2"/>
                      <w:sz w:val="21"/>
                      <w:szCs w:val="21"/>
                      <w:highlight w:val="none"/>
                      <w:u w:val="none"/>
                      <w:lang w:val="en-US" w:eastAsia="zh-CN" w:bidi="ar-SA"/>
                    </w:rPr>
                    <w:t>达标</w:t>
                  </w:r>
                </w:p>
              </w:tc>
            </w:tr>
            <w:tr w14:paraId="14992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6" w:type="pct"/>
                  <w:noWrap w:val="0"/>
                  <w:vAlign w:val="center"/>
                </w:tcPr>
                <w:p w14:paraId="2E8B9D2D">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4</w:t>
                  </w:r>
                </w:p>
              </w:tc>
              <w:tc>
                <w:tcPr>
                  <w:tcW w:w="881" w:type="pct"/>
                  <w:vMerge w:val="continue"/>
                  <w:shd w:val="clear" w:color="auto" w:fill="auto"/>
                  <w:noWrap w:val="0"/>
                  <w:vAlign w:val="center"/>
                </w:tcPr>
                <w:p w14:paraId="6282039C">
                  <w:pPr>
                    <w:jc w:val="center"/>
                    <w:rPr>
                      <w:rFonts w:hint="default" w:ascii="Times New Roman" w:hAnsi="Times New Roman" w:eastAsia="宋体" w:cs="Times New Roman"/>
                      <w:b w:val="0"/>
                      <w:bCs w:val="0"/>
                      <w:color w:val="0000FF"/>
                      <w:sz w:val="21"/>
                      <w:szCs w:val="21"/>
                      <w:highlight w:val="none"/>
                      <w:vertAlign w:val="baseline"/>
                      <w:lang w:val="en-US" w:eastAsia="zh-CN"/>
                    </w:rPr>
                  </w:pPr>
                </w:p>
              </w:tc>
              <w:tc>
                <w:tcPr>
                  <w:tcW w:w="1104" w:type="pct"/>
                  <w:noWrap w:val="0"/>
                  <w:vAlign w:val="center"/>
                </w:tcPr>
                <w:p w14:paraId="6DAF2AF5">
                  <w:pPr>
                    <w:jc w:val="center"/>
                    <w:rPr>
                      <w:rFonts w:hint="default" w:ascii="Times New Roman" w:hAnsi="Times New Roman" w:eastAsia="宋体" w:cs="Times New Roman"/>
                      <w:b w:val="0"/>
                      <w:bCs w:val="0"/>
                      <w:color w:val="0000FF"/>
                      <w:sz w:val="21"/>
                      <w:szCs w:val="21"/>
                      <w:highlight w:val="none"/>
                      <w:vertAlign w:val="baseline"/>
                      <w:lang w:val="en-US" w:eastAsia="zh-CN"/>
                    </w:rPr>
                  </w:pPr>
                  <w:r>
                    <w:rPr>
                      <w:rFonts w:hint="default" w:ascii="Times New Roman" w:hAnsi="Times New Roman" w:eastAsia="宋体" w:cs="Times New Roman"/>
                      <w:b w:val="0"/>
                      <w:bCs w:val="0"/>
                      <w:color w:val="0000FF"/>
                      <w:sz w:val="21"/>
                      <w:szCs w:val="21"/>
                      <w:highlight w:val="none"/>
                      <w:vertAlign w:val="baseline"/>
                      <w:lang w:val="en-US" w:eastAsia="zh-CN"/>
                    </w:rPr>
                    <w:t>东厂界</w:t>
                  </w:r>
                </w:p>
              </w:tc>
              <w:tc>
                <w:tcPr>
                  <w:tcW w:w="1193" w:type="pct"/>
                  <w:noWrap w:val="0"/>
                  <w:vAlign w:val="center"/>
                </w:tcPr>
                <w:p w14:paraId="073C7BF1">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0.045041</w:t>
                  </w:r>
                </w:p>
              </w:tc>
              <w:tc>
                <w:tcPr>
                  <w:tcW w:w="764" w:type="pct"/>
                  <w:noWrap w:val="0"/>
                  <w:vAlign w:val="center"/>
                </w:tcPr>
                <w:p w14:paraId="7B344D4D">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4.0</w:t>
                  </w:r>
                </w:p>
              </w:tc>
              <w:tc>
                <w:tcPr>
                  <w:tcW w:w="550" w:type="pct"/>
                  <w:noWrap w:val="0"/>
                  <w:vAlign w:val="center"/>
                </w:tcPr>
                <w:p w14:paraId="0CCD153D">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2"/>
                      <w:sz w:val="21"/>
                      <w:szCs w:val="21"/>
                      <w:highlight w:val="none"/>
                      <w:u w:val="none"/>
                      <w:lang w:val="en-US" w:eastAsia="zh-CN" w:bidi="ar-SA"/>
                    </w:rPr>
                    <w:t>达标</w:t>
                  </w:r>
                </w:p>
              </w:tc>
            </w:tr>
            <w:tr w14:paraId="0D244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6" w:type="pct"/>
                  <w:noWrap w:val="0"/>
                  <w:vAlign w:val="center"/>
                </w:tcPr>
                <w:p w14:paraId="3DB5ECFB">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1</w:t>
                  </w:r>
                </w:p>
              </w:tc>
              <w:tc>
                <w:tcPr>
                  <w:tcW w:w="881" w:type="pct"/>
                  <w:vMerge w:val="restart"/>
                  <w:shd w:val="clear" w:color="auto" w:fill="auto"/>
                  <w:noWrap w:val="0"/>
                  <w:vAlign w:val="center"/>
                </w:tcPr>
                <w:p w14:paraId="10B05152">
                  <w:pPr>
                    <w:jc w:val="center"/>
                    <w:rPr>
                      <w:rFonts w:hint="default" w:ascii="Times New Roman" w:hAnsi="Times New Roman" w:eastAsia="宋体" w:cs="Times New Roman"/>
                      <w:b w:val="0"/>
                      <w:bCs w:val="0"/>
                      <w:color w:val="0000FF"/>
                      <w:sz w:val="21"/>
                      <w:szCs w:val="21"/>
                      <w:highlight w:val="none"/>
                      <w:vertAlign w:val="baseline"/>
                      <w:lang w:val="en-US" w:eastAsia="zh-CN"/>
                    </w:rPr>
                  </w:pPr>
                  <w:r>
                    <w:rPr>
                      <w:rFonts w:hint="default" w:ascii="Times New Roman" w:hAnsi="Times New Roman" w:eastAsia="宋体" w:cs="Times New Roman"/>
                      <w:b w:val="0"/>
                      <w:bCs w:val="0"/>
                      <w:color w:val="0000FF"/>
                      <w:sz w:val="21"/>
                      <w:szCs w:val="21"/>
                      <w:highlight w:val="none"/>
                      <w:vertAlign w:val="baseline"/>
                      <w:lang w:val="en-US" w:eastAsia="zh-CN"/>
                    </w:rPr>
                    <w:t>颗粒物</w:t>
                  </w:r>
                </w:p>
              </w:tc>
              <w:tc>
                <w:tcPr>
                  <w:tcW w:w="1104" w:type="pct"/>
                  <w:shd w:val="clear" w:color="auto" w:fill="auto"/>
                  <w:noWrap w:val="0"/>
                  <w:vAlign w:val="center"/>
                </w:tcPr>
                <w:p w14:paraId="2CF3E62C">
                  <w:pPr>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eastAsia="宋体" w:cs="Times New Roman"/>
                      <w:b w:val="0"/>
                      <w:bCs w:val="0"/>
                      <w:color w:val="0000FF"/>
                      <w:sz w:val="21"/>
                      <w:szCs w:val="21"/>
                      <w:highlight w:val="none"/>
                      <w:vertAlign w:val="baseline"/>
                      <w:lang w:val="en-US" w:eastAsia="zh-CN"/>
                    </w:rPr>
                    <w:t>北厂界</w:t>
                  </w:r>
                </w:p>
              </w:tc>
              <w:tc>
                <w:tcPr>
                  <w:tcW w:w="1193" w:type="pct"/>
                  <w:noWrap w:val="0"/>
                  <w:vAlign w:val="center"/>
                </w:tcPr>
                <w:p w14:paraId="126B72DD">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0.015737</w:t>
                  </w:r>
                </w:p>
              </w:tc>
              <w:tc>
                <w:tcPr>
                  <w:tcW w:w="764" w:type="pct"/>
                  <w:noWrap w:val="0"/>
                  <w:vAlign w:val="center"/>
                </w:tcPr>
                <w:p w14:paraId="1D12CA25">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1.0</w:t>
                  </w:r>
                </w:p>
              </w:tc>
              <w:tc>
                <w:tcPr>
                  <w:tcW w:w="550" w:type="pct"/>
                  <w:noWrap w:val="0"/>
                  <w:vAlign w:val="center"/>
                </w:tcPr>
                <w:p w14:paraId="31BE5A41">
                  <w:pPr>
                    <w:keepNext w:val="0"/>
                    <w:keepLines w:val="0"/>
                    <w:widowControl/>
                    <w:suppressLineNumbers w:val="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2"/>
                      <w:sz w:val="21"/>
                      <w:szCs w:val="21"/>
                      <w:highlight w:val="none"/>
                      <w:u w:val="none"/>
                      <w:lang w:val="en-US" w:eastAsia="zh-CN" w:bidi="ar-SA"/>
                    </w:rPr>
                    <w:t>达标</w:t>
                  </w:r>
                </w:p>
              </w:tc>
            </w:tr>
            <w:tr w14:paraId="53F59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6" w:type="pct"/>
                  <w:noWrap w:val="0"/>
                  <w:vAlign w:val="center"/>
                </w:tcPr>
                <w:p w14:paraId="4C896C11">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2</w:t>
                  </w:r>
                </w:p>
              </w:tc>
              <w:tc>
                <w:tcPr>
                  <w:tcW w:w="881" w:type="pct"/>
                  <w:vMerge w:val="continue"/>
                  <w:shd w:val="clear" w:color="auto" w:fill="auto"/>
                  <w:noWrap w:val="0"/>
                  <w:vAlign w:val="center"/>
                </w:tcPr>
                <w:p w14:paraId="5E18E53C">
                  <w:pPr>
                    <w:jc w:val="center"/>
                    <w:rPr>
                      <w:rFonts w:hint="default" w:ascii="Times New Roman" w:hAnsi="Times New Roman" w:eastAsia="宋体" w:cs="Times New Roman"/>
                      <w:b w:val="0"/>
                      <w:bCs w:val="0"/>
                      <w:color w:val="0000FF"/>
                      <w:sz w:val="21"/>
                      <w:szCs w:val="21"/>
                      <w:highlight w:val="none"/>
                      <w:vertAlign w:val="baseline"/>
                      <w:lang w:val="en-US" w:eastAsia="zh-CN"/>
                    </w:rPr>
                  </w:pPr>
                </w:p>
              </w:tc>
              <w:tc>
                <w:tcPr>
                  <w:tcW w:w="1104" w:type="pct"/>
                  <w:shd w:val="clear" w:color="auto" w:fill="auto"/>
                  <w:noWrap w:val="0"/>
                  <w:vAlign w:val="center"/>
                </w:tcPr>
                <w:p w14:paraId="58064E4C">
                  <w:pPr>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eastAsia="宋体" w:cs="Times New Roman"/>
                      <w:b w:val="0"/>
                      <w:bCs w:val="0"/>
                      <w:color w:val="0000FF"/>
                      <w:sz w:val="21"/>
                      <w:szCs w:val="21"/>
                      <w:highlight w:val="none"/>
                      <w:vertAlign w:val="baseline"/>
                      <w:lang w:val="en-US" w:eastAsia="zh-CN"/>
                    </w:rPr>
                    <w:t>西厂界</w:t>
                  </w:r>
                </w:p>
              </w:tc>
              <w:tc>
                <w:tcPr>
                  <w:tcW w:w="1193" w:type="pct"/>
                  <w:noWrap w:val="0"/>
                  <w:vAlign w:val="center"/>
                </w:tcPr>
                <w:p w14:paraId="5B931D69">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0.011007</w:t>
                  </w:r>
                </w:p>
              </w:tc>
              <w:tc>
                <w:tcPr>
                  <w:tcW w:w="764" w:type="pct"/>
                  <w:noWrap w:val="0"/>
                  <w:vAlign w:val="center"/>
                </w:tcPr>
                <w:p w14:paraId="5B5B77F1">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1.0</w:t>
                  </w:r>
                </w:p>
              </w:tc>
              <w:tc>
                <w:tcPr>
                  <w:tcW w:w="550" w:type="pct"/>
                  <w:noWrap w:val="0"/>
                  <w:vAlign w:val="center"/>
                </w:tcPr>
                <w:p w14:paraId="352130C8">
                  <w:pPr>
                    <w:keepNext w:val="0"/>
                    <w:keepLines w:val="0"/>
                    <w:widowControl/>
                    <w:suppressLineNumbers w:val="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2"/>
                      <w:sz w:val="21"/>
                      <w:szCs w:val="21"/>
                      <w:highlight w:val="none"/>
                      <w:u w:val="none"/>
                      <w:lang w:val="en-US" w:eastAsia="zh-CN" w:bidi="ar-SA"/>
                    </w:rPr>
                    <w:t>达标</w:t>
                  </w:r>
                </w:p>
              </w:tc>
            </w:tr>
            <w:tr w14:paraId="55619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6" w:type="pct"/>
                  <w:noWrap w:val="0"/>
                  <w:vAlign w:val="center"/>
                </w:tcPr>
                <w:p w14:paraId="5ADC7511">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3</w:t>
                  </w:r>
                </w:p>
              </w:tc>
              <w:tc>
                <w:tcPr>
                  <w:tcW w:w="881" w:type="pct"/>
                  <w:vMerge w:val="continue"/>
                  <w:shd w:val="clear" w:color="auto" w:fill="auto"/>
                  <w:noWrap w:val="0"/>
                  <w:vAlign w:val="center"/>
                </w:tcPr>
                <w:p w14:paraId="04253E95">
                  <w:pPr>
                    <w:jc w:val="center"/>
                    <w:rPr>
                      <w:rFonts w:hint="default" w:ascii="Times New Roman" w:hAnsi="Times New Roman" w:eastAsia="宋体" w:cs="Times New Roman"/>
                      <w:b w:val="0"/>
                      <w:bCs w:val="0"/>
                      <w:color w:val="0000FF"/>
                      <w:sz w:val="21"/>
                      <w:szCs w:val="21"/>
                      <w:highlight w:val="none"/>
                      <w:vertAlign w:val="baseline"/>
                      <w:lang w:val="en-US" w:eastAsia="zh-CN"/>
                    </w:rPr>
                  </w:pPr>
                </w:p>
              </w:tc>
              <w:tc>
                <w:tcPr>
                  <w:tcW w:w="1104" w:type="pct"/>
                  <w:shd w:val="clear" w:color="auto" w:fill="auto"/>
                  <w:noWrap w:val="0"/>
                  <w:vAlign w:val="center"/>
                </w:tcPr>
                <w:p w14:paraId="0D2E99F4">
                  <w:pPr>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eastAsia="宋体" w:cs="Times New Roman"/>
                      <w:b w:val="0"/>
                      <w:bCs w:val="0"/>
                      <w:color w:val="0000FF"/>
                      <w:sz w:val="21"/>
                      <w:szCs w:val="21"/>
                      <w:highlight w:val="none"/>
                      <w:vertAlign w:val="baseline"/>
                      <w:lang w:val="en-US" w:eastAsia="zh-CN"/>
                    </w:rPr>
                    <w:t>南厂界</w:t>
                  </w:r>
                </w:p>
              </w:tc>
              <w:tc>
                <w:tcPr>
                  <w:tcW w:w="1193" w:type="pct"/>
                  <w:noWrap w:val="0"/>
                  <w:vAlign w:val="center"/>
                </w:tcPr>
                <w:p w14:paraId="68AAD8BB">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0.016858</w:t>
                  </w:r>
                </w:p>
              </w:tc>
              <w:tc>
                <w:tcPr>
                  <w:tcW w:w="764" w:type="pct"/>
                  <w:noWrap w:val="0"/>
                  <w:vAlign w:val="center"/>
                </w:tcPr>
                <w:p w14:paraId="5223CCB5">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1.0</w:t>
                  </w:r>
                </w:p>
              </w:tc>
              <w:tc>
                <w:tcPr>
                  <w:tcW w:w="550" w:type="pct"/>
                  <w:noWrap w:val="0"/>
                  <w:vAlign w:val="center"/>
                </w:tcPr>
                <w:p w14:paraId="79DD535C">
                  <w:pPr>
                    <w:keepNext w:val="0"/>
                    <w:keepLines w:val="0"/>
                    <w:widowControl/>
                    <w:suppressLineNumbers w:val="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2"/>
                      <w:sz w:val="21"/>
                      <w:szCs w:val="21"/>
                      <w:highlight w:val="none"/>
                      <w:u w:val="none"/>
                      <w:lang w:val="en-US" w:eastAsia="zh-CN" w:bidi="ar-SA"/>
                    </w:rPr>
                    <w:t>达标</w:t>
                  </w:r>
                </w:p>
              </w:tc>
            </w:tr>
            <w:tr w14:paraId="27032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506" w:type="pct"/>
                  <w:noWrap w:val="0"/>
                  <w:vAlign w:val="center"/>
                </w:tcPr>
                <w:p w14:paraId="4AB764B3">
                  <w:pPr>
                    <w:jc w:val="center"/>
                    <w:rPr>
                      <w:rFonts w:hint="default" w:ascii="Times New Roman" w:hAnsi="Times New Roman" w:eastAsia="宋体" w:cs="Times New Roman"/>
                      <w:color w:val="0000FF"/>
                      <w:sz w:val="21"/>
                      <w:szCs w:val="18"/>
                      <w:highlight w:val="none"/>
                      <w:lang w:val="en-US" w:eastAsia="zh-CN"/>
                    </w:rPr>
                  </w:pPr>
                  <w:r>
                    <w:rPr>
                      <w:rFonts w:hint="default" w:ascii="Times New Roman" w:hAnsi="Times New Roman" w:eastAsia="宋体" w:cs="Times New Roman"/>
                      <w:color w:val="0000FF"/>
                      <w:sz w:val="21"/>
                      <w:szCs w:val="18"/>
                      <w:highlight w:val="none"/>
                      <w:lang w:val="en-US" w:eastAsia="zh-CN"/>
                    </w:rPr>
                    <w:t>4</w:t>
                  </w:r>
                </w:p>
              </w:tc>
              <w:tc>
                <w:tcPr>
                  <w:tcW w:w="881" w:type="pct"/>
                  <w:vMerge w:val="continue"/>
                  <w:shd w:val="clear" w:color="auto" w:fill="auto"/>
                  <w:noWrap w:val="0"/>
                  <w:vAlign w:val="center"/>
                </w:tcPr>
                <w:p w14:paraId="232CAA2C">
                  <w:pPr>
                    <w:jc w:val="center"/>
                    <w:rPr>
                      <w:rFonts w:hint="default" w:ascii="Times New Roman" w:hAnsi="Times New Roman" w:eastAsia="宋体" w:cs="Times New Roman"/>
                      <w:b w:val="0"/>
                      <w:bCs w:val="0"/>
                      <w:color w:val="0000FF"/>
                      <w:sz w:val="21"/>
                      <w:szCs w:val="21"/>
                      <w:highlight w:val="none"/>
                      <w:vertAlign w:val="baseline"/>
                      <w:lang w:val="en-US" w:eastAsia="zh-CN"/>
                    </w:rPr>
                  </w:pPr>
                </w:p>
              </w:tc>
              <w:tc>
                <w:tcPr>
                  <w:tcW w:w="1104" w:type="pct"/>
                  <w:shd w:val="clear" w:color="auto" w:fill="auto"/>
                  <w:noWrap w:val="0"/>
                  <w:vAlign w:val="center"/>
                </w:tcPr>
                <w:p w14:paraId="7BFEC6A3">
                  <w:pPr>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eastAsia="宋体" w:cs="Times New Roman"/>
                      <w:b w:val="0"/>
                      <w:bCs w:val="0"/>
                      <w:color w:val="0000FF"/>
                      <w:sz w:val="21"/>
                      <w:szCs w:val="21"/>
                      <w:highlight w:val="none"/>
                      <w:vertAlign w:val="baseline"/>
                      <w:lang w:val="en-US" w:eastAsia="zh-CN"/>
                    </w:rPr>
                    <w:t>东厂界</w:t>
                  </w:r>
                </w:p>
              </w:tc>
              <w:tc>
                <w:tcPr>
                  <w:tcW w:w="1193" w:type="pct"/>
                  <w:noWrap w:val="0"/>
                  <w:vAlign w:val="center"/>
                </w:tcPr>
                <w:p w14:paraId="315DF884">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0.004589</w:t>
                  </w:r>
                </w:p>
              </w:tc>
              <w:tc>
                <w:tcPr>
                  <w:tcW w:w="764" w:type="pct"/>
                  <w:noWrap w:val="0"/>
                  <w:vAlign w:val="center"/>
                </w:tcPr>
                <w:p w14:paraId="4A428BE0">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1"/>
                      <w:szCs w:val="21"/>
                      <w:highlight w:val="none"/>
                      <w:u w:val="none"/>
                      <w:lang w:val="en-US" w:eastAsia="zh-CN" w:bidi="ar"/>
                    </w:rPr>
                  </w:pPr>
                  <w:r>
                    <w:rPr>
                      <w:rFonts w:hint="default" w:ascii="Times New Roman" w:hAnsi="Times New Roman" w:eastAsia="宋体" w:cs="Times New Roman"/>
                      <w:i w:val="0"/>
                      <w:iCs w:val="0"/>
                      <w:color w:val="0000FF"/>
                      <w:kern w:val="0"/>
                      <w:sz w:val="21"/>
                      <w:szCs w:val="21"/>
                      <w:highlight w:val="none"/>
                      <w:u w:val="none"/>
                      <w:lang w:val="en-US" w:eastAsia="zh-CN" w:bidi="ar"/>
                    </w:rPr>
                    <w:t>1.0</w:t>
                  </w:r>
                </w:p>
              </w:tc>
              <w:tc>
                <w:tcPr>
                  <w:tcW w:w="550" w:type="pct"/>
                  <w:noWrap w:val="0"/>
                  <w:vAlign w:val="center"/>
                </w:tcPr>
                <w:p w14:paraId="356614A5">
                  <w:pPr>
                    <w:keepNext w:val="0"/>
                    <w:keepLines w:val="0"/>
                    <w:widowControl/>
                    <w:suppressLineNumbers w:val="0"/>
                    <w:jc w:val="center"/>
                    <w:textAlignment w:val="center"/>
                    <w:rPr>
                      <w:rFonts w:hint="default" w:ascii="Times New Roman" w:hAnsi="Times New Roman" w:eastAsia="宋体" w:cs="Times New Roman"/>
                      <w:i w:val="0"/>
                      <w:iCs w:val="0"/>
                      <w:color w:val="0000FF"/>
                      <w:kern w:val="2"/>
                      <w:sz w:val="21"/>
                      <w:szCs w:val="21"/>
                      <w:highlight w:val="none"/>
                      <w:u w:val="none"/>
                      <w:lang w:val="en-US" w:eastAsia="zh-CN" w:bidi="ar-SA"/>
                    </w:rPr>
                  </w:pPr>
                  <w:r>
                    <w:rPr>
                      <w:rFonts w:hint="default" w:ascii="Times New Roman" w:hAnsi="Times New Roman" w:eastAsia="宋体" w:cs="Times New Roman"/>
                      <w:i w:val="0"/>
                      <w:iCs w:val="0"/>
                      <w:color w:val="0000FF"/>
                      <w:kern w:val="2"/>
                      <w:sz w:val="21"/>
                      <w:szCs w:val="21"/>
                      <w:highlight w:val="none"/>
                      <w:u w:val="none"/>
                      <w:lang w:val="en-US" w:eastAsia="zh-CN" w:bidi="ar-SA"/>
                    </w:rPr>
                    <w:t>达标</w:t>
                  </w:r>
                </w:p>
              </w:tc>
            </w:tr>
          </w:tbl>
          <w:p w14:paraId="6B3BDAB5">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highlight w:val="none"/>
                <w:lang w:val="en-US" w:eastAsia="zh-CN" w:bidi="ar"/>
              </w:rPr>
            </w:pPr>
          </w:p>
          <w:p w14:paraId="2023C862">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kern w:val="0"/>
                <w:sz w:val="24"/>
                <w:szCs w:val="24"/>
                <w:highlight w:val="none"/>
                <w:lang w:val="en-US" w:eastAsia="zh-CN" w:bidi="ar"/>
              </w:rPr>
              <w:t xml:space="preserve">6.3非正常工况下污染物排放情况 </w:t>
            </w:r>
          </w:p>
          <w:p w14:paraId="4D5944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smallCaps w:val="0"/>
                <w:color w:val="auto"/>
                <w:spacing w:val="0"/>
                <w:kern w:val="2"/>
                <w:sz w:val="24"/>
                <w:szCs w:val="20"/>
                <w:highlight w:val="none"/>
                <w:lang w:val="en-US" w:eastAsia="zh-CN" w:bidi="ar-SA"/>
              </w:rPr>
            </w:pPr>
            <w:r>
              <w:rPr>
                <w:rFonts w:hint="default" w:ascii="Times New Roman" w:hAnsi="Times New Roman" w:eastAsia="宋体" w:cs="Times New Roman"/>
                <w:b w:val="0"/>
                <w:bCs w:val="0"/>
                <w:smallCaps w:val="0"/>
                <w:color w:val="auto"/>
                <w:spacing w:val="0"/>
                <w:kern w:val="2"/>
                <w:sz w:val="24"/>
                <w:szCs w:val="20"/>
                <w:highlight w:val="none"/>
                <w:lang w:val="en-US" w:eastAsia="zh-CN" w:bidi="ar-SA"/>
              </w:rPr>
              <w:t>非正常排污是指由于生产管理、检修维护和生产操作等各个环节中存在问题，使污染物排放达不到设计要求而出现的排放量超过设计指标的情况，它代表长期的生产运行中可能出现的排污风险。</w:t>
            </w:r>
          </w:p>
          <w:p w14:paraId="24E4417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smallCaps w:val="0"/>
                <w:color w:val="0000FF"/>
                <w:spacing w:val="0"/>
                <w:kern w:val="2"/>
                <w:sz w:val="24"/>
                <w:szCs w:val="20"/>
                <w:highlight w:val="none"/>
                <w:lang w:val="en-US" w:eastAsia="zh-CN" w:bidi="ar-SA"/>
              </w:rPr>
            </w:pPr>
            <w:r>
              <w:rPr>
                <w:rFonts w:hint="default" w:ascii="Times New Roman" w:hAnsi="Times New Roman" w:eastAsia="宋体" w:cs="Times New Roman"/>
                <w:b w:val="0"/>
                <w:bCs w:val="0"/>
                <w:smallCaps w:val="0"/>
                <w:color w:val="0000FF"/>
                <w:spacing w:val="0"/>
                <w:kern w:val="2"/>
                <w:sz w:val="24"/>
                <w:szCs w:val="20"/>
                <w:highlight w:val="none"/>
                <w:lang w:val="en-US" w:eastAsia="zh-CN" w:bidi="ar-SA"/>
              </w:rPr>
              <w:t>本项目中废气处理装置故障损坏等因素会使废气治理设备处理效率下降，将导致非正常排放发生。本次评价按废气处理装置处理效率0%，经计算，本项目非正常工况下，污染物排放情况见下表。</w:t>
            </w:r>
          </w:p>
          <w:p w14:paraId="5AC31227">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smallCaps w:val="0"/>
                <w:color w:val="0000FF"/>
                <w:spacing w:val="0"/>
                <w:kern w:val="2"/>
                <w:sz w:val="21"/>
                <w:szCs w:val="16"/>
                <w:highlight w:val="none"/>
                <w:lang w:val="en-US" w:eastAsia="zh-CN" w:bidi="ar-SA"/>
              </w:rPr>
            </w:pPr>
            <w:r>
              <w:rPr>
                <w:rFonts w:hint="default" w:ascii="Times New Roman" w:hAnsi="Times New Roman" w:eastAsia="宋体" w:cs="Times New Roman"/>
                <w:b/>
                <w:bCs/>
                <w:smallCaps w:val="0"/>
                <w:color w:val="0000FF"/>
                <w:spacing w:val="0"/>
                <w:kern w:val="2"/>
                <w:sz w:val="21"/>
                <w:szCs w:val="16"/>
                <w:highlight w:val="none"/>
                <w:lang w:val="en-US" w:eastAsia="zh-CN" w:bidi="ar-SA"/>
              </w:rPr>
              <w:t>表4.6-12   非正常工况下主要废气污染物最大排放源强一览表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1117"/>
              <w:gridCol w:w="1117"/>
              <w:gridCol w:w="1156"/>
              <w:gridCol w:w="1334"/>
              <w:gridCol w:w="1138"/>
              <w:gridCol w:w="1117"/>
            </w:tblGrid>
            <w:tr w14:paraId="09365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14:paraId="659A65EF">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非正常污染源</w:t>
                  </w:r>
                </w:p>
              </w:tc>
              <w:tc>
                <w:tcPr>
                  <w:tcW w:w="1117" w:type="dxa"/>
                  <w:vAlign w:val="center"/>
                </w:tcPr>
                <w:p w14:paraId="0D91DC5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非正常排放原因</w:t>
                  </w:r>
                </w:p>
              </w:tc>
              <w:tc>
                <w:tcPr>
                  <w:tcW w:w="1117" w:type="dxa"/>
                  <w:vAlign w:val="center"/>
                </w:tcPr>
                <w:p w14:paraId="07BA40F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主要污染物</w:t>
                  </w:r>
                </w:p>
              </w:tc>
              <w:tc>
                <w:tcPr>
                  <w:tcW w:w="1156" w:type="dxa"/>
                  <w:vAlign w:val="center"/>
                </w:tcPr>
                <w:p w14:paraId="020A43D6">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排放速率（kg/h）</w:t>
                  </w:r>
                </w:p>
              </w:tc>
              <w:tc>
                <w:tcPr>
                  <w:tcW w:w="1334" w:type="dxa"/>
                  <w:vAlign w:val="center"/>
                </w:tcPr>
                <w:p w14:paraId="53A492A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排放浓度（mg/m</w:t>
                  </w:r>
                  <w:r>
                    <w:rPr>
                      <w:rFonts w:hint="default" w:ascii="Times New Roman" w:hAnsi="Times New Roman" w:cs="Times New Roman"/>
                      <w:color w:val="0000FF"/>
                      <w:vertAlign w:val="superscript"/>
                      <w:lang w:val="en-US" w:eastAsia="zh-CN"/>
                    </w:rPr>
                    <w:t>3</w:t>
                  </w:r>
                  <w:r>
                    <w:rPr>
                      <w:rFonts w:hint="default" w:ascii="Times New Roman" w:hAnsi="Times New Roman" w:cs="Times New Roman"/>
                      <w:color w:val="0000FF"/>
                      <w:lang w:val="en-US" w:eastAsia="zh-CN"/>
                    </w:rPr>
                    <w:t>）</w:t>
                  </w:r>
                </w:p>
              </w:tc>
              <w:tc>
                <w:tcPr>
                  <w:tcW w:w="1138" w:type="dxa"/>
                  <w:vAlign w:val="center"/>
                </w:tcPr>
                <w:p w14:paraId="42CEE121">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单次持续时间（h）</w:t>
                  </w:r>
                </w:p>
              </w:tc>
              <w:tc>
                <w:tcPr>
                  <w:tcW w:w="1117" w:type="dxa"/>
                  <w:vAlign w:val="center"/>
                </w:tcPr>
                <w:p w14:paraId="7B177AD1">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预计发生频率</w:t>
                  </w:r>
                </w:p>
              </w:tc>
            </w:tr>
            <w:tr w14:paraId="08CFC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restart"/>
                  <w:vAlign w:val="center"/>
                </w:tcPr>
                <w:p w14:paraId="27F2623F">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焚烧废气</w:t>
                  </w:r>
                </w:p>
              </w:tc>
              <w:tc>
                <w:tcPr>
                  <w:tcW w:w="1117" w:type="dxa"/>
                  <w:vMerge w:val="restart"/>
                  <w:vAlign w:val="center"/>
                </w:tcPr>
                <w:p w14:paraId="2BEDDD4A">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废气处理设施故障</w:t>
                  </w:r>
                </w:p>
              </w:tc>
              <w:tc>
                <w:tcPr>
                  <w:tcW w:w="1117" w:type="dxa"/>
                  <w:shd w:val="clear" w:color="auto" w:fill="auto"/>
                  <w:vAlign w:val="center"/>
                </w:tcPr>
                <w:p w14:paraId="603B3315">
                  <w:pPr>
                    <w:jc w:val="center"/>
                    <w:rPr>
                      <w:rFonts w:hint="default" w:ascii="Times New Roman" w:hAnsi="Times New Roman" w:eastAsia="宋体" w:cs="Times New Roman"/>
                      <w:color w:val="0000FF"/>
                      <w:kern w:val="2"/>
                      <w:sz w:val="21"/>
                      <w:szCs w:val="18"/>
                      <w:highlight w:val="none"/>
                      <w:lang w:val="en-US" w:eastAsia="zh-CN" w:bidi="ar-SA"/>
                    </w:rPr>
                  </w:pPr>
                  <w:r>
                    <w:rPr>
                      <w:rFonts w:hint="default" w:ascii="Times New Roman" w:hAnsi="Times New Roman" w:eastAsia="宋体" w:cs="Times New Roman"/>
                      <w:color w:val="0000FF"/>
                      <w:sz w:val="21"/>
                      <w:szCs w:val="18"/>
                      <w:highlight w:val="none"/>
                      <w:lang w:val="en-US" w:eastAsia="zh-CN"/>
                    </w:rPr>
                    <w:t>颗粒物</w:t>
                  </w:r>
                </w:p>
              </w:tc>
              <w:tc>
                <w:tcPr>
                  <w:tcW w:w="1156" w:type="dxa"/>
                  <w:vAlign w:val="center"/>
                </w:tcPr>
                <w:p w14:paraId="1D4D4182">
                  <w:pPr>
                    <w:pStyle w:val="40"/>
                    <w:bidi w:val="0"/>
                    <w:rPr>
                      <w:rFonts w:hint="default"/>
                      <w:color w:val="0000FF"/>
                      <w:lang w:val="en-US" w:eastAsia="zh-CN"/>
                    </w:rPr>
                  </w:pPr>
                  <w:r>
                    <w:rPr>
                      <w:rFonts w:hint="eastAsia"/>
                      <w:color w:val="0000FF"/>
                      <w:lang w:val="en-US" w:eastAsia="zh-CN"/>
                    </w:rPr>
                    <w:t xml:space="preserve">0.084 </w:t>
                  </w:r>
                </w:p>
              </w:tc>
              <w:tc>
                <w:tcPr>
                  <w:tcW w:w="1334" w:type="dxa"/>
                  <w:vAlign w:val="center"/>
                </w:tcPr>
                <w:p w14:paraId="4AB8DC69">
                  <w:pPr>
                    <w:pStyle w:val="40"/>
                    <w:bidi w:val="0"/>
                    <w:rPr>
                      <w:rFonts w:hint="default"/>
                      <w:color w:val="0000FF"/>
                      <w:lang w:val="en-US" w:eastAsia="zh-CN"/>
                    </w:rPr>
                  </w:pPr>
                  <w:r>
                    <w:rPr>
                      <w:rFonts w:hint="eastAsia"/>
                      <w:color w:val="0000FF"/>
                      <w:lang w:val="en-US" w:eastAsia="zh-CN"/>
                    </w:rPr>
                    <w:t xml:space="preserve">41.94 </w:t>
                  </w:r>
                </w:p>
              </w:tc>
              <w:tc>
                <w:tcPr>
                  <w:tcW w:w="1138" w:type="dxa"/>
                  <w:vMerge w:val="restart"/>
                  <w:vAlign w:val="center"/>
                </w:tcPr>
                <w:p w14:paraId="18D77D8A">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c>
                <w:tcPr>
                  <w:tcW w:w="1117" w:type="dxa"/>
                  <w:vMerge w:val="restart"/>
                  <w:vAlign w:val="center"/>
                </w:tcPr>
                <w:p w14:paraId="38513644">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1次/年</w:t>
                  </w:r>
                </w:p>
              </w:tc>
            </w:tr>
            <w:tr w14:paraId="4A5B8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14:paraId="0F8DF36D">
                  <w:pPr>
                    <w:pStyle w:val="40"/>
                    <w:bidi w:val="0"/>
                    <w:jc w:val="center"/>
                    <w:rPr>
                      <w:rFonts w:hint="default" w:ascii="Times New Roman" w:hAnsi="Times New Roman" w:cs="Times New Roman"/>
                      <w:color w:val="0000FF"/>
                      <w:lang w:val="en-US" w:eastAsia="zh-CN"/>
                    </w:rPr>
                  </w:pPr>
                </w:p>
              </w:tc>
              <w:tc>
                <w:tcPr>
                  <w:tcW w:w="1117" w:type="dxa"/>
                  <w:vMerge w:val="continue"/>
                  <w:vAlign w:val="center"/>
                </w:tcPr>
                <w:p w14:paraId="40EB1BDF">
                  <w:pPr>
                    <w:pStyle w:val="40"/>
                    <w:bidi w:val="0"/>
                    <w:jc w:val="center"/>
                    <w:rPr>
                      <w:rFonts w:hint="default" w:ascii="Times New Roman" w:hAnsi="Times New Roman" w:cs="Times New Roman"/>
                      <w:color w:val="0000FF"/>
                      <w:lang w:val="en-US" w:eastAsia="zh-CN"/>
                    </w:rPr>
                  </w:pPr>
                </w:p>
              </w:tc>
              <w:tc>
                <w:tcPr>
                  <w:tcW w:w="1117" w:type="dxa"/>
                  <w:shd w:val="clear" w:color="auto" w:fill="auto"/>
                  <w:vAlign w:val="center"/>
                </w:tcPr>
                <w:p w14:paraId="614FCB13">
                  <w:pPr>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cs="Times New Roman"/>
                      <w:color w:val="0000FF"/>
                      <w:lang w:val="en-US" w:eastAsia="zh-CN"/>
                    </w:rPr>
                    <w:t>SO</w:t>
                  </w:r>
                  <w:r>
                    <w:rPr>
                      <w:rFonts w:hint="default" w:ascii="Times New Roman" w:hAnsi="Times New Roman" w:cs="Times New Roman"/>
                      <w:color w:val="0000FF"/>
                      <w:vertAlign w:val="subscript"/>
                      <w:lang w:val="en-US" w:eastAsia="zh-CN"/>
                    </w:rPr>
                    <w:t>2</w:t>
                  </w:r>
                </w:p>
              </w:tc>
              <w:tc>
                <w:tcPr>
                  <w:tcW w:w="1156" w:type="dxa"/>
                  <w:vAlign w:val="center"/>
                </w:tcPr>
                <w:p w14:paraId="072A53CF">
                  <w:pPr>
                    <w:pStyle w:val="40"/>
                    <w:bidi w:val="0"/>
                    <w:rPr>
                      <w:rFonts w:hint="default"/>
                      <w:color w:val="0000FF"/>
                      <w:lang w:val="en-US" w:eastAsia="zh-CN"/>
                    </w:rPr>
                  </w:pPr>
                  <w:r>
                    <w:rPr>
                      <w:rFonts w:hint="eastAsia"/>
                      <w:color w:val="0000FF"/>
                      <w:lang w:val="en-US" w:eastAsia="zh-CN"/>
                    </w:rPr>
                    <w:t xml:space="preserve">0.002 </w:t>
                  </w:r>
                </w:p>
              </w:tc>
              <w:tc>
                <w:tcPr>
                  <w:tcW w:w="1334" w:type="dxa"/>
                  <w:vAlign w:val="center"/>
                </w:tcPr>
                <w:p w14:paraId="783E011F">
                  <w:pPr>
                    <w:pStyle w:val="40"/>
                    <w:bidi w:val="0"/>
                    <w:rPr>
                      <w:rFonts w:hint="default"/>
                      <w:color w:val="0000FF"/>
                      <w:lang w:val="en-US" w:eastAsia="zh-CN"/>
                    </w:rPr>
                  </w:pPr>
                  <w:r>
                    <w:rPr>
                      <w:rFonts w:hint="eastAsia"/>
                      <w:color w:val="0000FF"/>
                      <w:lang w:val="en-US" w:eastAsia="zh-CN"/>
                    </w:rPr>
                    <w:t xml:space="preserve">0.86 </w:t>
                  </w:r>
                </w:p>
              </w:tc>
              <w:tc>
                <w:tcPr>
                  <w:tcW w:w="1138" w:type="dxa"/>
                  <w:vMerge w:val="continue"/>
                  <w:vAlign w:val="center"/>
                </w:tcPr>
                <w:p w14:paraId="7523C964">
                  <w:pPr>
                    <w:pStyle w:val="40"/>
                    <w:bidi w:val="0"/>
                    <w:jc w:val="center"/>
                    <w:rPr>
                      <w:rFonts w:hint="default" w:ascii="Times New Roman" w:hAnsi="Times New Roman" w:cs="Times New Roman"/>
                      <w:color w:val="0000FF"/>
                      <w:lang w:val="en-US" w:eastAsia="zh-CN"/>
                    </w:rPr>
                  </w:pPr>
                </w:p>
              </w:tc>
              <w:tc>
                <w:tcPr>
                  <w:tcW w:w="1117" w:type="dxa"/>
                  <w:vMerge w:val="continue"/>
                  <w:vAlign w:val="center"/>
                </w:tcPr>
                <w:p w14:paraId="6380455E">
                  <w:pPr>
                    <w:pStyle w:val="40"/>
                    <w:bidi w:val="0"/>
                    <w:jc w:val="center"/>
                    <w:rPr>
                      <w:rFonts w:hint="default" w:ascii="Times New Roman" w:hAnsi="Times New Roman" w:cs="Times New Roman"/>
                      <w:color w:val="0000FF"/>
                      <w:lang w:val="en-US" w:eastAsia="zh-CN"/>
                    </w:rPr>
                  </w:pPr>
                </w:p>
              </w:tc>
            </w:tr>
            <w:tr w14:paraId="2F49F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Merge w:val="continue"/>
                  <w:vAlign w:val="center"/>
                </w:tcPr>
                <w:p w14:paraId="20DB7FDC">
                  <w:pPr>
                    <w:pStyle w:val="40"/>
                    <w:bidi w:val="0"/>
                    <w:jc w:val="center"/>
                    <w:rPr>
                      <w:rFonts w:hint="default" w:ascii="Times New Roman" w:hAnsi="Times New Roman" w:cs="Times New Roman"/>
                      <w:color w:val="0000FF"/>
                      <w:lang w:val="en-US" w:eastAsia="zh-CN"/>
                    </w:rPr>
                  </w:pPr>
                </w:p>
              </w:tc>
              <w:tc>
                <w:tcPr>
                  <w:tcW w:w="1117" w:type="dxa"/>
                  <w:vMerge w:val="continue"/>
                  <w:vAlign w:val="center"/>
                </w:tcPr>
                <w:p w14:paraId="74E209A6">
                  <w:pPr>
                    <w:pStyle w:val="40"/>
                    <w:bidi w:val="0"/>
                    <w:jc w:val="center"/>
                    <w:rPr>
                      <w:rFonts w:hint="default" w:ascii="Times New Roman" w:hAnsi="Times New Roman" w:cs="Times New Roman"/>
                      <w:color w:val="0000FF"/>
                      <w:lang w:val="en-US" w:eastAsia="zh-CN"/>
                    </w:rPr>
                  </w:pPr>
                </w:p>
              </w:tc>
              <w:tc>
                <w:tcPr>
                  <w:tcW w:w="1117" w:type="dxa"/>
                  <w:shd w:val="clear" w:color="auto" w:fill="auto"/>
                  <w:vAlign w:val="center"/>
                </w:tcPr>
                <w:p w14:paraId="05DF1AB5">
                  <w:pPr>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cs="Times New Roman"/>
                      <w:color w:val="0000FF"/>
                      <w:lang w:val="en-US" w:eastAsia="zh-CN"/>
                    </w:rPr>
                    <w:t>NOx</w:t>
                  </w:r>
                </w:p>
              </w:tc>
              <w:tc>
                <w:tcPr>
                  <w:tcW w:w="1156" w:type="dxa"/>
                  <w:vAlign w:val="center"/>
                </w:tcPr>
                <w:p w14:paraId="2752E6D3">
                  <w:pPr>
                    <w:pStyle w:val="40"/>
                    <w:bidi w:val="0"/>
                    <w:rPr>
                      <w:rFonts w:hint="default"/>
                      <w:color w:val="0000FF"/>
                      <w:lang w:val="en-US" w:eastAsia="zh-CN"/>
                    </w:rPr>
                  </w:pPr>
                  <w:r>
                    <w:rPr>
                      <w:rFonts w:hint="eastAsia"/>
                      <w:color w:val="0000FF"/>
                      <w:lang w:val="en-US" w:eastAsia="zh-CN"/>
                    </w:rPr>
                    <w:t xml:space="preserve">0.015 </w:t>
                  </w:r>
                </w:p>
              </w:tc>
              <w:tc>
                <w:tcPr>
                  <w:tcW w:w="1334" w:type="dxa"/>
                  <w:vAlign w:val="center"/>
                </w:tcPr>
                <w:p w14:paraId="74553873">
                  <w:pPr>
                    <w:pStyle w:val="40"/>
                    <w:bidi w:val="0"/>
                    <w:rPr>
                      <w:rFonts w:hint="default"/>
                      <w:color w:val="0000FF"/>
                      <w:lang w:val="en-US" w:eastAsia="zh-CN"/>
                    </w:rPr>
                  </w:pPr>
                  <w:r>
                    <w:rPr>
                      <w:rFonts w:hint="eastAsia"/>
                      <w:color w:val="0000FF"/>
                      <w:lang w:val="en-US" w:eastAsia="zh-CN"/>
                    </w:rPr>
                    <w:t xml:space="preserve">7.45 </w:t>
                  </w:r>
                </w:p>
              </w:tc>
              <w:tc>
                <w:tcPr>
                  <w:tcW w:w="1138" w:type="dxa"/>
                  <w:vMerge w:val="continue"/>
                  <w:vAlign w:val="center"/>
                </w:tcPr>
                <w:p w14:paraId="1F20EEB5">
                  <w:pPr>
                    <w:pStyle w:val="40"/>
                    <w:bidi w:val="0"/>
                    <w:jc w:val="center"/>
                    <w:rPr>
                      <w:rFonts w:hint="default" w:ascii="Times New Roman" w:hAnsi="Times New Roman" w:cs="Times New Roman"/>
                      <w:color w:val="0000FF"/>
                      <w:lang w:val="en-US" w:eastAsia="zh-CN"/>
                    </w:rPr>
                  </w:pPr>
                </w:p>
              </w:tc>
              <w:tc>
                <w:tcPr>
                  <w:tcW w:w="1117" w:type="dxa"/>
                  <w:vMerge w:val="continue"/>
                  <w:vAlign w:val="center"/>
                </w:tcPr>
                <w:p w14:paraId="2FB5349F">
                  <w:pPr>
                    <w:pStyle w:val="40"/>
                    <w:bidi w:val="0"/>
                    <w:jc w:val="center"/>
                    <w:rPr>
                      <w:rFonts w:hint="default" w:ascii="Times New Roman" w:hAnsi="Times New Roman" w:cs="Times New Roman"/>
                      <w:color w:val="0000FF"/>
                      <w:lang w:val="en-US" w:eastAsia="zh-CN"/>
                    </w:rPr>
                  </w:pPr>
                </w:p>
              </w:tc>
            </w:tr>
            <w:tr w14:paraId="70F17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14:paraId="70099872">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抛丸废气</w:t>
                  </w:r>
                </w:p>
              </w:tc>
              <w:tc>
                <w:tcPr>
                  <w:tcW w:w="1117" w:type="dxa"/>
                  <w:vAlign w:val="center"/>
                </w:tcPr>
                <w:p w14:paraId="35B0C2D6">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废气处理设施故障</w:t>
                  </w:r>
                </w:p>
              </w:tc>
              <w:tc>
                <w:tcPr>
                  <w:tcW w:w="1117" w:type="dxa"/>
                  <w:vAlign w:val="center"/>
                </w:tcPr>
                <w:p w14:paraId="1117EE1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颗粒物</w:t>
                  </w:r>
                </w:p>
              </w:tc>
              <w:tc>
                <w:tcPr>
                  <w:tcW w:w="1156" w:type="dxa"/>
                  <w:vAlign w:val="center"/>
                </w:tcPr>
                <w:p w14:paraId="35C3C09B">
                  <w:pPr>
                    <w:pStyle w:val="40"/>
                    <w:bidi w:val="0"/>
                    <w:rPr>
                      <w:rFonts w:hint="default"/>
                      <w:color w:val="0000FF"/>
                      <w:lang w:val="en-US" w:eastAsia="zh-CN"/>
                    </w:rPr>
                  </w:pPr>
                  <w:r>
                    <w:rPr>
                      <w:rFonts w:hint="eastAsia"/>
                      <w:color w:val="0000FF"/>
                      <w:lang w:val="en-US" w:eastAsia="zh-CN"/>
                    </w:rPr>
                    <w:t xml:space="preserve">0.667 </w:t>
                  </w:r>
                </w:p>
              </w:tc>
              <w:tc>
                <w:tcPr>
                  <w:tcW w:w="1334" w:type="dxa"/>
                  <w:vAlign w:val="center"/>
                </w:tcPr>
                <w:p w14:paraId="7BAA34D5">
                  <w:pPr>
                    <w:pStyle w:val="40"/>
                    <w:bidi w:val="0"/>
                    <w:rPr>
                      <w:rFonts w:hint="default"/>
                      <w:color w:val="0000FF"/>
                      <w:lang w:val="en-US" w:eastAsia="zh-CN"/>
                    </w:rPr>
                  </w:pPr>
                  <w:r>
                    <w:rPr>
                      <w:rFonts w:hint="eastAsia"/>
                      <w:color w:val="0000FF"/>
                      <w:lang w:val="en-US" w:eastAsia="zh-CN"/>
                    </w:rPr>
                    <w:t xml:space="preserve">267.00 </w:t>
                  </w:r>
                </w:p>
              </w:tc>
              <w:tc>
                <w:tcPr>
                  <w:tcW w:w="1138" w:type="dxa"/>
                  <w:vAlign w:val="center"/>
                </w:tcPr>
                <w:p w14:paraId="09A9523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c>
                <w:tcPr>
                  <w:tcW w:w="1117" w:type="dxa"/>
                  <w:vAlign w:val="center"/>
                </w:tcPr>
                <w:p w14:paraId="3E39960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1次/年</w:t>
                  </w:r>
                </w:p>
              </w:tc>
            </w:tr>
            <w:tr w14:paraId="4C7C3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7" w:type="dxa"/>
                  <w:vAlign w:val="center"/>
                </w:tcPr>
                <w:p w14:paraId="71212BF1">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喷塑废气</w:t>
                  </w:r>
                </w:p>
              </w:tc>
              <w:tc>
                <w:tcPr>
                  <w:tcW w:w="1117" w:type="dxa"/>
                  <w:vAlign w:val="center"/>
                </w:tcPr>
                <w:p w14:paraId="717D74B1">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废气处理设施故障</w:t>
                  </w:r>
                </w:p>
              </w:tc>
              <w:tc>
                <w:tcPr>
                  <w:tcW w:w="1117" w:type="dxa"/>
                  <w:vAlign w:val="center"/>
                </w:tcPr>
                <w:p w14:paraId="00B7F0D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颗粒物</w:t>
                  </w:r>
                </w:p>
              </w:tc>
              <w:tc>
                <w:tcPr>
                  <w:tcW w:w="1156" w:type="dxa"/>
                  <w:vAlign w:val="center"/>
                </w:tcPr>
                <w:p w14:paraId="53C2619E">
                  <w:pPr>
                    <w:pStyle w:val="40"/>
                    <w:bidi w:val="0"/>
                    <w:rPr>
                      <w:rFonts w:hint="default"/>
                      <w:color w:val="0000FF"/>
                      <w:lang w:val="en-US" w:eastAsia="zh-CN"/>
                    </w:rPr>
                  </w:pPr>
                  <w:r>
                    <w:rPr>
                      <w:rFonts w:hint="eastAsia"/>
                      <w:color w:val="0000FF"/>
                      <w:lang w:val="en-US" w:eastAsia="zh-CN"/>
                    </w:rPr>
                    <w:t xml:space="preserve">0.596 </w:t>
                  </w:r>
                </w:p>
              </w:tc>
              <w:tc>
                <w:tcPr>
                  <w:tcW w:w="1334" w:type="dxa"/>
                  <w:vAlign w:val="center"/>
                </w:tcPr>
                <w:p w14:paraId="1C1BE65D">
                  <w:pPr>
                    <w:pStyle w:val="40"/>
                    <w:bidi w:val="0"/>
                    <w:rPr>
                      <w:rFonts w:hint="default"/>
                      <w:color w:val="0000FF"/>
                      <w:lang w:val="en-US" w:eastAsia="zh-CN"/>
                    </w:rPr>
                  </w:pPr>
                  <w:r>
                    <w:rPr>
                      <w:rFonts w:hint="eastAsia"/>
                      <w:color w:val="0000FF"/>
                      <w:lang w:val="en-US" w:eastAsia="zh-CN"/>
                    </w:rPr>
                    <w:t xml:space="preserve">297.80 </w:t>
                  </w:r>
                </w:p>
              </w:tc>
              <w:tc>
                <w:tcPr>
                  <w:tcW w:w="1138" w:type="dxa"/>
                  <w:vAlign w:val="center"/>
                </w:tcPr>
                <w:p w14:paraId="40C21866">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c>
                <w:tcPr>
                  <w:tcW w:w="1117" w:type="dxa"/>
                  <w:vAlign w:val="center"/>
                </w:tcPr>
                <w:p w14:paraId="1EAD5BD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1次/年</w:t>
                  </w:r>
                </w:p>
              </w:tc>
            </w:tr>
          </w:tbl>
          <w:p w14:paraId="5AF27016">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b w:val="0"/>
                <w:bCs w:val="0"/>
                <w:smallCaps w:val="0"/>
                <w:color w:val="auto"/>
                <w:spacing w:val="0"/>
                <w:kern w:val="2"/>
                <w:sz w:val="24"/>
                <w:szCs w:val="20"/>
                <w:highlight w:val="none"/>
                <w:lang w:val="en-US" w:eastAsia="zh-CN" w:bidi="ar-SA"/>
              </w:rPr>
            </w:pPr>
          </w:p>
          <w:p w14:paraId="738E447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smallCaps w:val="0"/>
                <w:color w:val="auto"/>
                <w:spacing w:val="0"/>
                <w:kern w:val="2"/>
                <w:sz w:val="24"/>
                <w:szCs w:val="20"/>
                <w:highlight w:val="none"/>
                <w:lang w:val="en-US" w:eastAsia="zh-CN" w:bidi="ar-SA"/>
              </w:rPr>
            </w:pPr>
            <w:r>
              <w:rPr>
                <w:rFonts w:hint="default" w:ascii="Times New Roman" w:hAnsi="Times New Roman" w:eastAsia="宋体" w:cs="Times New Roman"/>
                <w:b w:val="0"/>
                <w:bCs w:val="0"/>
                <w:smallCaps w:val="0"/>
                <w:color w:val="auto"/>
                <w:spacing w:val="0"/>
                <w:kern w:val="2"/>
                <w:sz w:val="24"/>
                <w:szCs w:val="20"/>
                <w:highlight w:val="none"/>
                <w:lang w:val="en-US" w:eastAsia="zh-CN" w:bidi="ar-SA"/>
              </w:rPr>
              <w:t>应对措施：项目开停车、设备检修、工艺设备运转异常时，与环保处理装置联动，做到处理装置提前开启延后关闭，确保不会出现因开停车、设备检修、工艺设备运转故障导致污染物非正常排放;废气处理设备检修期间应停止生产；加强各废气处理设施中风机等的维护保养，及时发现处理设备的隐患，制定日常检查方案并专人负责，确保设备正常、稳定运转;建立环保设备台账记录制度，安排专人对各环保设备的运行情况和检测维修情况进行记录，确保废气处理系统正常运行</w:t>
            </w:r>
            <w:r>
              <w:rPr>
                <w:rFonts w:hint="eastAsia" w:cs="Times New Roman"/>
                <w:b w:val="0"/>
                <w:bCs w:val="0"/>
                <w:smallCaps w:val="0"/>
                <w:color w:val="auto"/>
                <w:spacing w:val="0"/>
                <w:kern w:val="2"/>
                <w:sz w:val="24"/>
                <w:szCs w:val="20"/>
                <w:highlight w:val="none"/>
                <w:lang w:val="en-US" w:eastAsia="zh-CN" w:bidi="ar-SA"/>
              </w:rPr>
              <w:t>，</w:t>
            </w:r>
            <w:r>
              <w:rPr>
                <w:rFonts w:hint="default" w:ascii="Times New Roman" w:hAnsi="Times New Roman" w:eastAsia="宋体" w:cs="Times New Roman"/>
                <w:b w:val="0"/>
                <w:bCs w:val="0"/>
                <w:smallCaps w:val="0"/>
                <w:color w:val="auto"/>
                <w:spacing w:val="0"/>
                <w:kern w:val="2"/>
                <w:sz w:val="24"/>
                <w:szCs w:val="20"/>
                <w:highlight w:val="none"/>
                <w:lang w:val="en-US" w:eastAsia="zh-CN" w:bidi="ar-SA"/>
              </w:rPr>
              <w:t>废气排放达标:废气净化设备故障等非正常工况发生时应停止产污工序，待检维修后再恢。</w:t>
            </w:r>
          </w:p>
          <w:p w14:paraId="1AC457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smallCaps w:val="0"/>
                <w:color w:val="auto"/>
                <w:spacing w:val="0"/>
                <w:kern w:val="2"/>
                <w:sz w:val="24"/>
                <w:szCs w:val="20"/>
                <w:highlight w:val="none"/>
                <w:lang w:val="en-US" w:eastAsia="zh-CN" w:bidi="ar-SA"/>
              </w:rPr>
            </w:pPr>
            <w:r>
              <w:rPr>
                <w:rFonts w:hint="default" w:ascii="Times New Roman" w:hAnsi="Times New Roman" w:eastAsia="宋体" w:cs="Times New Roman"/>
                <w:b w:val="0"/>
                <w:bCs w:val="0"/>
                <w:smallCaps w:val="0"/>
                <w:color w:val="auto"/>
                <w:spacing w:val="0"/>
                <w:kern w:val="2"/>
                <w:sz w:val="24"/>
                <w:szCs w:val="20"/>
                <w:highlight w:val="none"/>
                <w:lang w:val="en-US" w:eastAsia="zh-CN" w:bidi="ar-SA"/>
              </w:rPr>
              <w:t>根据工程分析，结合本项目污染物各环节的产生情况及对环境的影响情况，本项目非正常工况下主要考虑储罐发生泄漏下的环境影响，具体见环境风险专章。</w:t>
            </w:r>
            <w:r>
              <w:rPr>
                <w:rFonts w:hint="default" w:ascii="Times New Roman" w:hAnsi="Times New Roman" w:eastAsia="宋体" w:cs="Times New Roman"/>
                <w:color w:val="auto"/>
                <w:spacing w:val="16"/>
                <w:kern w:val="2"/>
                <w:sz w:val="24"/>
                <w:szCs w:val="20"/>
                <w:highlight w:val="none"/>
                <w:lang w:val="en-US" w:eastAsia="zh-CN" w:bidi="ar-SA"/>
              </w:rPr>
              <w:t>根据环境风险专项评价可知通过采取环评建议的措施，项目在建成后将能有效地防止泄漏、火灾、爆炸等事故的发生，一旦发生事故，依靠厂区内的安全防护设施和事故应急措施也能及时控制事故，防止事故的蔓延。因此，建设项目环境风险在措施落实的情况下，项目环境风险在可控范围内。</w:t>
            </w:r>
          </w:p>
          <w:p w14:paraId="2109EB45">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6.4废气监测计划</w:t>
            </w:r>
          </w:p>
          <w:p w14:paraId="0A3E7837">
            <w:pPr>
              <w:keepNext w:val="0"/>
              <w:keepLines w:val="0"/>
              <w:pageBreakBefore w:val="0"/>
              <w:widowControl w:val="0"/>
              <w:suppressAutoHyphens/>
              <w:kinsoku/>
              <w:wordWrap/>
              <w:overflowPunct/>
              <w:topLinePunct w:val="0"/>
              <w:autoSpaceDE w:val="0"/>
              <w:autoSpaceDN w:val="0"/>
              <w:bidi w:val="0"/>
              <w:adjustRightInd/>
              <w:snapToGrid w:val="0"/>
              <w:spacing w:line="360" w:lineRule="auto"/>
              <w:ind w:left="0" w:leftChars="0" w:rightChars="0" w:firstLine="480" w:firstLineChars="200"/>
              <w:jc w:val="left"/>
              <w:textAlignment w:val="auto"/>
              <w:rPr>
                <w:rFonts w:hint="default" w:ascii="Times New Roman" w:hAnsi="Times New Roman" w:eastAsia="宋体" w:cs="Times New Roman"/>
                <w:bCs/>
                <w:color w:val="auto"/>
                <w:kern w:val="0"/>
                <w:sz w:val="24"/>
                <w:szCs w:val="21"/>
                <w:lang w:val="en-US" w:eastAsia="zh-CN" w:bidi="ar-SA"/>
              </w:rPr>
            </w:pPr>
            <w:r>
              <w:rPr>
                <w:rFonts w:hint="default" w:ascii="Times New Roman" w:hAnsi="Times New Roman" w:eastAsia="宋体" w:cs="Times New Roman"/>
                <w:bCs/>
                <w:color w:val="auto"/>
                <w:kern w:val="0"/>
                <w:sz w:val="24"/>
                <w:szCs w:val="21"/>
                <w:lang w:val="en-US" w:eastAsia="zh-CN" w:bidi="ar-SA"/>
              </w:rPr>
              <w:t>根据《排污单位自行监测技术指南 总则》（HJ819-2017），本项目营运期的废气污染源监测计划如下表所示。</w:t>
            </w:r>
          </w:p>
          <w:p w14:paraId="3DBDC73E">
            <w:pPr>
              <w:keepNext w:val="0"/>
              <w:keepLines w:val="0"/>
              <w:pageBreakBefore w:val="0"/>
              <w:widowControl w:val="0"/>
              <w:kinsoku/>
              <w:wordWrap/>
              <w:overflowPunct/>
              <w:topLinePunct w:val="0"/>
              <w:autoSpaceDE w:val="0"/>
              <w:autoSpaceDN w:val="0"/>
              <w:bidi w:val="0"/>
              <w:adjustRightInd/>
              <w:snapToGrid/>
              <w:spacing w:line="360" w:lineRule="auto"/>
              <w:ind w:firstLine="474" w:firstLineChars="225"/>
              <w:jc w:val="center"/>
              <w:textAlignment w:val="auto"/>
              <w:rPr>
                <w:rFonts w:hint="default" w:ascii="Times New Roman" w:hAnsi="Times New Roman" w:eastAsia="宋体" w:cs="Times New Roman"/>
                <w:b/>
                <w:color w:val="0000FF"/>
                <w:sz w:val="21"/>
                <w:szCs w:val="21"/>
                <w:lang w:val="en-US" w:eastAsia="zh-CN"/>
              </w:rPr>
            </w:pPr>
            <w:r>
              <w:rPr>
                <w:rFonts w:hint="default" w:ascii="Times New Roman" w:hAnsi="Times New Roman" w:eastAsia="宋体" w:cs="Times New Roman"/>
                <w:b/>
                <w:color w:val="0000FF"/>
                <w:sz w:val="21"/>
                <w:szCs w:val="21"/>
                <w:lang w:val="en-US" w:eastAsia="zh-CN"/>
              </w:rPr>
              <w:t>表4.6-13     废气监测计划表</w:t>
            </w:r>
          </w:p>
          <w:tbl>
            <w:tblPr>
              <w:tblStyle w:val="3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3"/>
              <w:gridCol w:w="948"/>
              <w:gridCol w:w="1416"/>
              <w:gridCol w:w="1115"/>
              <w:gridCol w:w="1043"/>
              <w:gridCol w:w="2461"/>
            </w:tblGrid>
            <w:tr w14:paraId="48753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noWrap w:val="0"/>
                  <w:vAlign w:val="center"/>
                </w:tcPr>
                <w:p w14:paraId="27B539A3">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要素</w:t>
                  </w:r>
                </w:p>
              </w:tc>
              <w:tc>
                <w:tcPr>
                  <w:tcW w:w="585" w:type="pct"/>
                  <w:noWrap w:val="0"/>
                  <w:vAlign w:val="center"/>
                </w:tcPr>
                <w:p w14:paraId="6958C19C">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污染源</w:t>
                  </w:r>
                </w:p>
              </w:tc>
              <w:tc>
                <w:tcPr>
                  <w:tcW w:w="874" w:type="pct"/>
                  <w:noWrap w:val="0"/>
                  <w:vAlign w:val="center"/>
                </w:tcPr>
                <w:p w14:paraId="6EBC7143">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监测点位</w:t>
                  </w:r>
                </w:p>
              </w:tc>
              <w:tc>
                <w:tcPr>
                  <w:tcW w:w="688" w:type="pct"/>
                  <w:noWrap w:val="0"/>
                  <w:vAlign w:val="center"/>
                </w:tcPr>
                <w:p w14:paraId="325F2318">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监测指标</w:t>
                  </w:r>
                </w:p>
              </w:tc>
              <w:tc>
                <w:tcPr>
                  <w:tcW w:w="644" w:type="pct"/>
                  <w:noWrap w:val="0"/>
                  <w:vAlign w:val="center"/>
                </w:tcPr>
                <w:p w14:paraId="32C9357E">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监测频次</w:t>
                  </w:r>
                </w:p>
              </w:tc>
              <w:tc>
                <w:tcPr>
                  <w:tcW w:w="1519" w:type="pct"/>
                  <w:noWrap w:val="0"/>
                  <w:vAlign w:val="center"/>
                </w:tcPr>
                <w:p w14:paraId="22FC5F8E">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执行标准</w:t>
                  </w:r>
                </w:p>
              </w:tc>
            </w:tr>
            <w:tr w14:paraId="7E539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restart"/>
                  <w:noWrap w:val="0"/>
                  <w:vAlign w:val="center"/>
                </w:tcPr>
                <w:p w14:paraId="128E74D9">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有组织废气</w:t>
                  </w:r>
                </w:p>
              </w:tc>
              <w:tc>
                <w:tcPr>
                  <w:tcW w:w="585" w:type="pct"/>
                  <w:vMerge w:val="restart"/>
                  <w:noWrap w:val="0"/>
                  <w:vAlign w:val="center"/>
                </w:tcPr>
                <w:p w14:paraId="061AD0C9">
                  <w:pPr>
                    <w:widowControl w:val="0"/>
                    <w:overflowPunct w:val="0"/>
                    <w:topLinePunct/>
                    <w:bidi w:val="0"/>
                    <w:spacing w:line="240" w:lineRule="auto"/>
                    <w:ind w:firstLine="0" w:firstLineChars="0"/>
                    <w:jc w:val="center"/>
                    <w:rPr>
                      <w:rFonts w:hint="eastAsia" w:cs="Times New Roman"/>
                      <w:color w:val="0000FF"/>
                      <w:kern w:val="2"/>
                      <w:sz w:val="21"/>
                      <w:szCs w:val="21"/>
                      <w:lang w:val="en-US" w:eastAsia="zh-CN" w:bidi="ar-SA"/>
                    </w:rPr>
                  </w:pPr>
                  <w:r>
                    <w:rPr>
                      <w:rFonts w:hint="eastAsia" w:cs="Times New Roman"/>
                      <w:color w:val="0000FF"/>
                      <w:kern w:val="2"/>
                      <w:sz w:val="21"/>
                      <w:szCs w:val="21"/>
                      <w:lang w:val="en-US" w:eastAsia="zh-CN" w:bidi="ar-SA"/>
                    </w:rPr>
                    <w:t>气瓶检验站废气</w:t>
                  </w:r>
                </w:p>
                <w:p w14:paraId="55AD8BF6">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kern w:val="2"/>
                      <w:sz w:val="21"/>
                      <w:szCs w:val="21"/>
                      <w:lang w:val="en-US" w:eastAsia="zh-CN" w:bidi="ar-SA"/>
                    </w:rPr>
                    <w:t>（</w:t>
                  </w:r>
                  <w:r>
                    <w:rPr>
                      <w:rFonts w:hint="default" w:ascii="Times New Roman" w:hAnsi="Times New Roman" w:eastAsia="宋体" w:cs="Times New Roman"/>
                      <w:color w:val="0000FF"/>
                      <w:kern w:val="2"/>
                      <w:sz w:val="21"/>
                      <w:szCs w:val="21"/>
                      <w:lang w:val="en-US" w:eastAsia="zh-CN" w:bidi="ar-SA"/>
                    </w:rPr>
                    <w:t>焚烧废气</w:t>
                  </w:r>
                  <w:r>
                    <w:rPr>
                      <w:rFonts w:hint="eastAsia" w:cs="Times New Roman"/>
                      <w:color w:val="0000FF"/>
                      <w:kern w:val="2"/>
                      <w:sz w:val="21"/>
                      <w:szCs w:val="21"/>
                      <w:lang w:val="en-US" w:eastAsia="zh-CN" w:bidi="ar-SA"/>
                    </w:rPr>
                    <w:t>、</w:t>
                  </w:r>
                  <w:r>
                    <w:rPr>
                      <w:rFonts w:hint="default" w:ascii="Times New Roman" w:hAnsi="Times New Roman" w:eastAsia="宋体" w:cs="Times New Roman"/>
                      <w:color w:val="0000FF"/>
                      <w:kern w:val="2"/>
                      <w:sz w:val="21"/>
                      <w:szCs w:val="21"/>
                      <w:lang w:val="en-US" w:eastAsia="zh-CN" w:bidi="ar-SA"/>
                    </w:rPr>
                    <w:t>抛丸废气</w:t>
                  </w:r>
                  <w:r>
                    <w:rPr>
                      <w:rFonts w:hint="eastAsia" w:ascii="Times New Roman" w:hAnsi="Times New Roman" w:eastAsia="宋体" w:cs="Times New Roman"/>
                      <w:color w:val="0000FF"/>
                      <w:kern w:val="2"/>
                      <w:sz w:val="21"/>
                      <w:szCs w:val="21"/>
                      <w:lang w:val="en-US" w:eastAsia="zh-CN" w:bidi="ar-SA"/>
                    </w:rPr>
                    <w:t>、</w:t>
                  </w:r>
                </w:p>
                <w:p w14:paraId="7FE7B586">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喷塑废气</w:t>
                  </w:r>
                  <w:r>
                    <w:rPr>
                      <w:rFonts w:hint="eastAsia" w:ascii="Times New Roman" w:hAnsi="Times New Roman" w:eastAsia="宋体" w:cs="Times New Roman"/>
                      <w:color w:val="0000FF"/>
                      <w:kern w:val="2"/>
                      <w:sz w:val="21"/>
                      <w:szCs w:val="21"/>
                      <w:lang w:val="en-US" w:eastAsia="zh-CN" w:bidi="ar-SA"/>
                    </w:rPr>
                    <w:t>、</w:t>
                  </w:r>
                </w:p>
                <w:p w14:paraId="313DC015">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kern w:val="2"/>
                      <w:sz w:val="21"/>
                      <w:szCs w:val="21"/>
                      <w:lang w:val="en-US" w:eastAsia="zh-CN" w:bidi="ar-SA"/>
                    </w:rPr>
                    <w:t>固化/丝印废气</w:t>
                  </w:r>
                  <w:r>
                    <w:rPr>
                      <w:rFonts w:hint="eastAsia" w:cs="Times New Roman"/>
                      <w:color w:val="0000FF"/>
                      <w:kern w:val="2"/>
                      <w:sz w:val="21"/>
                      <w:szCs w:val="21"/>
                      <w:lang w:val="en-US" w:eastAsia="zh-CN" w:bidi="ar-SA"/>
                    </w:rPr>
                    <w:t>）</w:t>
                  </w:r>
                </w:p>
              </w:tc>
              <w:tc>
                <w:tcPr>
                  <w:tcW w:w="874" w:type="pct"/>
                  <w:vMerge w:val="restart"/>
                  <w:noWrap w:val="0"/>
                  <w:vAlign w:val="center"/>
                </w:tcPr>
                <w:p w14:paraId="3CB95A87">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kern w:val="2"/>
                      <w:sz w:val="21"/>
                      <w:szCs w:val="21"/>
                      <w:lang w:val="en-US" w:eastAsia="zh-CN" w:bidi="ar-SA"/>
                    </w:rPr>
                    <w:t>气瓶检验站废气</w:t>
                  </w:r>
                  <w:r>
                    <w:rPr>
                      <w:rFonts w:hint="default" w:ascii="Times New Roman" w:hAnsi="Times New Roman" w:eastAsia="宋体" w:cs="Times New Roman"/>
                      <w:color w:val="0000FF"/>
                      <w:kern w:val="2"/>
                      <w:sz w:val="21"/>
                      <w:szCs w:val="21"/>
                      <w:lang w:val="en-US" w:eastAsia="zh-CN" w:bidi="ar-SA"/>
                    </w:rPr>
                    <w:t>排放口DA001</w:t>
                  </w:r>
                </w:p>
              </w:tc>
              <w:tc>
                <w:tcPr>
                  <w:tcW w:w="688" w:type="pct"/>
                  <w:noWrap w:val="0"/>
                  <w:vAlign w:val="center"/>
                </w:tcPr>
                <w:p w14:paraId="47D85616">
                  <w:pPr>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sz w:val="21"/>
                      <w:szCs w:val="18"/>
                      <w:highlight w:val="none"/>
                      <w:lang w:val="en-US" w:eastAsia="zh-CN"/>
                    </w:rPr>
                    <w:t>颗粒物</w:t>
                  </w:r>
                </w:p>
              </w:tc>
              <w:tc>
                <w:tcPr>
                  <w:tcW w:w="644" w:type="pct"/>
                  <w:vMerge w:val="restart"/>
                  <w:noWrap w:val="0"/>
                  <w:vAlign w:val="center"/>
                </w:tcPr>
                <w:p w14:paraId="16539398">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1次/年</w:t>
                  </w:r>
                </w:p>
              </w:tc>
              <w:tc>
                <w:tcPr>
                  <w:tcW w:w="1519" w:type="pct"/>
                  <w:vMerge w:val="restart"/>
                  <w:noWrap w:val="0"/>
                  <w:vAlign w:val="center"/>
                </w:tcPr>
                <w:p w14:paraId="23F54B5A">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bCs w:val="0"/>
                      <w:color w:val="0000FF"/>
                      <w:kern w:val="2"/>
                      <w:sz w:val="21"/>
                      <w:szCs w:val="21"/>
                      <w:highlight w:val="none"/>
                      <w:vertAlign w:val="baseline"/>
                      <w:lang w:val="en-US" w:eastAsia="zh-CN" w:bidi="ar-SA"/>
                    </w:rPr>
                    <w:t>《大气污染物综合排放标准》（GB16297-1996）</w:t>
                  </w:r>
                </w:p>
              </w:tc>
            </w:tr>
            <w:tr w14:paraId="65D0C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noWrap w:val="0"/>
                  <w:vAlign w:val="center"/>
                </w:tcPr>
                <w:p w14:paraId="54F35330">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585" w:type="pct"/>
                  <w:vMerge w:val="continue"/>
                  <w:noWrap w:val="0"/>
                  <w:vAlign w:val="center"/>
                </w:tcPr>
                <w:p w14:paraId="1F1B91A8">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874" w:type="pct"/>
                  <w:vMerge w:val="continue"/>
                  <w:noWrap w:val="0"/>
                  <w:vAlign w:val="center"/>
                </w:tcPr>
                <w:p w14:paraId="75132D82">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688" w:type="pct"/>
                  <w:noWrap w:val="0"/>
                  <w:vAlign w:val="center"/>
                </w:tcPr>
                <w:p w14:paraId="100D9408">
                  <w:pPr>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SO</w:t>
                  </w:r>
                  <w:r>
                    <w:rPr>
                      <w:rFonts w:hint="default" w:ascii="Times New Roman" w:hAnsi="Times New Roman" w:cs="Times New Roman"/>
                      <w:color w:val="0000FF"/>
                      <w:vertAlign w:val="subscript"/>
                      <w:lang w:val="en-US" w:eastAsia="zh-CN"/>
                    </w:rPr>
                    <w:t>2</w:t>
                  </w:r>
                </w:p>
              </w:tc>
              <w:tc>
                <w:tcPr>
                  <w:tcW w:w="644" w:type="pct"/>
                  <w:vMerge w:val="continue"/>
                  <w:noWrap w:val="0"/>
                  <w:vAlign w:val="center"/>
                </w:tcPr>
                <w:p w14:paraId="27710F77">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1519" w:type="pct"/>
                  <w:vMerge w:val="continue"/>
                  <w:noWrap w:val="0"/>
                  <w:vAlign w:val="center"/>
                </w:tcPr>
                <w:p w14:paraId="1A9A2365">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r>
            <w:tr w14:paraId="506CD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noWrap w:val="0"/>
                  <w:vAlign w:val="center"/>
                </w:tcPr>
                <w:p w14:paraId="1187A759">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585" w:type="pct"/>
                  <w:vMerge w:val="continue"/>
                  <w:noWrap w:val="0"/>
                  <w:vAlign w:val="center"/>
                </w:tcPr>
                <w:p w14:paraId="6E173C34">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874" w:type="pct"/>
                  <w:vMerge w:val="continue"/>
                  <w:noWrap w:val="0"/>
                  <w:vAlign w:val="center"/>
                </w:tcPr>
                <w:p w14:paraId="37F72326">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688" w:type="pct"/>
                  <w:noWrap w:val="0"/>
                  <w:vAlign w:val="center"/>
                </w:tcPr>
                <w:p w14:paraId="42DEEF8A">
                  <w:pPr>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NOx</w:t>
                  </w:r>
                </w:p>
              </w:tc>
              <w:tc>
                <w:tcPr>
                  <w:tcW w:w="644" w:type="pct"/>
                  <w:vMerge w:val="continue"/>
                  <w:noWrap w:val="0"/>
                  <w:vAlign w:val="center"/>
                </w:tcPr>
                <w:p w14:paraId="7EEB2A57">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1519" w:type="pct"/>
                  <w:vMerge w:val="continue"/>
                  <w:noWrap w:val="0"/>
                  <w:vAlign w:val="center"/>
                </w:tcPr>
                <w:p w14:paraId="6A96E7EF">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r>
            <w:tr w14:paraId="7C264A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noWrap w:val="0"/>
                  <w:vAlign w:val="center"/>
                </w:tcPr>
                <w:p w14:paraId="77F67389">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585" w:type="pct"/>
                  <w:vMerge w:val="continue"/>
                  <w:noWrap w:val="0"/>
                  <w:vAlign w:val="center"/>
                </w:tcPr>
                <w:p w14:paraId="6FF2167C">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874" w:type="pct"/>
                  <w:vMerge w:val="continue"/>
                  <w:shd w:val="clear" w:color="auto" w:fill="auto"/>
                  <w:noWrap w:val="0"/>
                  <w:vAlign w:val="center"/>
                </w:tcPr>
                <w:p w14:paraId="480410B3">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688" w:type="pct"/>
                  <w:shd w:val="clear" w:color="auto" w:fill="auto"/>
                  <w:noWrap w:val="0"/>
                  <w:vAlign w:val="center"/>
                </w:tcPr>
                <w:p w14:paraId="144F7CF4">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SA"/>
                    </w:rPr>
                  </w:pPr>
                  <w:r>
                    <w:rPr>
                      <w:rFonts w:hint="default" w:ascii="Times New Roman" w:hAnsi="Times New Roman" w:eastAsia="宋体" w:cs="Times New Roman"/>
                      <w:color w:val="0000FF"/>
                      <w:kern w:val="0"/>
                      <w:sz w:val="21"/>
                      <w:szCs w:val="21"/>
                      <w:vertAlign w:val="baseline"/>
                      <w:lang w:val="en-US" w:eastAsia="zh-CN" w:bidi="ar-SA"/>
                    </w:rPr>
                    <w:t>烟气黑度（林格曼级）</w:t>
                  </w:r>
                </w:p>
              </w:tc>
              <w:tc>
                <w:tcPr>
                  <w:tcW w:w="644" w:type="pct"/>
                  <w:shd w:val="clear" w:color="auto" w:fill="auto"/>
                  <w:noWrap w:val="0"/>
                  <w:vAlign w:val="center"/>
                </w:tcPr>
                <w:p w14:paraId="7F985387">
                  <w:pPr>
                    <w:pStyle w:val="77"/>
                    <w:keepNext w:val="0"/>
                    <w:keepLines w:val="0"/>
                    <w:pageBreakBefore w:val="0"/>
                    <w:widowControl w:val="0"/>
                    <w:numPr>
                      <w:ilvl w:val="0"/>
                      <w:numId w:val="0"/>
                    </w:numPr>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FF"/>
                      <w:kern w:val="0"/>
                      <w:sz w:val="21"/>
                      <w:szCs w:val="21"/>
                      <w:vertAlign w:val="baseline"/>
                      <w:lang w:val="en-US" w:eastAsia="zh-CN" w:bidi="ar-SA"/>
                    </w:rPr>
                  </w:pPr>
                  <w:r>
                    <w:rPr>
                      <w:rFonts w:hint="default" w:ascii="Times New Roman" w:hAnsi="Times New Roman" w:eastAsia="宋体" w:cs="Times New Roman"/>
                      <w:color w:val="0000FF"/>
                      <w:kern w:val="2"/>
                      <w:sz w:val="21"/>
                      <w:szCs w:val="21"/>
                      <w:lang w:val="en-US" w:eastAsia="zh-CN" w:bidi="ar-SA"/>
                    </w:rPr>
                    <w:t>1次/年</w:t>
                  </w:r>
                </w:p>
              </w:tc>
              <w:tc>
                <w:tcPr>
                  <w:tcW w:w="1519" w:type="pct"/>
                  <w:shd w:val="clear" w:color="auto" w:fill="auto"/>
                  <w:noWrap w:val="0"/>
                  <w:vAlign w:val="center"/>
                </w:tcPr>
                <w:p w14:paraId="3DADAE30">
                  <w:pPr>
                    <w:widowControl w:val="0"/>
                    <w:overflowPunct w:val="0"/>
                    <w:topLinePunct/>
                    <w:bidi w:val="0"/>
                    <w:spacing w:line="240" w:lineRule="auto"/>
                    <w:ind w:firstLine="0" w:firstLineChars="0"/>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cs="Times New Roman"/>
                      <w:color w:val="0000FF"/>
                      <w:kern w:val="0"/>
                      <w:sz w:val="21"/>
                      <w:szCs w:val="21"/>
                      <w:vertAlign w:val="baseline"/>
                      <w:lang w:val="en-US" w:eastAsia="zh-CN"/>
                    </w:rPr>
                    <w:t>《工业炉窑大气污染物排放标准》（GB9078-1996）</w:t>
                  </w:r>
                  <w:r>
                    <w:rPr>
                      <w:rFonts w:hint="eastAsia" w:cs="Times New Roman"/>
                      <w:color w:val="0000FF"/>
                      <w:kern w:val="0"/>
                      <w:sz w:val="21"/>
                      <w:szCs w:val="21"/>
                      <w:vertAlign w:val="baseline"/>
                      <w:lang w:val="en-US" w:eastAsia="zh-CN"/>
                    </w:rPr>
                    <w:t>（其他炉窑）</w:t>
                  </w:r>
                </w:p>
              </w:tc>
            </w:tr>
            <w:tr w14:paraId="4C6AE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noWrap w:val="0"/>
                  <w:vAlign w:val="center"/>
                </w:tcPr>
                <w:p w14:paraId="775C9B7C">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585" w:type="pct"/>
                  <w:vMerge w:val="continue"/>
                  <w:noWrap w:val="0"/>
                  <w:vAlign w:val="center"/>
                </w:tcPr>
                <w:p w14:paraId="0689C48A">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874" w:type="pct"/>
                  <w:vMerge w:val="continue"/>
                  <w:shd w:val="clear" w:color="auto" w:fill="auto"/>
                  <w:noWrap w:val="0"/>
                  <w:vAlign w:val="center"/>
                </w:tcPr>
                <w:p w14:paraId="1BFAAC86">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688" w:type="pct"/>
                  <w:shd w:val="clear" w:color="auto" w:fill="auto"/>
                  <w:noWrap w:val="0"/>
                  <w:vAlign w:val="center"/>
                </w:tcPr>
                <w:p w14:paraId="2898B18D">
                  <w:pPr>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非甲烷总烃</w:t>
                  </w:r>
                </w:p>
              </w:tc>
              <w:tc>
                <w:tcPr>
                  <w:tcW w:w="644" w:type="pct"/>
                  <w:shd w:val="clear" w:color="auto" w:fill="auto"/>
                  <w:noWrap w:val="0"/>
                  <w:vAlign w:val="center"/>
                </w:tcPr>
                <w:p w14:paraId="6889F685">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1次/年</w:t>
                  </w:r>
                </w:p>
              </w:tc>
              <w:tc>
                <w:tcPr>
                  <w:tcW w:w="1519" w:type="pct"/>
                  <w:shd w:val="clear" w:color="auto" w:fill="auto"/>
                  <w:noWrap w:val="0"/>
                  <w:vAlign w:val="center"/>
                </w:tcPr>
                <w:p w14:paraId="26515406">
                  <w:pPr>
                    <w:widowControl w:val="0"/>
                    <w:overflowPunct w:val="0"/>
                    <w:topLinePunct/>
                    <w:bidi w:val="0"/>
                    <w:spacing w:line="240" w:lineRule="auto"/>
                    <w:ind w:firstLine="0" w:firstLineChars="0"/>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eastAsia="宋体" w:cs="Times New Roman"/>
                      <w:b w:val="0"/>
                      <w:bCs w:val="0"/>
                      <w:color w:val="0000FF"/>
                      <w:kern w:val="2"/>
                      <w:sz w:val="21"/>
                      <w:szCs w:val="21"/>
                      <w:highlight w:val="none"/>
                      <w:vertAlign w:val="baseline"/>
                      <w:lang w:val="en-US" w:eastAsia="zh-CN" w:bidi="ar-SA"/>
                    </w:rPr>
                    <w:t>《印刷工业大气污染物排放标准》（GB41616-2022）</w:t>
                  </w:r>
                </w:p>
              </w:tc>
            </w:tr>
            <w:tr w14:paraId="6B216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restart"/>
                  <w:noWrap w:val="0"/>
                  <w:vAlign w:val="center"/>
                </w:tcPr>
                <w:p w14:paraId="7CC9C573">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无组织废气</w:t>
                  </w:r>
                </w:p>
              </w:tc>
              <w:tc>
                <w:tcPr>
                  <w:tcW w:w="585" w:type="pct"/>
                  <w:vMerge w:val="restart"/>
                  <w:noWrap w:val="0"/>
                  <w:vAlign w:val="center"/>
                </w:tcPr>
                <w:p w14:paraId="43DE9A63">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w:t>
                  </w:r>
                </w:p>
              </w:tc>
              <w:tc>
                <w:tcPr>
                  <w:tcW w:w="874" w:type="pct"/>
                  <w:vMerge w:val="restart"/>
                  <w:noWrap w:val="0"/>
                  <w:vAlign w:val="center"/>
                </w:tcPr>
                <w:p w14:paraId="385DF0F5">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厂界4个（上风向1个，下风向3个）</w:t>
                  </w:r>
                </w:p>
              </w:tc>
              <w:tc>
                <w:tcPr>
                  <w:tcW w:w="688" w:type="pct"/>
                  <w:noWrap w:val="0"/>
                  <w:vAlign w:val="center"/>
                </w:tcPr>
                <w:p w14:paraId="7EB0C1AB">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非甲烷总烃</w:t>
                  </w:r>
                </w:p>
              </w:tc>
              <w:tc>
                <w:tcPr>
                  <w:tcW w:w="644" w:type="pct"/>
                  <w:vMerge w:val="restart"/>
                  <w:noWrap w:val="0"/>
                  <w:vAlign w:val="center"/>
                </w:tcPr>
                <w:p w14:paraId="0635ED32">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1次/年</w:t>
                  </w:r>
                </w:p>
              </w:tc>
              <w:tc>
                <w:tcPr>
                  <w:tcW w:w="1519" w:type="pct"/>
                  <w:vMerge w:val="restart"/>
                  <w:noWrap w:val="0"/>
                  <w:vAlign w:val="center"/>
                </w:tcPr>
                <w:p w14:paraId="56B733E3">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val="0"/>
                      <w:bCs w:val="0"/>
                      <w:color w:val="0000FF"/>
                      <w:kern w:val="2"/>
                      <w:sz w:val="21"/>
                      <w:szCs w:val="21"/>
                      <w:highlight w:val="none"/>
                      <w:vertAlign w:val="baseline"/>
                      <w:lang w:val="en-US" w:eastAsia="zh-CN" w:bidi="ar-SA"/>
                    </w:rPr>
                    <w:t>《大气污染物综合排放标准》（GB16297-1996）</w:t>
                  </w:r>
                </w:p>
              </w:tc>
            </w:tr>
            <w:tr w14:paraId="2BE48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noWrap w:val="0"/>
                  <w:vAlign w:val="center"/>
                </w:tcPr>
                <w:p w14:paraId="750CAD0B">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585" w:type="pct"/>
                  <w:vMerge w:val="continue"/>
                  <w:noWrap w:val="0"/>
                  <w:vAlign w:val="center"/>
                </w:tcPr>
                <w:p w14:paraId="138E38E7">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874" w:type="pct"/>
                  <w:vMerge w:val="continue"/>
                  <w:noWrap w:val="0"/>
                  <w:vAlign w:val="center"/>
                </w:tcPr>
                <w:p w14:paraId="2617ECAF">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688" w:type="pct"/>
                  <w:noWrap w:val="0"/>
                  <w:vAlign w:val="center"/>
                </w:tcPr>
                <w:p w14:paraId="5C968E36">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颗粒物</w:t>
                  </w:r>
                </w:p>
              </w:tc>
              <w:tc>
                <w:tcPr>
                  <w:tcW w:w="644" w:type="pct"/>
                  <w:vMerge w:val="continue"/>
                  <w:noWrap w:val="0"/>
                  <w:vAlign w:val="center"/>
                </w:tcPr>
                <w:p w14:paraId="077A3A72">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1519" w:type="pct"/>
                  <w:vMerge w:val="continue"/>
                  <w:noWrap w:val="0"/>
                  <w:vAlign w:val="center"/>
                </w:tcPr>
                <w:p w14:paraId="12CF0BA1">
                  <w:pPr>
                    <w:widowControl w:val="0"/>
                    <w:overflowPunct w:val="0"/>
                    <w:topLinePunct/>
                    <w:bidi w:val="0"/>
                    <w:spacing w:line="240" w:lineRule="auto"/>
                    <w:ind w:firstLine="0" w:firstLineChars="0"/>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p>
              </w:tc>
            </w:tr>
            <w:tr w14:paraId="18817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noWrap w:val="0"/>
                  <w:vAlign w:val="center"/>
                </w:tcPr>
                <w:p w14:paraId="5E2C92D3">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585" w:type="pct"/>
                  <w:vMerge w:val="continue"/>
                  <w:noWrap w:val="0"/>
                  <w:vAlign w:val="center"/>
                </w:tcPr>
                <w:p w14:paraId="6C6BE14B">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874" w:type="pct"/>
                  <w:vMerge w:val="continue"/>
                  <w:noWrap w:val="0"/>
                  <w:vAlign w:val="center"/>
                </w:tcPr>
                <w:p w14:paraId="5400408E">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688" w:type="pct"/>
                  <w:noWrap w:val="0"/>
                  <w:vAlign w:val="center"/>
                </w:tcPr>
                <w:p w14:paraId="4F9962B3">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臭气浓度</w:t>
                  </w:r>
                </w:p>
              </w:tc>
              <w:tc>
                <w:tcPr>
                  <w:tcW w:w="644" w:type="pct"/>
                  <w:vMerge w:val="continue"/>
                  <w:noWrap w:val="0"/>
                  <w:vAlign w:val="center"/>
                </w:tcPr>
                <w:p w14:paraId="53E4C7E0">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1519" w:type="pct"/>
                  <w:noWrap w:val="0"/>
                  <w:vAlign w:val="center"/>
                </w:tcPr>
                <w:p w14:paraId="3FF7728F">
                  <w:pPr>
                    <w:widowControl w:val="0"/>
                    <w:overflowPunct w:val="0"/>
                    <w:topLinePunct/>
                    <w:bidi w:val="0"/>
                    <w:spacing w:line="240" w:lineRule="auto"/>
                    <w:ind w:firstLine="0" w:firstLineChars="0"/>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eastAsia="宋体" w:cs="Times New Roman"/>
                      <w:b w:val="0"/>
                      <w:bCs w:val="0"/>
                      <w:color w:val="0000FF"/>
                      <w:kern w:val="2"/>
                      <w:sz w:val="21"/>
                      <w:szCs w:val="21"/>
                      <w:highlight w:val="none"/>
                      <w:vertAlign w:val="baseline"/>
                      <w:lang w:val="en-US" w:eastAsia="zh-CN" w:bidi="ar-SA"/>
                    </w:rPr>
                    <w:t>《恶臭污染物排放标准》(GB14554-93)</w:t>
                  </w:r>
                </w:p>
              </w:tc>
            </w:tr>
            <w:tr w14:paraId="2E9C8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noWrap w:val="0"/>
                  <w:vAlign w:val="center"/>
                </w:tcPr>
                <w:p w14:paraId="45FDB9CF">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585" w:type="pct"/>
                  <w:vMerge w:val="continue"/>
                  <w:noWrap w:val="0"/>
                  <w:vAlign w:val="center"/>
                </w:tcPr>
                <w:p w14:paraId="0A8A2A28">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874" w:type="pct"/>
                  <w:vMerge w:val="restart"/>
                  <w:noWrap w:val="0"/>
                  <w:vAlign w:val="center"/>
                </w:tcPr>
                <w:p w14:paraId="0DC3BBEA">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厂区内</w:t>
                  </w:r>
                </w:p>
              </w:tc>
              <w:tc>
                <w:tcPr>
                  <w:tcW w:w="688" w:type="pct"/>
                  <w:noWrap w:val="0"/>
                  <w:vAlign w:val="center"/>
                </w:tcPr>
                <w:p w14:paraId="42F08592">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非甲烷总烃</w:t>
                  </w:r>
                </w:p>
              </w:tc>
              <w:tc>
                <w:tcPr>
                  <w:tcW w:w="644" w:type="pct"/>
                  <w:vMerge w:val="restart"/>
                  <w:noWrap w:val="0"/>
                  <w:vAlign w:val="center"/>
                </w:tcPr>
                <w:p w14:paraId="4B2842CF">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1次/年</w:t>
                  </w:r>
                </w:p>
              </w:tc>
              <w:tc>
                <w:tcPr>
                  <w:tcW w:w="1519" w:type="pct"/>
                  <w:noWrap w:val="0"/>
                  <w:vAlign w:val="center"/>
                </w:tcPr>
                <w:p w14:paraId="2C51B6F3">
                  <w:pPr>
                    <w:widowControl w:val="0"/>
                    <w:overflowPunct w:val="0"/>
                    <w:topLinePunct/>
                    <w:bidi w:val="0"/>
                    <w:spacing w:line="240" w:lineRule="auto"/>
                    <w:ind w:firstLine="0" w:firstLineChars="0"/>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ascii="Times New Roman" w:hAnsi="Times New Roman" w:eastAsia="宋体" w:cs="Times New Roman"/>
                      <w:b w:val="0"/>
                      <w:bCs w:val="0"/>
                      <w:color w:val="0000FF"/>
                      <w:kern w:val="2"/>
                      <w:sz w:val="21"/>
                      <w:szCs w:val="21"/>
                      <w:highlight w:val="none"/>
                      <w:vertAlign w:val="baseline"/>
                      <w:lang w:val="en-US" w:eastAsia="zh-CN" w:bidi="ar-SA"/>
                    </w:rPr>
                    <w:t>《挥发性有机物无组织排放控制标准（GB 37822-2019）》</w:t>
                  </w:r>
                </w:p>
              </w:tc>
            </w:tr>
            <w:tr w14:paraId="2B4FAC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7" w:type="pct"/>
                  <w:vMerge w:val="continue"/>
                  <w:noWrap w:val="0"/>
                  <w:vAlign w:val="center"/>
                </w:tcPr>
                <w:p w14:paraId="0EEBBB49">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585" w:type="pct"/>
                  <w:vMerge w:val="continue"/>
                  <w:noWrap w:val="0"/>
                  <w:vAlign w:val="center"/>
                </w:tcPr>
                <w:p w14:paraId="3BE522FA">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874" w:type="pct"/>
                  <w:vMerge w:val="continue"/>
                  <w:noWrap w:val="0"/>
                  <w:vAlign w:val="center"/>
                </w:tcPr>
                <w:p w14:paraId="024DF072">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688" w:type="pct"/>
                  <w:noWrap w:val="0"/>
                  <w:vAlign w:val="center"/>
                </w:tcPr>
                <w:p w14:paraId="0A82D44C">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kern w:val="2"/>
                      <w:sz w:val="21"/>
                      <w:szCs w:val="21"/>
                      <w:lang w:val="en-US" w:eastAsia="zh-CN" w:bidi="ar-SA"/>
                    </w:rPr>
                    <w:t>颗粒物</w:t>
                  </w:r>
                </w:p>
              </w:tc>
              <w:tc>
                <w:tcPr>
                  <w:tcW w:w="644" w:type="pct"/>
                  <w:vMerge w:val="continue"/>
                  <w:noWrap w:val="0"/>
                  <w:vAlign w:val="center"/>
                </w:tcPr>
                <w:p w14:paraId="76072D68">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p>
              </w:tc>
              <w:tc>
                <w:tcPr>
                  <w:tcW w:w="1519" w:type="pct"/>
                  <w:noWrap w:val="0"/>
                  <w:vAlign w:val="center"/>
                </w:tcPr>
                <w:p w14:paraId="123AEC69">
                  <w:pPr>
                    <w:widowControl w:val="0"/>
                    <w:overflowPunct w:val="0"/>
                    <w:topLinePunct/>
                    <w:bidi w:val="0"/>
                    <w:spacing w:line="240" w:lineRule="auto"/>
                    <w:ind w:firstLine="0" w:firstLineChars="0"/>
                    <w:jc w:val="center"/>
                    <w:rPr>
                      <w:rFonts w:hint="default" w:ascii="Times New Roman" w:hAnsi="Times New Roman" w:eastAsia="宋体" w:cs="Times New Roman"/>
                      <w:b w:val="0"/>
                      <w:bCs w:val="0"/>
                      <w:color w:val="0000FF"/>
                      <w:kern w:val="2"/>
                      <w:sz w:val="21"/>
                      <w:szCs w:val="21"/>
                      <w:highlight w:val="none"/>
                      <w:vertAlign w:val="baseline"/>
                      <w:lang w:val="en-US" w:eastAsia="zh-CN" w:bidi="ar-SA"/>
                    </w:rPr>
                  </w:pPr>
                  <w:r>
                    <w:rPr>
                      <w:rFonts w:hint="default"/>
                      <w:color w:val="0000FF"/>
                      <w:lang w:val="en-US" w:eastAsia="zh-CN"/>
                    </w:rPr>
                    <w:t>《工业炉窑大气污染物排放标准》（GB9078-1996）表3-其他炉窑（有车间厂房）</w:t>
                  </w:r>
                </w:p>
              </w:tc>
            </w:tr>
          </w:tbl>
          <w:p w14:paraId="2C391A0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aps w:val="0"/>
                <w:color w:val="auto"/>
                <w:sz w:val="24"/>
                <w:szCs w:val="24"/>
              </w:rPr>
            </w:pPr>
          </w:p>
          <w:p w14:paraId="42247675">
            <w:pPr>
              <w:pStyle w:val="44"/>
              <w:rPr>
                <w:rFonts w:hint="default" w:ascii="Times New Roman" w:hAnsi="Times New Roman" w:eastAsia="宋体" w:cs="Times New Roman"/>
                <w:lang w:val="en-US" w:eastAsia="zh-CN"/>
              </w:rPr>
            </w:pPr>
            <w:r>
              <w:rPr>
                <w:rFonts w:hint="default" w:ascii="Times New Roman" w:hAnsi="Times New Roman" w:eastAsia="宋体" w:cs="Times New Roman"/>
                <w:b/>
                <w:bCs/>
                <w:caps w:val="0"/>
                <w:color w:val="auto"/>
                <w:sz w:val="24"/>
                <w:szCs w:val="24"/>
                <w:lang w:val="en-US" w:eastAsia="zh-CN"/>
              </w:rPr>
              <w:t>6.5废气环境影响分析</w:t>
            </w:r>
          </w:p>
          <w:p w14:paraId="5B2570AB">
            <w:pPr>
              <w:adjustRightInd w:val="0"/>
              <w:snapToGrid w:val="0"/>
              <w:spacing w:line="360" w:lineRule="auto"/>
              <w:ind w:firstLine="480" w:firstLineChars="200"/>
              <w:jc w:val="left"/>
              <w:rPr>
                <w:rFonts w:hint="default" w:ascii="Times New Roman" w:hAnsi="Times New Roman" w:eastAsia="宋体" w:cs="Times New Roman"/>
                <w:bCs/>
                <w:color w:val="auto"/>
                <w:sz w:val="24"/>
                <w:szCs w:val="24"/>
                <w:lang w:eastAsia="zh-CN"/>
              </w:rPr>
            </w:pPr>
            <w:r>
              <w:rPr>
                <w:rFonts w:hint="default" w:ascii="Times New Roman" w:hAnsi="Times New Roman" w:eastAsia="宋体" w:cs="Times New Roman"/>
                <w:bCs/>
                <w:color w:val="auto"/>
                <w:sz w:val="24"/>
                <w:szCs w:val="24"/>
                <w:lang w:eastAsia="zh-CN"/>
              </w:rPr>
              <w:t>项目所在地属于达标区，环境空气质量状况良好；项目位于工业区内，</w:t>
            </w:r>
            <w:r>
              <w:rPr>
                <w:rFonts w:hint="default" w:ascii="Times New Roman" w:hAnsi="Times New Roman" w:eastAsia="宋体" w:cs="Times New Roman"/>
                <w:bCs/>
                <w:color w:val="auto"/>
                <w:sz w:val="24"/>
                <w:szCs w:val="24"/>
                <w:lang w:val="en-US" w:eastAsia="zh-CN"/>
              </w:rPr>
              <w:t>厂区周边500m范围内没有敏感目标分布</w:t>
            </w:r>
            <w:r>
              <w:rPr>
                <w:rFonts w:hint="default" w:ascii="Times New Roman" w:hAnsi="Times New Roman" w:eastAsia="宋体" w:cs="Times New Roman"/>
                <w:bCs/>
                <w:color w:val="auto"/>
                <w:sz w:val="24"/>
                <w:szCs w:val="24"/>
                <w:lang w:eastAsia="zh-CN"/>
              </w:rPr>
              <w:t>；项目采取的污染治理措施属于污染防治可行技术指南、排污许可技术规范中可行技术，分别采取有组织排放和无组织排放的方式，排放方式合理，废气排放量较小；污染物经采取合理有效的污染防治措施后，污染物排放浓度符合排放标准的相关要求，均能达标排放。因此，项目正常生产情况下，废气污染物经有效措施治理后对周边环境影响有限，项目的实施不会改变区域大气环境质量功能，能满足区域环境功能要求。</w:t>
            </w:r>
          </w:p>
          <w:p w14:paraId="1702F0F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aps w:val="0"/>
                <w:color w:val="auto"/>
                <w:sz w:val="24"/>
                <w:szCs w:val="24"/>
              </w:rPr>
            </w:pPr>
            <w:r>
              <w:rPr>
                <w:rFonts w:hint="default" w:ascii="Times New Roman" w:hAnsi="Times New Roman" w:eastAsia="宋体" w:cs="Times New Roman"/>
                <w:b/>
                <w:bCs/>
                <w:caps w:val="0"/>
                <w:color w:val="auto"/>
                <w:sz w:val="24"/>
                <w:szCs w:val="24"/>
                <w:lang w:val="en-US" w:eastAsia="zh-CN"/>
              </w:rPr>
              <w:t>7</w:t>
            </w:r>
            <w:r>
              <w:rPr>
                <w:rFonts w:hint="default" w:ascii="Times New Roman" w:hAnsi="Times New Roman" w:eastAsia="宋体" w:cs="Times New Roman"/>
                <w:b/>
                <w:bCs/>
                <w:caps w:val="0"/>
                <w:color w:val="auto"/>
                <w:sz w:val="24"/>
                <w:szCs w:val="24"/>
                <w:lang w:eastAsia="zh-CN"/>
              </w:rPr>
              <w:t>、</w:t>
            </w:r>
            <w:r>
              <w:rPr>
                <w:rFonts w:hint="default" w:ascii="Times New Roman" w:hAnsi="Times New Roman" w:eastAsia="宋体" w:cs="Times New Roman"/>
                <w:b/>
                <w:bCs/>
                <w:caps w:val="0"/>
                <w:color w:val="auto"/>
                <w:sz w:val="24"/>
                <w:szCs w:val="24"/>
              </w:rPr>
              <w:t>废水</w:t>
            </w:r>
          </w:p>
          <w:p w14:paraId="318C1FB6">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7.1废水产生情况</w:t>
            </w:r>
          </w:p>
          <w:p w14:paraId="2210B4A5">
            <w:pPr>
              <w:pStyle w:val="58"/>
              <w:keepNext w:val="0"/>
              <w:keepLines w:val="0"/>
              <w:pageBreakBefore w:val="0"/>
              <w:widowControl w:val="0"/>
              <w:numPr>
                <w:ilvl w:val="0"/>
                <w:numId w:val="0"/>
              </w:numPr>
              <w:kinsoku/>
              <w:wordWrap/>
              <w:overflowPunct/>
              <w:topLinePunct w:val="0"/>
              <w:autoSpaceDE w:val="0"/>
              <w:autoSpaceDN w:val="0"/>
              <w:bidi w:val="0"/>
              <w:adjustRightInd/>
              <w:ind w:leftChars="200"/>
              <w:textAlignment w:val="auto"/>
              <w:rPr>
                <w:rFonts w:hint="default" w:ascii="Times New Roman" w:hAnsi="Times New Roman" w:eastAsia="宋体" w:cs="Times New Roman"/>
                <w:color w:val="0000FF"/>
                <w:highlight w:val="none"/>
                <w:lang w:val="en-US" w:eastAsia="zh-CN"/>
              </w:rPr>
            </w:pPr>
            <w:r>
              <w:rPr>
                <w:rFonts w:hint="default" w:ascii="Times New Roman" w:hAnsi="Times New Roman" w:eastAsia="宋体" w:cs="Times New Roman"/>
                <w:color w:val="0000FF"/>
                <w:sz w:val="24"/>
                <w:szCs w:val="24"/>
                <w:lang w:val="en-US" w:eastAsia="zh-CN"/>
              </w:rPr>
              <w:t>（1）</w:t>
            </w:r>
            <w:r>
              <w:rPr>
                <w:rFonts w:hint="default" w:ascii="Times New Roman" w:hAnsi="Times New Roman" w:eastAsia="宋体" w:cs="Times New Roman"/>
                <w:color w:val="0000FF"/>
                <w:highlight w:val="none"/>
                <w:lang w:val="en-US" w:eastAsia="zh-CN"/>
              </w:rPr>
              <w:t>生产废水</w:t>
            </w:r>
          </w:p>
          <w:p w14:paraId="0D228B6E">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1）气瓶检验水压测试废水</w:t>
            </w:r>
          </w:p>
          <w:p w14:paraId="3A1B6604">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cs="Times New Roman"/>
                <w:color w:val="0000FF"/>
                <w:sz w:val="24"/>
                <w:szCs w:val="24"/>
                <w:lang w:val="en-US" w:eastAsia="zh-CN"/>
              </w:rPr>
              <w:t>气瓶检验站水压测试工序需对钢瓶进行注水，测试水循环使用不外排，损失水量定期补充。</w:t>
            </w:r>
          </w:p>
          <w:p w14:paraId="688BAAE1">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0000FF"/>
                <w:sz w:val="24"/>
                <w:szCs w:val="24"/>
                <w:lang w:val="en-US" w:eastAsia="zh-CN"/>
              </w:rPr>
            </w:pPr>
            <w:r>
              <w:rPr>
                <w:rFonts w:hint="eastAsia" w:ascii="Times New Roman" w:hAnsi="Times New Roman" w:cs="Times New Roman"/>
                <w:color w:val="0000FF"/>
                <w:sz w:val="24"/>
                <w:szCs w:val="24"/>
                <w:lang w:val="en-US" w:eastAsia="zh-CN"/>
              </w:rPr>
              <w:t>2</w:t>
            </w:r>
            <w:r>
              <w:rPr>
                <w:rFonts w:hint="default" w:ascii="Times New Roman" w:hAnsi="Times New Roman" w:cs="Times New Roman"/>
                <w:color w:val="0000FF"/>
                <w:sz w:val="24"/>
                <w:szCs w:val="24"/>
                <w:lang w:val="en-US" w:eastAsia="zh-CN"/>
              </w:rPr>
              <w:t>）喷淋塔废水</w:t>
            </w:r>
          </w:p>
          <w:p w14:paraId="551BEA00">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cs="Times New Roman"/>
                <w:color w:val="0000FF"/>
                <w:sz w:val="24"/>
                <w:szCs w:val="24"/>
                <w:lang w:val="en-US" w:eastAsia="zh-CN"/>
              </w:rPr>
              <w:t>气瓶检验站焚烧炉废气采用水喷淋系统，喷淋用水循环使用不外排，损失水量定期补充。</w:t>
            </w:r>
            <w:r>
              <w:rPr>
                <w:rFonts w:hint="eastAsia" w:ascii="Times New Roman" w:hAnsi="Times New Roman" w:cs="Times New Roman"/>
                <w:color w:val="0000FF"/>
                <w:sz w:val="24"/>
                <w:szCs w:val="24"/>
                <w:lang w:val="en-US" w:eastAsia="zh-CN"/>
              </w:rPr>
              <w:t>本项目无生产废水排放。</w:t>
            </w:r>
          </w:p>
          <w:p w14:paraId="3D95CAA8">
            <w:pPr>
              <w:pStyle w:val="58"/>
              <w:keepNext w:val="0"/>
              <w:keepLines w:val="0"/>
              <w:pageBreakBefore w:val="0"/>
              <w:widowControl w:val="0"/>
              <w:kinsoku/>
              <w:wordWrap/>
              <w:overflowPunct/>
              <w:topLinePunct w:val="0"/>
              <w:autoSpaceDE w:val="0"/>
              <w:autoSpaceDN w:val="0"/>
              <w:bidi w:val="0"/>
              <w:adjustRightInd/>
              <w:ind w:left="0"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highlight w:val="none"/>
                <w:lang w:val="en-US" w:eastAsia="zh-CN"/>
              </w:rPr>
              <w:t>生活污水</w:t>
            </w:r>
          </w:p>
          <w:p w14:paraId="60630797">
            <w:pPr>
              <w:pStyle w:val="58"/>
              <w:keepNext w:val="0"/>
              <w:keepLines w:val="0"/>
              <w:pageBreakBefore w:val="0"/>
              <w:widowControl w:val="0"/>
              <w:kinsoku/>
              <w:wordWrap/>
              <w:overflowPunct/>
              <w:topLinePunct w:val="0"/>
              <w:autoSpaceDE w:val="0"/>
              <w:autoSpaceDN w:val="0"/>
              <w:bidi w:val="0"/>
              <w:adjustRightInd/>
              <w:ind w:left="0"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生活</w:t>
            </w:r>
            <w:r>
              <w:rPr>
                <w:rFonts w:hint="default" w:ascii="Times New Roman" w:hAnsi="Times New Roman" w:cs="Times New Roman"/>
                <w:color w:val="auto"/>
                <w:highlight w:val="none"/>
                <w:lang w:eastAsia="zh-CN"/>
              </w:rPr>
              <w:t>污</w:t>
            </w:r>
            <w:r>
              <w:rPr>
                <w:rFonts w:hint="default" w:ascii="Times New Roman" w:hAnsi="Times New Roman" w:cs="Times New Roman"/>
                <w:color w:val="auto"/>
                <w:highlight w:val="none"/>
              </w:rPr>
              <w:t>水按用水量的80%计，生活污水产生量为</w:t>
            </w:r>
            <w:r>
              <w:rPr>
                <w:rFonts w:hint="default" w:ascii="Times New Roman" w:hAnsi="Times New Roman" w:cs="Times New Roman"/>
                <w:color w:val="auto"/>
                <w:sz w:val="24"/>
                <w:szCs w:val="24"/>
                <w:highlight w:val="none"/>
                <w:vertAlign w:val="baseline"/>
                <w:lang w:val="en-US" w:eastAsia="zh-CN"/>
              </w:rPr>
              <w:t>2.</w:t>
            </w:r>
            <w:r>
              <w:rPr>
                <w:rFonts w:hint="eastAsia" w:ascii="Times New Roman" w:hAnsi="Times New Roman" w:cs="Times New Roman"/>
                <w:color w:val="auto"/>
                <w:sz w:val="24"/>
                <w:szCs w:val="24"/>
                <w:highlight w:val="none"/>
                <w:vertAlign w:val="baseline"/>
                <w:lang w:val="en-US" w:eastAsia="zh-CN"/>
              </w:rPr>
              <w:t>88</w:t>
            </w:r>
            <w:r>
              <w:rPr>
                <w:rFonts w:hint="default" w:ascii="Times New Roman" w:hAnsi="Times New Roman" w:eastAsia="宋体" w:cs="Times New Roman"/>
                <w:color w:val="auto"/>
                <w:sz w:val="24"/>
                <w:szCs w:val="24"/>
                <w:highlight w:val="none"/>
                <w:vertAlign w:val="baseline"/>
                <w:lang w:val="en-US" w:eastAsia="zh-CN"/>
              </w:rPr>
              <w:t>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vertAlign w:val="baseline"/>
                <w:lang w:val="en-US" w:eastAsia="zh-CN"/>
              </w:rPr>
              <w:t>/d（</w:t>
            </w:r>
            <w:r>
              <w:rPr>
                <w:rFonts w:hint="eastAsia" w:ascii="Times New Roman" w:hAnsi="Times New Roman" w:cs="Times New Roman"/>
                <w:color w:val="auto"/>
                <w:sz w:val="24"/>
                <w:szCs w:val="24"/>
                <w:highlight w:val="none"/>
                <w:vertAlign w:val="baseline"/>
                <w:lang w:val="en-US" w:eastAsia="zh-CN"/>
              </w:rPr>
              <w:t>910.08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w:t>
            </w:r>
            <w:r>
              <w:rPr>
                <w:rFonts w:hint="default" w:ascii="Times New Roman" w:hAnsi="Times New Roman" w:eastAsia="宋体" w:cs="Times New Roman"/>
                <w:color w:val="auto"/>
                <w:sz w:val="24"/>
                <w:szCs w:val="24"/>
                <w:highlight w:val="none"/>
                <w:vertAlign w:val="baseline"/>
                <w:lang w:val="en-US" w:eastAsia="zh-CN"/>
              </w:rPr>
              <w:t>）</w:t>
            </w:r>
            <w:r>
              <w:rPr>
                <w:rFonts w:hint="default" w:ascii="Times New Roman" w:hAnsi="Times New Roman" w:cs="Times New Roman"/>
                <w:color w:val="auto"/>
                <w:highlight w:val="none"/>
              </w:rPr>
              <w:t>，生活</w:t>
            </w:r>
            <w:r>
              <w:rPr>
                <w:rFonts w:hint="default" w:ascii="Times New Roman" w:hAnsi="Times New Roman" w:cs="Times New Roman"/>
                <w:color w:val="auto"/>
                <w:highlight w:val="none"/>
                <w:lang w:eastAsia="zh-CN"/>
              </w:rPr>
              <w:t>污</w:t>
            </w:r>
            <w:r>
              <w:rPr>
                <w:rFonts w:hint="default" w:ascii="Times New Roman" w:hAnsi="Times New Roman" w:cs="Times New Roman"/>
                <w:color w:val="auto"/>
                <w:highlight w:val="none"/>
              </w:rPr>
              <w:t>水</w:t>
            </w:r>
            <w:r>
              <w:rPr>
                <w:rFonts w:hint="default" w:ascii="Times New Roman" w:hAnsi="Times New Roman" w:cs="Times New Roman"/>
                <w:color w:val="auto"/>
                <w:highlight w:val="none"/>
                <w:lang w:val="en-US" w:eastAsia="zh-CN"/>
              </w:rPr>
              <w:t>排至园区污水管网，最终进入九原水质净化厂</w:t>
            </w:r>
            <w:r>
              <w:rPr>
                <w:rFonts w:hint="default" w:ascii="Times New Roman" w:hAnsi="Times New Roman" w:cs="Times New Roman"/>
                <w:color w:val="auto"/>
                <w:highlight w:val="none"/>
              </w:rPr>
              <w:t>。</w:t>
            </w:r>
          </w:p>
          <w:p w14:paraId="06558EA8">
            <w:pPr>
              <w:adjustRightInd w:val="0"/>
              <w:snapToGrid w:val="0"/>
              <w:spacing w:line="360" w:lineRule="auto"/>
              <w:ind w:firstLine="480" w:firstLineChars="200"/>
              <w:jc w:val="left"/>
              <w:rPr>
                <w:rFonts w:hint="default" w:ascii="Times New Roman" w:hAnsi="Times New Roman" w:eastAsia="宋体" w:cs="Times New Roman"/>
                <w:sz w:val="24"/>
                <w:szCs w:val="24"/>
              </w:rPr>
            </w:pPr>
            <w:r>
              <w:rPr>
                <w:rFonts w:hint="default" w:ascii="Times New Roman" w:hAnsi="Times New Roman" w:eastAsia="宋体" w:cs="Times New Roman"/>
                <w:bCs/>
                <w:sz w:val="24"/>
                <w:szCs w:val="24"/>
              </w:rPr>
              <w:t>根据《给水排水设计手册（第六册）》我国北方典型生活污水水质，确定项目生活污水产生浓度分别为COD</w:t>
            </w:r>
            <w:r>
              <w:rPr>
                <w:rFonts w:hint="default" w:ascii="Times New Roman" w:hAnsi="Times New Roman" w:eastAsia="宋体" w:cs="Times New Roman"/>
                <w:bCs/>
                <w:sz w:val="24"/>
                <w:szCs w:val="24"/>
                <w:lang w:val="en-US" w:eastAsia="zh-CN"/>
              </w:rPr>
              <w:t>40</w:t>
            </w:r>
            <w:r>
              <w:rPr>
                <w:rFonts w:hint="default" w:ascii="Times New Roman" w:hAnsi="Times New Roman" w:eastAsia="宋体" w:cs="Times New Roman"/>
                <w:bCs/>
                <w:sz w:val="24"/>
                <w:szCs w:val="24"/>
              </w:rPr>
              <w:t>0mg/L，BOD</w:t>
            </w:r>
            <w:r>
              <w:rPr>
                <w:rFonts w:hint="default" w:ascii="Times New Roman" w:hAnsi="Times New Roman" w:eastAsia="宋体" w:cs="Times New Roman"/>
                <w:bCs/>
                <w:sz w:val="24"/>
                <w:szCs w:val="24"/>
                <w:vertAlign w:val="subscript"/>
              </w:rPr>
              <w:t>5</w:t>
            </w:r>
            <w:r>
              <w:rPr>
                <w:rFonts w:hint="default" w:ascii="Times New Roman" w:hAnsi="Times New Roman" w:eastAsia="宋体" w:cs="Times New Roman"/>
                <w:bCs/>
                <w:sz w:val="24"/>
                <w:szCs w:val="24"/>
              </w:rPr>
              <w:t>240mg/L，SS</w:t>
            </w:r>
            <w:r>
              <w:rPr>
                <w:rFonts w:hint="default" w:ascii="Times New Roman" w:hAnsi="Times New Roman" w:eastAsia="宋体" w:cs="Times New Roman"/>
                <w:bCs/>
                <w:sz w:val="24"/>
                <w:szCs w:val="24"/>
                <w:lang w:val="en-US" w:eastAsia="zh-CN"/>
              </w:rPr>
              <w:t>2</w:t>
            </w:r>
            <w:r>
              <w:rPr>
                <w:rFonts w:hint="default" w:ascii="Times New Roman" w:hAnsi="Times New Roman" w:eastAsia="宋体" w:cs="Times New Roman"/>
                <w:bCs/>
                <w:sz w:val="24"/>
                <w:szCs w:val="24"/>
              </w:rPr>
              <w:t>00mg/L，氨氮35mg/L。</w:t>
            </w:r>
            <w:r>
              <w:rPr>
                <w:rFonts w:hint="default" w:ascii="Times New Roman" w:hAnsi="Times New Roman" w:eastAsia="宋体" w:cs="Times New Roman"/>
                <w:position w:val="5"/>
                <w:sz w:val="24"/>
                <w:szCs w:val="24"/>
              </w:rPr>
              <w:t>本项目废水产排情况见下表：</w:t>
            </w:r>
          </w:p>
          <w:p w14:paraId="700AC0BC">
            <w:pPr>
              <w:keepNext w:val="0"/>
              <w:keepLines w:val="0"/>
              <w:pageBreakBefore w:val="0"/>
              <w:widowControl w:val="0"/>
              <w:kinsoku/>
              <w:wordWrap/>
              <w:overflowPunct/>
              <w:topLinePunct w:val="0"/>
              <w:autoSpaceDE w:val="0"/>
              <w:autoSpaceDN w:val="0"/>
              <w:bidi w:val="0"/>
              <w:adjustRightInd/>
              <w:snapToGrid/>
              <w:spacing w:line="360" w:lineRule="auto"/>
              <w:ind w:firstLine="542" w:firstLineChars="225"/>
              <w:jc w:val="center"/>
              <w:textAlignment w:val="auto"/>
              <w:rPr>
                <w:rFonts w:hint="default" w:ascii="Times New Roman" w:hAnsi="Times New Roman" w:eastAsia="宋体" w:cs="Times New Roman"/>
                <w:b/>
                <w:color w:val="0000FF"/>
                <w:sz w:val="24"/>
                <w:szCs w:val="24"/>
              </w:rPr>
            </w:pPr>
            <w:r>
              <w:rPr>
                <w:rFonts w:hint="default" w:ascii="Times New Roman" w:hAnsi="Times New Roman" w:eastAsia="宋体" w:cs="Times New Roman"/>
                <w:b/>
                <w:color w:val="0000FF"/>
                <w:sz w:val="24"/>
                <w:szCs w:val="24"/>
              </w:rPr>
              <w:t>表</w:t>
            </w:r>
            <w:r>
              <w:rPr>
                <w:rFonts w:hint="default" w:ascii="Times New Roman" w:hAnsi="Times New Roman" w:eastAsia="宋体" w:cs="Times New Roman"/>
                <w:b/>
                <w:color w:val="0000FF"/>
                <w:sz w:val="24"/>
                <w:szCs w:val="24"/>
                <w:lang w:val="en-US" w:eastAsia="zh-CN"/>
              </w:rPr>
              <w:t>4.7-1</w:t>
            </w:r>
            <w:r>
              <w:rPr>
                <w:rFonts w:hint="default" w:ascii="Times New Roman" w:hAnsi="Times New Roman" w:eastAsia="宋体" w:cs="Times New Roman"/>
                <w:b/>
                <w:color w:val="0000FF"/>
                <w:sz w:val="24"/>
                <w:szCs w:val="24"/>
              </w:rPr>
              <w:t xml:space="preserve"> </w:t>
            </w:r>
            <w:r>
              <w:rPr>
                <w:rFonts w:hint="default" w:ascii="Times New Roman" w:hAnsi="Times New Roman" w:eastAsia="宋体" w:cs="Times New Roman"/>
                <w:b/>
                <w:color w:val="0000FF"/>
                <w:sz w:val="24"/>
                <w:szCs w:val="24"/>
                <w:lang w:val="en-US" w:eastAsia="zh-CN"/>
              </w:rPr>
              <w:t xml:space="preserve"> </w:t>
            </w:r>
            <w:r>
              <w:rPr>
                <w:rFonts w:hint="default" w:ascii="Times New Roman" w:hAnsi="Times New Roman" w:eastAsia="宋体" w:cs="Times New Roman"/>
                <w:b/>
                <w:color w:val="0000FF"/>
                <w:sz w:val="24"/>
                <w:szCs w:val="24"/>
              </w:rPr>
              <w:t xml:space="preserve"> </w:t>
            </w:r>
            <w:r>
              <w:rPr>
                <w:rFonts w:hint="default" w:ascii="Times New Roman" w:hAnsi="Times New Roman" w:eastAsia="宋体" w:cs="Times New Roman"/>
                <w:b/>
                <w:color w:val="0000FF"/>
                <w:sz w:val="24"/>
                <w:szCs w:val="24"/>
                <w:lang w:eastAsia="zh-CN"/>
              </w:rPr>
              <w:t>项目</w:t>
            </w:r>
            <w:r>
              <w:rPr>
                <w:rFonts w:hint="default" w:ascii="Times New Roman" w:hAnsi="Times New Roman" w:eastAsia="宋体" w:cs="Times New Roman"/>
                <w:b/>
                <w:color w:val="0000FF"/>
                <w:sz w:val="24"/>
                <w:szCs w:val="24"/>
              </w:rPr>
              <w:t>生活</w:t>
            </w:r>
            <w:r>
              <w:rPr>
                <w:rFonts w:hint="default" w:ascii="Times New Roman" w:hAnsi="Times New Roman" w:eastAsia="宋体" w:cs="Times New Roman"/>
                <w:b/>
                <w:color w:val="0000FF"/>
                <w:sz w:val="24"/>
                <w:szCs w:val="24"/>
                <w:lang w:eastAsia="zh-CN"/>
              </w:rPr>
              <w:t>污水</w:t>
            </w:r>
            <w:r>
              <w:rPr>
                <w:rFonts w:hint="default" w:ascii="Times New Roman" w:hAnsi="Times New Roman" w:eastAsia="宋体" w:cs="Times New Roman"/>
                <w:b/>
                <w:color w:val="0000FF"/>
                <w:sz w:val="24"/>
                <w:szCs w:val="24"/>
              </w:rPr>
              <w:t>污染物排放量</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589"/>
              <w:gridCol w:w="2473"/>
              <w:gridCol w:w="738"/>
              <w:gridCol w:w="816"/>
              <w:gridCol w:w="738"/>
              <w:gridCol w:w="739"/>
            </w:tblGrid>
            <w:tr w14:paraId="58B52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27" w:hRule="exact"/>
                <w:jc w:val="center"/>
              </w:trPr>
              <w:tc>
                <w:tcPr>
                  <w:tcW w:w="1599" w:type="pct"/>
                  <w:tcBorders>
                    <w:tl2br w:val="nil"/>
                    <w:tr2bl w:val="nil"/>
                  </w:tcBorders>
                  <w:noWrap w:val="0"/>
                  <w:vAlign w:val="center"/>
                </w:tcPr>
                <w:p w14:paraId="139C3DEB">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0000FF"/>
                      <w:sz w:val="21"/>
                      <w:szCs w:val="21"/>
                    </w:rPr>
                  </w:pPr>
                  <w:r>
                    <w:rPr>
                      <w:rFonts w:hint="default" w:ascii="Times New Roman" w:hAnsi="Times New Roman" w:eastAsia="宋体" w:cs="Times New Roman"/>
                      <w:b/>
                      <w:bCs/>
                      <w:color w:val="0000FF"/>
                      <w:sz w:val="21"/>
                      <w:szCs w:val="21"/>
                    </w:rPr>
                    <w:t>项目</w:t>
                  </w:r>
                </w:p>
              </w:tc>
              <w:tc>
                <w:tcPr>
                  <w:tcW w:w="1527" w:type="pct"/>
                  <w:tcBorders>
                    <w:tl2br w:val="nil"/>
                    <w:tr2bl w:val="nil"/>
                  </w:tcBorders>
                  <w:shd w:val="clear" w:color="auto" w:fill="auto"/>
                  <w:noWrap w:val="0"/>
                  <w:vAlign w:val="center"/>
                </w:tcPr>
                <w:p w14:paraId="4753A2F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kern w:val="2"/>
                      <w:sz w:val="21"/>
                      <w:szCs w:val="21"/>
                      <w:lang w:val="en-US" w:eastAsia="zh-CN" w:bidi="ar-SA"/>
                    </w:rPr>
                    <w:t>综合污水量(m</w:t>
                  </w:r>
                  <w:r>
                    <w:rPr>
                      <w:rFonts w:hint="default" w:ascii="Times New Roman" w:hAnsi="Times New Roman" w:eastAsia="宋体" w:cs="Times New Roman"/>
                      <w:b/>
                      <w:bCs/>
                      <w:color w:val="0000FF"/>
                      <w:kern w:val="2"/>
                      <w:sz w:val="21"/>
                      <w:szCs w:val="21"/>
                      <w:vertAlign w:val="superscript"/>
                      <w:lang w:val="en-US" w:eastAsia="zh-CN" w:bidi="ar-SA"/>
                    </w:rPr>
                    <w:t>3</w:t>
                  </w:r>
                  <w:r>
                    <w:rPr>
                      <w:rFonts w:hint="default" w:ascii="Times New Roman" w:hAnsi="Times New Roman" w:eastAsia="宋体" w:cs="Times New Roman"/>
                      <w:b/>
                      <w:bCs/>
                      <w:color w:val="0000FF"/>
                      <w:kern w:val="2"/>
                      <w:sz w:val="21"/>
                      <w:szCs w:val="21"/>
                      <w:lang w:val="en-US" w:eastAsia="zh-CN" w:bidi="ar-SA"/>
                    </w:rPr>
                    <w:t>/a)</w:t>
                  </w:r>
                </w:p>
              </w:tc>
              <w:tc>
                <w:tcPr>
                  <w:tcW w:w="456" w:type="pct"/>
                  <w:tcBorders>
                    <w:tl2br w:val="nil"/>
                    <w:tr2bl w:val="nil"/>
                  </w:tcBorders>
                  <w:shd w:val="clear" w:color="auto" w:fill="auto"/>
                  <w:noWrap w:val="0"/>
                  <w:vAlign w:val="center"/>
                </w:tcPr>
                <w:p w14:paraId="46309D7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rPr>
                    <w:t>COD</w:t>
                  </w:r>
                </w:p>
              </w:tc>
              <w:tc>
                <w:tcPr>
                  <w:tcW w:w="504" w:type="pct"/>
                  <w:tcBorders>
                    <w:tl2br w:val="nil"/>
                    <w:tr2bl w:val="nil"/>
                  </w:tcBorders>
                  <w:shd w:val="clear" w:color="auto" w:fill="auto"/>
                  <w:noWrap w:val="0"/>
                  <w:vAlign w:val="center"/>
                </w:tcPr>
                <w:p w14:paraId="02F4697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rPr>
                    <w:t>BOD</w:t>
                  </w:r>
                  <w:r>
                    <w:rPr>
                      <w:rFonts w:hint="default" w:ascii="Times New Roman" w:hAnsi="Times New Roman" w:eastAsia="宋体" w:cs="Times New Roman"/>
                      <w:b/>
                      <w:bCs/>
                      <w:color w:val="0000FF"/>
                      <w:sz w:val="21"/>
                      <w:szCs w:val="21"/>
                      <w:vertAlign w:val="subscript"/>
                    </w:rPr>
                    <w:t>5</w:t>
                  </w:r>
                </w:p>
              </w:tc>
              <w:tc>
                <w:tcPr>
                  <w:tcW w:w="456" w:type="pct"/>
                  <w:tcBorders>
                    <w:tl2br w:val="nil"/>
                    <w:tr2bl w:val="nil"/>
                  </w:tcBorders>
                  <w:shd w:val="clear" w:color="auto" w:fill="auto"/>
                  <w:noWrap w:val="0"/>
                  <w:vAlign w:val="center"/>
                </w:tcPr>
                <w:p w14:paraId="23415D5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0000FF"/>
                      <w:kern w:val="2"/>
                      <w:sz w:val="21"/>
                      <w:szCs w:val="21"/>
                      <w:lang w:val="en-US" w:eastAsia="zh-CN" w:bidi="ar-SA"/>
                    </w:rPr>
                  </w:pPr>
                  <w:r>
                    <w:rPr>
                      <w:rFonts w:hint="default" w:ascii="Times New Roman" w:hAnsi="Times New Roman" w:eastAsia="宋体" w:cs="Times New Roman"/>
                      <w:b/>
                      <w:bCs/>
                      <w:color w:val="0000FF"/>
                      <w:sz w:val="21"/>
                      <w:szCs w:val="21"/>
                    </w:rPr>
                    <w:t>SS</w:t>
                  </w:r>
                </w:p>
              </w:tc>
              <w:tc>
                <w:tcPr>
                  <w:tcW w:w="456" w:type="pct"/>
                  <w:tcBorders>
                    <w:tl2br w:val="nil"/>
                    <w:tr2bl w:val="nil"/>
                  </w:tcBorders>
                  <w:noWrap w:val="0"/>
                  <w:vAlign w:val="center"/>
                </w:tcPr>
                <w:p w14:paraId="41506A5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0000FF"/>
                      <w:sz w:val="21"/>
                      <w:szCs w:val="21"/>
                    </w:rPr>
                  </w:pPr>
                  <w:r>
                    <w:rPr>
                      <w:rFonts w:hint="default" w:ascii="Times New Roman" w:hAnsi="Times New Roman" w:eastAsia="宋体" w:cs="Times New Roman"/>
                      <w:b/>
                      <w:bCs/>
                      <w:color w:val="0000FF"/>
                      <w:sz w:val="21"/>
                      <w:szCs w:val="21"/>
                    </w:rPr>
                    <w:t>氨氮</w:t>
                  </w:r>
                </w:p>
              </w:tc>
            </w:tr>
            <w:tr w14:paraId="512F7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8" w:hRule="exact"/>
                <w:jc w:val="center"/>
              </w:trPr>
              <w:tc>
                <w:tcPr>
                  <w:tcW w:w="1599" w:type="pct"/>
                  <w:tcBorders>
                    <w:tl2br w:val="nil"/>
                    <w:tr2bl w:val="nil"/>
                  </w:tcBorders>
                  <w:noWrap w:val="0"/>
                  <w:vAlign w:val="center"/>
                </w:tcPr>
                <w:p w14:paraId="5CD63E3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产生浓度(mg/L)</w:t>
                  </w:r>
                </w:p>
              </w:tc>
              <w:tc>
                <w:tcPr>
                  <w:tcW w:w="1527" w:type="pct"/>
                  <w:vMerge w:val="restart"/>
                  <w:tcBorders>
                    <w:tl2br w:val="nil"/>
                    <w:tr2bl w:val="nil"/>
                  </w:tcBorders>
                  <w:shd w:val="clear" w:color="auto" w:fill="auto"/>
                  <w:noWrap w:val="0"/>
                  <w:vAlign w:val="center"/>
                </w:tcPr>
                <w:p w14:paraId="7D56B13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lang w:val="en-US" w:eastAsia="zh-CN" w:bidi="ar-SA"/>
                    </w:rPr>
                  </w:pPr>
                  <w:r>
                    <w:rPr>
                      <w:rFonts w:hint="eastAsia" w:cs="Times New Roman"/>
                      <w:bCs/>
                      <w:color w:val="0000FF"/>
                      <w:kern w:val="2"/>
                      <w:sz w:val="21"/>
                      <w:szCs w:val="21"/>
                      <w:lang w:val="en-US" w:eastAsia="zh-CN" w:bidi="ar-SA"/>
                    </w:rPr>
                    <w:t>910.08</w:t>
                  </w:r>
                </w:p>
              </w:tc>
              <w:tc>
                <w:tcPr>
                  <w:tcW w:w="456" w:type="pct"/>
                  <w:tcBorders>
                    <w:tl2br w:val="nil"/>
                    <w:tr2bl w:val="nil"/>
                  </w:tcBorders>
                  <w:shd w:val="clear" w:color="auto" w:fill="auto"/>
                  <w:noWrap w:val="0"/>
                  <w:vAlign w:val="center"/>
                </w:tcPr>
                <w:p w14:paraId="2BA228B3">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400</w:t>
                  </w:r>
                </w:p>
              </w:tc>
              <w:tc>
                <w:tcPr>
                  <w:tcW w:w="504" w:type="pct"/>
                  <w:tcBorders>
                    <w:tl2br w:val="nil"/>
                    <w:tr2bl w:val="nil"/>
                  </w:tcBorders>
                  <w:shd w:val="clear" w:color="auto" w:fill="auto"/>
                  <w:noWrap w:val="0"/>
                  <w:vAlign w:val="center"/>
                </w:tcPr>
                <w:p w14:paraId="4968C761">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240</w:t>
                  </w:r>
                </w:p>
              </w:tc>
              <w:tc>
                <w:tcPr>
                  <w:tcW w:w="456" w:type="pct"/>
                  <w:tcBorders>
                    <w:tl2br w:val="nil"/>
                    <w:tr2bl w:val="nil"/>
                  </w:tcBorders>
                  <w:shd w:val="clear" w:color="auto" w:fill="auto"/>
                  <w:noWrap w:val="0"/>
                  <w:vAlign w:val="center"/>
                </w:tcPr>
                <w:p w14:paraId="150B8DD3">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200</w:t>
                  </w:r>
                </w:p>
              </w:tc>
              <w:tc>
                <w:tcPr>
                  <w:tcW w:w="456" w:type="pct"/>
                  <w:tcBorders>
                    <w:tl2br w:val="nil"/>
                    <w:tr2bl w:val="nil"/>
                  </w:tcBorders>
                  <w:noWrap w:val="0"/>
                  <w:vAlign w:val="center"/>
                </w:tcPr>
                <w:p w14:paraId="6FAEAB8A">
                  <w:pPr>
                    <w:keepNext w:val="0"/>
                    <w:keepLines w:val="0"/>
                    <w:widowControl/>
                    <w:suppressLineNumbers w:val="0"/>
                    <w:jc w:val="center"/>
                    <w:textAlignment w:val="center"/>
                    <w:rPr>
                      <w:rFonts w:hint="default" w:ascii="Times New Roman" w:hAnsi="Times New Roman" w:eastAsia="宋体" w:cs="Times New Roman"/>
                      <w:color w:val="0000FF"/>
                      <w:sz w:val="21"/>
                      <w:szCs w:val="21"/>
                      <w:lang w:eastAsia="zh-CN"/>
                    </w:rPr>
                  </w:pPr>
                  <w:r>
                    <w:rPr>
                      <w:rFonts w:hint="default" w:ascii="Times New Roman" w:hAnsi="Times New Roman" w:eastAsia="宋体" w:cs="Times New Roman"/>
                      <w:i w:val="0"/>
                      <w:iCs w:val="0"/>
                      <w:color w:val="0000FF"/>
                      <w:kern w:val="0"/>
                      <w:sz w:val="21"/>
                      <w:szCs w:val="21"/>
                      <w:u w:val="none"/>
                      <w:lang w:val="en-US" w:eastAsia="zh-CN" w:bidi="ar"/>
                    </w:rPr>
                    <w:t>35</w:t>
                  </w:r>
                </w:p>
              </w:tc>
            </w:tr>
            <w:tr w14:paraId="54CCC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2" w:hRule="exact"/>
                <w:jc w:val="center"/>
              </w:trPr>
              <w:tc>
                <w:tcPr>
                  <w:tcW w:w="1599" w:type="pct"/>
                  <w:tcBorders>
                    <w:tl2br w:val="nil"/>
                    <w:tr2bl w:val="nil"/>
                  </w:tcBorders>
                  <w:noWrap w:val="0"/>
                  <w:vAlign w:val="center"/>
                </w:tcPr>
                <w:p w14:paraId="539DFF7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lang w:val="en-US" w:eastAsia="zh-CN"/>
                    </w:rPr>
                    <w:t>污染物</w:t>
                  </w:r>
                  <w:r>
                    <w:rPr>
                      <w:rFonts w:hint="default" w:ascii="Times New Roman" w:hAnsi="Times New Roman" w:eastAsia="宋体" w:cs="Times New Roman"/>
                      <w:color w:val="0000FF"/>
                      <w:sz w:val="21"/>
                      <w:szCs w:val="21"/>
                    </w:rPr>
                    <w:t>排放量</w:t>
                  </w:r>
                  <w:r>
                    <w:rPr>
                      <w:rFonts w:hint="default" w:ascii="Times New Roman" w:hAnsi="Times New Roman" w:eastAsia="宋体" w:cs="Times New Roman"/>
                      <w:color w:val="0000FF"/>
                      <w:sz w:val="21"/>
                      <w:szCs w:val="21"/>
                      <w:lang w:eastAsia="zh-CN"/>
                    </w:rPr>
                    <w:t>（</w:t>
                  </w:r>
                  <w:r>
                    <w:rPr>
                      <w:rFonts w:hint="default" w:ascii="Times New Roman" w:hAnsi="Times New Roman" w:eastAsia="宋体" w:cs="Times New Roman"/>
                      <w:color w:val="0000FF"/>
                      <w:sz w:val="21"/>
                      <w:szCs w:val="21"/>
                    </w:rPr>
                    <w:t>t/a</w:t>
                  </w:r>
                  <w:r>
                    <w:rPr>
                      <w:rFonts w:hint="default" w:ascii="Times New Roman" w:hAnsi="Times New Roman" w:eastAsia="宋体" w:cs="Times New Roman"/>
                      <w:color w:val="0000FF"/>
                      <w:sz w:val="21"/>
                      <w:szCs w:val="21"/>
                      <w:lang w:eastAsia="zh-CN"/>
                    </w:rPr>
                    <w:t>）</w:t>
                  </w:r>
                </w:p>
              </w:tc>
              <w:tc>
                <w:tcPr>
                  <w:tcW w:w="1527" w:type="pct"/>
                  <w:vMerge w:val="continue"/>
                  <w:tcBorders>
                    <w:tl2br w:val="nil"/>
                    <w:tr2bl w:val="nil"/>
                  </w:tcBorders>
                  <w:shd w:val="clear" w:color="auto" w:fill="auto"/>
                  <w:noWrap w:val="0"/>
                  <w:vAlign w:val="center"/>
                </w:tcPr>
                <w:p w14:paraId="65B9304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lang w:val="en-US" w:eastAsia="zh-CN" w:bidi="ar-SA"/>
                    </w:rPr>
                  </w:pPr>
                </w:p>
              </w:tc>
              <w:tc>
                <w:tcPr>
                  <w:tcW w:w="456" w:type="pct"/>
                  <w:tcBorders>
                    <w:tl2br w:val="nil"/>
                    <w:tr2bl w:val="nil"/>
                  </w:tcBorders>
                  <w:shd w:val="clear" w:color="auto" w:fill="auto"/>
                  <w:noWrap w:val="0"/>
                  <w:vAlign w:val="center"/>
                </w:tcPr>
                <w:p w14:paraId="75E16A9C">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 xml:space="preserve">0.364 </w:t>
                  </w:r>
                </w:p>
              </w:tc>
              <w:tc>
                <w:tcPr>
                  <w:tcW w:w="504" w:type="pct"/>
                  <w:tcBorders>
                    <w:tl2br w:val="nil"/>
                    <w:tr2bl w:val="nil"/>
                  </w:tcBorders>
                  <w:shd w:val="clear" w:color="auto" w:fill="auto"/>
                  <w:noWrap w:val="0"/>
                  <w:vAlign w:val="center"/>
                </w:tcPr>
                <w:p w14:paraId="3C349FB3">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 xml:space="preserve">0.218 </w:t>
                  </w:r>
                </w:p>
              </w:tc>
              <w:tc>
                <w:tcPr>
                  <w:tcW w:w="456" w:type="pct"/>
                  <w:tcBorders>
                    <w:tl2br w:val="nil"/>
                    <w:tr2bl w:val="nil"/>
                  </w:tcBorders>
                  <w:shd w:val="clear" w:color="auto" w:fill="auto"/>
                  <w:noWrap w:val="0"/>
                  <w:vAlign w:val="center"/>
                </w:tcPr>
                <w:p w14:paraId="75E4679A">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 xml:space="preserve">0.182 </w:t>
                  </w:r>
                </w:p>
              </w:tc>
              <w:tc>
                <w:tcPr>
                  <w:tcW w:w="456" w:type="pct"/>
                  <w:tcBorders>
                    <w:tl2br w:val="nil"/>
                    <w:tr2bl w:val="nil"/>
                  </w:tcBorders>
                  <w:noWrap w:val="0"/>
                  <w:vAlign w:val="center"/>
                </w:tcPr>
                <w:p w14:paraId="6724C204">
                  <w:pPr>
                    <w:keepNext w:val="0"/>
                    <w:keepLines w:val="0"/>
                    <w:widowControl/>
                    <w:suppressLineNumbers w:val="0"/>
                    <w:jc w:val="center"/>
                    <w:textAlignment w:val="center"/>
                    <w:rPr>
                      <w:rFonts w:hint="default" w:ascii="Times New Roman" w:hAnsi="Times New Roman" w:eastAsia="宋体" w:cs="Times New Roman"/>
                      <w:color w:val="0000FF"/>
                      <w:sz w:val="21"/>
                      <w:szCs w:val="21"/>
                      <w:lang w:val="en-US" w:eastAsia="zh-CN"/>
                    </w:rPr>
                  </w:pPr>
                  <w:r>
                    <w:rPr>
                      <w:rFonts w:hint="default" w:ascii="Times New Roman" w:hAnsi="Times New Roman" w:eastAsia="宋体" w:cs="Times New Roman"/>
                      <w:i w:val="0"/>
                      <w:iCs w:val="0"/>
                      <w:color w:val="0000FF"/>
                      <w:kern w:val="0"/>
                      <w:sz w:val="21"/>
                      <w:szCs w:val="21"/>
                      <w:u w:val="none"/>
                      <w:lang w:val="en-US" w:eastAsia="zh-CN" w:bidi="ar"/>
                    </w:rPr>
                    <w:t xml:space="preserve">0.032 </w:t>
                  </w:r>
                </w:p>
              </w:tc>
            </w:tr>
            <w:tr w14:paraId="3504F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1" w:hRule="exact"/>
                <w:jc w:val="center"/>
              </w:trPr>
              <w:tc>
                <w:tcPr>
                  <w:tcW w:w="1599" w:type="pct"/>
                  <w:tcBorders>
                    <w:tl2br w:val="nil"/>
                    <w:tr2bl w:val="nil"/>
                  </w:tcBorders>
                  <w:noWrap w:val="0"/>
                  <w:vAlign w:val="center"/>
                </w:tcPr>
                <w:p w14:paraId="629DC3E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三级排放标准值</w:t>
                  </w:r>
                </w:p>
              </w:tc>
              <w:tc>
                <w:tcPr>
                  <w:tcW w:w="1527" w:type="pct"/>
                  <w:tcBorders>
                    <w:tl2br w:val="nil"/>
                    <w:tr2bl w:val="nil"/>
                  </w:tcBorders>
                  <w:shd w:val="clear" w:color="auto" w:fill="auto"/>
                  <w:noWrap w:val="0"/>
                  <w:vAlign w:val="center"/>
                </w:tcPr>
                <w:p w14:paraId="45EEA41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Cs/>
                      <w:color w:val="0000FF"/>
                      <w:kern w:val="2"/>
                      <w:sz w:val="21"/>
                      <w:szCs w:val="21"/>
                      <w:lang w:val="en-US" w:eastAsia="zh-CN" w:bidi="ar-SA"/>
                    </w:rPr>
                  </w:pPr>
                  <w:r>
                    <w:rPr>
                      <w:rFonts w:hint="default" w:ascii="Times New Roman" w:hAnsi="Times New Roman" w:eastAsia="宋体" w:cs="Times New Roman"/>
                      <w:bCs/>
                      <w:color w:val="0000FF"/>
                      <w:kern w:val="2"/>
                      <w:sz w:val="21"/>
                      <w:szCs w:val="21"/>
                      <w:lang w:val="en-US" w:eastAsia="zh-CN" w:bidi="ar-SA"/>
                    </w:rPr>
                    <w:t>--</w:t>
                  </w:r>
                </w:p>
              </w:tc>
              <w:tc>
                <w:tcPr>
                  <w:tcW w:w="456" w:type="pct"/>
                  <w:tcBorders>
                    <w:tl2br w:val="nil"/>
                    <w:tr2bl w:val="nil"/>
                  </w:tcBorders>
                  <w:shd w:val="clear" w:color="auto" w:fill="auto"/>
                  <w:noWrap w:val="0"/>
                  <w:vAlign w:val="center"/>
                </w:tcPr>
                <w:p w14:paraId="1BD5B4C2">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500</w:t>
                  </w:r>
                </w:p>
              </w:tc>
              <w:tc>
                <w:tcPr>
                  <w:tcW w:w="504" w:type="pct"/>
                  <w:tcBorders>
                    <w:tl2br w:val="nil"/>
                    <w:tr2bl w:val="nil"/>
                  </w:tcBorders>
                  <w:shd w:val="clear" w:color="auto" w:fill="auto"/>
                  <w:noWrap w:val="0"/>
                  <w:vAlign w:val="center"/>
                </w:tcPr>
                <w:p w14:paraId="5EB5E425">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300</w:t>
                  </w:r>
                </w:p>
              </w:tc>
              <w:tc>
                <w:tcPr>
                  <w:tcW w:w="456" w:type="pct"/>
                  <w:tcBorders>
                    <w:tl2br w:val="nil"/>
                    <w:tr2bl w:val="nil"/>
                  </w:tcBorders>
                  <w:shd w:val="clear" w:color="auto" w:fill="auto"/>
                  <w:noWrap w:val="0"/>
                  <w:vAlign w:val="center"/>
                </w:tcPr>
                <w:p w14:paraId="73E189CB">
                  <w:pPr>
                    <w:keepNext w:val="0"/>
                    <w:keepLines w:val="0"/>
                    <w:widowControl/>
                    <w:suppressLineNumbers w:val="0"/>
                    <w:jc w:val="center"/>
                    <w:textAlignment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i w:val="0"/>
                      <w:iCs w:val="0"/>
                      <w:color w:val="0000FF"/>
                      <w:kern w:val="0"/>
                      <w:sz w:val="21"/>
                      <w:szCs w:val="21"/>
                      <w:u w:val="none"/>
                      <w:lang w:val="en-US" w:eastAsia="zh-CN" w:bidi="ar"/>
                    </w:rPr>
                    <w:t>400</w:t>
                  </w:r>
                </w:p>
              </w:tc>
              <w:tc>
                <w:tcPr>
                  <w:tcW w:w="456" w:type="pct"/>
                  <w:tcBorders>
                    <w:tl2br w:val="nil"/>
                    <w:tr2bl w:val="nil"/>
                  </w:tcBorders>
                  <w:noWrap w:val="0"/>
                  <w:vAlign w:val="center"/>
                </w:tcPr>
                <w:p w14:paraId="5FD508B8">
                  <w:pPr>
                    <w:keepNext w:val="0"/>
                    <w:keepLines w:val="0"/>
                    <w:widowControl/>
                    <w:suppressLineNumbers w:val="0"/>
                    <w:jc w:val="center"/>
                    <w:textAlignment w:val="center"/>
                    <w:rPr>
                      <w:rFonts w:hint="default" w:ascii="Times New Roman" w:hAnsi="Times New Roman" w:eastAsia="宋体" w:cs="Times New Roman"/>
                      <w:color w:val="0000FF"/>
                      <w:sz w:val="21"/>
                      <w:szCs w:val="21"/>
                    </w:rPr>
                  </w:pPr>
                  <w:r>
                    <w:rPr>
                      <w:rFonts w:hint="default" w:ascii="Times New Roman" w:hAnsi="Times New Roman" w:eastAsia="宋体" w:cs="Times New Roman"/>
                      <w:i w:val="0"/>
                      <w:iCs w:val="0"/>
                      <w:color w:val="0000FF"/>
                      <w:kern w:val="0"/>
                      <w:sz w:val="21"/>
                      <w:szCs w:val="21"/>
                      <w:u w:val="none"/>
                      <w:lang w:val="en-US" w:eastAsia="zh-CN" w:bidi="ar"/>
                    </w:rPr>
                    <w:t>---</w:t>
                  </w:r>
                </w:p>
              </w:tc>
            </w:tr>
          </w:tbl>
          <w:p w14:paraId="6445FBE4">
            <w:pPr>
              <w:keepNext w:val="0"/>
              <w:keepLines w:val="0"/>
              <w:pageBreakBefore w:val="0"/>
              <w:widowControl w:val="0"/>
              <w:kinsoku/>
              <w:wordWrap/>
              <w:overflowPunct/>
              <w:topLinePunct w:val="0"/>
              <w:autoSpaceDE w:val="0"/>
              <w:autoSpaceDN w:val="0"/>
              <w:bidi w:val="0"/>
              <w:adjustRightInd/>
              <w:snapToGrid/>
              <w:spacing w:line="360" w:lineRule="auto"/>
              <w:ind w:firstLine="474" w:firstLineChars="225"/>
              <w:jc w:val="center"/>
              <w:textAlignment w:val="auto"/>
              <w:rPr>
                <w:rFonts w:hint="default" w:ascii="Times New Roman" w:hAnsi="Times New Roman" w:eastAsia="宋体" w:cs="Times New Roman"/>
                <w:b/>
                <w:color w:val="auto"/>
                <w:sz w:val="21"/>
                <w:szCs w:val="21"/>
              </w:rPr>
            </w:pPr>
          </w:p>
          <w:p w14:paraId="483E69CC">
            <w:pPr>
              <w:keepNext w:val="0"/>
              <w:keepLines w:val="0"/>
              <w:pageBreakBefore w:val="0"/>
              <w:widowControl w:val="0"/>
              <w:kinsoku/>
              <w:wordWrap/>
              <w:overflowPunct/>
              <w:topLinePunct w:val="0"/>
              <w:autoSpaceDE w:val="0"/>
              <w:autoSpaceDN w:val="0"/>
              <w:bidi w:val="0"/>
              <w:adjustRightInd/>
              <w:snapToGrid/>
              <w:spacing w:line="360" w:lineRule="auto"/>
              <w:ind w:firstLine="542" w:firstLineChars="225"/>
              <w:jc w:val="center"/>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4"/>
                <w:szCs w:val="24"/>
                <w:vertAlign w:val="baseline"/>
              </w:rPr>
              <w:t>表</w:t>
            </w:r>
            <w:r>
              <w:rPr>
                <w:rFonts w:hint="default" w:ascii="Times New Roman" w:hAnsi="Times New Roman" w:eastAsia="宋体" w:cs="Times New Roman"/>
                <w:b/>
                <w:color w:val="auto"/>
                <w:sz w:val="24"/>
                <w:szCs w:val="24"/>
                <w:vertAlign w:val="baseline"/>
                <w:lang w:val="en-US" w:eastAsia="zh-CN"/>
              </w:rPr>
              <w:t>4.7-2</w:t>
            </w:r>
            <w:r>
              <w:rPr>
                <w:rFonts w:hint="default" w:ascii="Times New Roman" w:hAnsi="Times New Roman" w:eastAsia="宋体" w:cs="Times New Roman"/>
                <w:b/>
                <w:color w:val="auto"/>
                <w:sz w:val="24"/>
                <w:szCs w:val="24"/>
                <w:vertAlign w:val="baseline"/>
              </w:rPr>
              <w:t xml:space="preserve">   项目废水总排口基本情况参数表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1791"/>
              <w:gridCol w:w="1334"/>
              <w:gridCol w:w="2142"/>
              <w:gridCol w:w="2046"/>
            </w:tblGrid>
            <w:tr w14:paraId="02E2C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82" w:type="pct"/>
                  <w:vMerge w:val="restart"/>
                  <w:noWrap w:val="0"/>
                  <w:vAlign w:val="center"/>
                </w:tcPr>
                <w:p w14:paraId="5E3764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编号</w:t>
                  </w:r>
                </w:p>
              </w:tc>
              <w:tc>
                <w:tcPr>
                  <w:tcW w:w="1106" w:type="pct"/>
                  <w:vMerge w:val="restart"/>
                  <w:noWrap w:val="0"/>
                  <w:vAlign w:val="center"/>
                </w:tcPr>
                <w:p w14:paraId="75476E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824" w:type="pct"/>
                  <w:vMerge w:val="restart"/>
                  <w:noWrap w:val="0"/>
                  <w:vAlign w:val="center"/>
                </w:tcPr>
                <w:p w14:paraId="19A9BB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排放口类型</w:t>
                  </w:r>
                </w:p>
              </w:tc>
              <w:tc>
                <w:tcPr>
                  <w:tcW w:w="2586" w:type="pct"/>
                  <w:gridSpan w:val="2"/>
                  <w:noWrap w:val="0"/>
                  <w:vAlign w:val="center"/>
                </w:tcPr>
                <w:p w14:paraId="5B9BF4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坐标</w:t>
                  </w:r>
                </w:p>
              </w:tc>
            </w:tr>
            <w:tr w14:paraId="68FC3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pct"/>
                  <w:vMerge w:val="continue"/>
                  <w:noWrap w:val="0"/>
                  <w:vAlign w:val="center"/>
                </w:tcPr>
                <w:p w14:paraId="58AA18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p>
              </w:tc>
              <w:tc>
                <w:tcPr>
                  <w:tcW w:w="1106" w:type="pct"/>
                  <w:vMerge w:val="continue"/>
                  <w:noWrap w:val="0"/>
                  <w:vAlign w:val="center"/>
                </w:tcPr>
                <w:p w14:paraId="6D51C8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p>
              </w:tc>
              <w:tc>
                <w:tcPr>
                  <w:tcW w:w="824" w:type="pct"/>
                  <w:vMerge w:val="continue"/>
                  <w:noWrap w:val="0"/>
                  <w:vAlign w:val="center"/>
                </w:tcPr>
                <w:p w14:paraId="072609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p>
              </w:tc>
              <w:tc>
                <w:tcPr>
                  <w:tcW w:w="1323" w:type="pct"/>
                  <w:noWrap w:val="0"/>
                  <w:vAlign w:val="center"/>
                </w:tcPr>
                <w:p w14:paraId="259AC3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经度</w:t>
                  </w:r>
                </w:p>
              </w:tc>
              <w:tc>
                <w:tcPr>
                  <w:tcW w:w="1263" w:type="pct"/>
                  <w:noWrap w:val="0"/>
                  <w:vAlign w:val="center"/>
                </w:tcPr>
                <w:p w14:paraId="5CF898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纬度</w:t>
                  </w:r>
                </w:p>
              </w:tc>
            </w:tr>
            <w:tr w14:paraId="02C60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2" w:type="pct"/>
                  <w:noWrap w:val="0"/>
                  <w:vAlign w:val="center"/>
                </w:tcPr>
                <w:p w14:paraId="57F87C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06" w:type="pct"/>
                  <w:noWrap w:val="0"/>
                  <w:vAlign w:val="center"/>
                </w:tcPr>
                <w:p w14:paraId="730D70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eastAsia="zh-CN"/>
                    </w:rPr>
                    <w:t>污水</w:t>
                  </w:r>
                  <w:r>
                    <w:rPr>
                      <w:rFonts w:hint="default" w:ascii="Times New Roman" w:hAnsi="Times New Roman" w:eastAsia="宋体" w:cs="Times New Roman"/>
                      <w:color w:val="auto"/>
                      <w:sz w:val="21"/>
                      <w:szCs w:val="21"/>
                      <w:lang w:val="en-US" w:eastAsia="zh-CN"/>
                    </w:rPr>
                    <w:t>排放口</w:t>
                  </w:r>
                </w:p>
              </w:tc>
              <w:tc>
                <w:tcPr>
                  <w:tcW w:w="824" w:type="pct"/>
                  <w:noWrap w:val="0"/>
                  <w:vAlign w:val="center"/>
                </w:tcPr>
                <w:p w14:paraId="38A4D3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一般排放口</w:t>
                  </w:r>
                </w:p>
              </w:tc>
              <w:tc>
                <w:tcPr>
                  <w:tcW w:w="1323" w:type="pct"/>
                  <w:noWrap w:val="0"/>
                  <w:vAlign w:val="center"/>
                </w:tcPr>
                <w:p w14:paraId="749DD6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6"/>
                      <w:kern w:val="2"/>
                      <w:sz w:val="21"/>
                      <w:szCs w:val="21"/>
                      <w:lang w:val="en-US" w:eastAsia="zh-CN" w:bidi="ar-SA"/>
                    </w:rPr>
                  </w:pPr>
                  <w:r>
                    <w:rPr>
                      <w:rFonts w:hint="default" w:ascii="Times New Roman" w:hAnsi="Times New Roman" w:eastAsia="宋体" w:cs="Times New Roman"/>
                      <w:b w:val="0"/>
                      <w:bCs w:val="0"/>
                      <w:smallCaps w:val="0"/>
                      <w:color w:val="auto"/>
                      <w:spacing w:val="16"/>
                      <w:kern w:val="2"/>
                      <w:sz w:val="21"/>
                      <w:szCs w:val="21"/>
                      <w:vertAlign w:val="baseline"/>
                      <w:lang w:val="en-US" w:eastAsia="zh-CN" w:bidi="ar-SA"/>
                    </w:rPr>
                    <w:t>109°38′58.56542″</w:t>
                  </w:r>
                </w:p>
              </w:tc>
              <w:tc>
                <w:tcPr>
                  <w:tcW w:w="1263" w:type="pct"/>
                  <w:noWrap w:val="0"/>
                  <w:vAlign w:val="center"/>
                </w:tcPr>
                <w:p w14:paraId="2C14C4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pacing w:val="16"/>
                      <w:kern w:val="2"/>
                      <w:sz w:val="21"/>
                      <w:szCs w:val="21"/>
                      <w:lang w:val="en-US" w:eastAsia="zh-CN" w:bidi="ar-SA"/>
                    </w:rPr>
                  </w:pPr>
                  <w:r>
                    <w:rPr>
                      <w:rFonts w:hint="default" w:ascii="Times New Roman" w:hAnsi="Times New Roman" w:eastAsia="宋体" w:cs="Times New Roman"/>
                      <w:b w:val="0"/>
                      <w:bCs w:val="0"/>
                      <w:smallCaps w:val="0"/>
                      <w:color w:val="auto"/>
                      <w:spacing w:val="16"/>
                      <w:kern w:val="2"/>
                      <w:sz w:val="21"/>
                      <w:szCs w:val="21"/>
                      <w:vertAlign w:val="baseline"/>
                      <w:lang w:val="en-US" w:eastAsia="zh-CN" w:bidi="ar-SA"/>
                    </w:rPr>
                    <w:t>40°34′56.06642″</w:t>
                  </w:r>
                </w:p>
              </w:tc>
            </w:tr>
          </w:tbl>
          <w:p w14:paraId="285D172A">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7.2可行性分析</w:t>
            </w:r>
          </w:p>
          <w:p w14:paraId="29D6A9E3">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auto"/>
                <w:kern w:val="0"/>
                <w:sz w:val="24"/>
                <w:szCs w:val="21"/>
                <w:lang w:val="en-US" w:eastAsia="zh-CN" w:bidi="ar-SA"/>
              </w:rPr>
            </w:pPr>
            <w:r>
              <w:rPr>
                <w:rFonts w:hint="default" w:ascii="Times New Roman" w:hAnsi="Times New Roman" w:eastAsia="宋体" w:cs="Times New Roman"/>
                <w:color w:val="auto"/>
                <w:kern w:val="0"/>
                <w:sz w:val="24"/>
                <w:szCs w:val="21"/>
                <w:lang w:val="en-US" w:eastAsia="zh-CN" w:bidi="ar-SA"/>
              </w:rPr>
              <w:t>①生活污水排入九原水质净化厂可行性分析</w:t>
            </w:r>
          </w:p>
          <w:p w14:paraId="7E041D6C">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auto"/>
                <w:kern w:val="0"/>
                <w:sz w:val="24"/>
                <w:szCs w:val="24"/>
                <w:lang w:val="zh-CN" w:eastAsia="zh-CN" w:bidi="zh-CN"/>
              </w:rPr>
            </w:pPr>
            <w:r>
              <w:rPr>
                <w:rFonts w:hint="default" w:ascii="Times New Roman" w:hAnsi="Times New Roman" w:eastAsia="宋体" w:cs="Times New Roman"/>
                <w:color w:val="auto"/>
                <w:kern w:val="0"/>
                <w:sz w:val="24"/>
                <w:szCs w:val="21"/>
                <w:lang w:val="en-US" w:eastAsia="zh-CN" w:bidi="ar-SA"/>
              </w:rPr>
              <w:t>九原水质净化厂位于园区经七路以东、纬九路以北，占地面积约 6万m</w:t>
            </w:r>
            <w:r>
              <w:rPr>
                <w:rFonts w:hint="default" w:ascii="Times New Roman" w:hAnsi="Times New Roman" w:eastAsia="宋体" w:cs="Times New Roman"/>
                <w:color w:val="auto"/>
                <w:kern w:val="0"/>
                <w:sz w:val="24"/>
                <w:szCs w:val="21"/>
                <w:vertAlign w:val="superscript"/>
                <w:lang w:val="en-US" w:eastAsia="zh-CN" w:bidi="ar-SA"/>
              </w:rPr>
              <w:t>2</w:t>
            </w:r>
            <w:r>
              <w:rPr>
                <w:rFonts w:hint="default" w:ascii="Times New Roman" w:hAnsi="Times New Roman" w:eastAsia="宋体" w:cs="Times New Roman"/>
                <w:color w:val="auto"/>
                <w:kern w:val="0"/>
                <w:sz w:val="24"/>
                <w:szCs w:val="21"/>
                <w:lang w:val="en-US" w:eastAsia="zh-CN" w:bidi="ar-SA"/>
              </w:rPr>
              <w:t>， 承担工业园区生活污水和生产废水的治理，近期处理规模为5万t/d，远期处理规模为20万t/d，污水处理工艺采用预处理+水解酸化+改良A</w:t>
            </w:r>
            <w:r>
              <w:rPr>
                <w:rFonts w:hint="default" w:ascii="Times New Roman" w:hAnsi="Times New Roman" w:eastAsia="宋体" w:cs="Times New Roman"/>
                <w:color w:val="auto"/>
                <w:kern w:val="0"/>
                <w:sz w:val="24"/>
                <w:szCs w:val="21"/>
                <w:vertAlign w:val="superscript"/>
                <w:lang w:val="en-US" w:eastAsia="zh-CN" w:bidi="ar-SA"/>
              </w:rPr>
              <w:t>2</w:t>
            </w:r>
            <w:r>
              <w:rPr>
                <w:rFonts w:hint="default" w:ascii="Times New Roman" w:hAnsi="Times New Roman" w:eastAsia="宋体" w:cs="Times New Roman"/>
                <w:color w:val="auto"/>
                <w:kern w:val="0"/>
                <w:sz w:val="24"/>
                <w:szCs w:val="21"/>
                <w:lang w:val="en-US" w:eastAsia="zh-CN" w:bidi="ar-SA"/>
              </w:rPr>
              <w:t xml:space="preserve"> /O的MBR处理工艺，出水水质好，效果稳定可靠。综上分析可知，九原水质净化厂处理规模、处理工艺满足本项目要求，九原水质净化厂出水满足《城镇污水处理厂污染物排放标准》（GB18918- 2002）一级 A 标准后在园区内进行回用，</w:t>
            </w:r>
            <w:r>
              <w:rPr>
                <w:rFonts w:hint="default" w:ascii="Times New Roman" w:hAnsi="Times New Roman" w:eastAsia="宋体" w:cs="Times New Roman"/>
                <w:color w:val="auto"/>
                <w:kern w:val="0"/>
                <w:sz w:val="24"/>
                <w:szCs w:val="24"/>
                <w:lang w:val="zh-CN" w:eastAsia="zh-CN" w:bidi="zh-CN"/>
              </w:rPr>
              <w:t>本项目</w:t>
            </w:r>
            <w:r>
              <w:rPr>
                <w:rFonts w:hint="default" w:ascii="Times New Roman" w:hAnsi="Times New Roman" w:cs="Times New Roman"/>
                <w:color w:val="auto"/>
                <w:kern w:val="0"/>
                <w:sz w:val="24"/>
                <w:szCs w:val="24"/>
                <w:lang w:val="en-US" w:eastAsia="zh-CN" w:bidi="zh-CN"/>
              </w:rPr>
              <w:t>废水</w:t>
            </w:r>
            <w:r>
              <w:rPr>
                <w:rFonts w:hint="default" w:ascii="Times New Roman" w:hAnsi="Times New Roman" w:eastAsia="宋体" w:cs="Times New Roman"/>
                <w:color w:val="auto"/>
                <w:kern w:val="0"/>
                <w:sz w:val="24"/>
                <w:szCs w:val="24"/>
                <w:lang w:val="zh-CN" w:eastAsia="zh-CN" w:bidi="zh-CN"/>
              </w:rPr>
              <w:t>排放量为</w:t>
            </w:r>
            <w:r>
              <w:rPr>
                <w:rFonts w:hint="default" w:ascii="Times New Roman" w:hAnsi="Times New Roman" w:cs="Times New Roman"/>
                <w:color w:val="auto"/>
                <w:kern w:val="0"/>
                <w:sz w:val="24"/>
                <w:szCs w:val="24"/>
                <w:lang w:val="en-US" w:eastAsia="zh-CN" w:bidi="zh-CN"/>
              </w:rPr>
              <w:t>2.</w:t>
            </w:r>
            <w:r>
              <w:rPr>
                <w:rFonts w:hint="eastAsia" w:cs="Times New Roman"/>
                <w:color w:val="auto"/>
                <w:kern w:val="0"/>
                <w:sz w:val="24"/>
                <w:szCs w:val="24"/>
                <w:lang w:val="en-US" w:eastAsia="zh-CN" w:bidi="zh-CN"/>
              </w:rPr>
              <w:t>88</w:t>
            </w:r>
            <w:r>
              <w:rPr>
                <w:rFonts w:hint="default" w:ascii="Times New Roman" w:hAnsi="Times New Roman" w:eastAsia="宋体" w:cs="Times New Roman"/>
                <w:color w:val="auto"/>
                <w:kern w:val="0"/>
                <w:sz w:val="24"/>
                <w:szCs w:val="24"/>
                <w:lang w:val="zh-CN" w:eastAsia="zh-CN" w:bidi="zh-CN"/>
              </w:rPr>
              <w:t>m</w:t>
            </w:r>
            <w:r>
              <w:rPr>
                <w:rFonts w:hint="default" w:ascii="Times New Roman" w:hAnsi="Times New Roman" w:eastAsia="宋体" w:cs="Times New Roman"/>
                <w:color w:val="auto"/>
                <w:kern w:val="0"/>
                <w:sz w:val="24"/>
                <w:szCs w:val="24"/>
                <w:vertAlign w:val="superscript"/>
                <w:lang w:val="zh-CN" w:eastAsia="zh-CN" w:bidi="zh-CN"/>
              </w:rPr>
              <w:t>3</w:t>
            </w:r>
            <w:r>
              <w:rPr>
                <w:rFonts w:hint="default" w:ascii="Times New Roman" w:hAnsi="Times New Roman" w:eastAsia="宋体" w:cs="Times New Roman"/>
                <w:color w:val="auto"/>
                <w:kern w:val="0"/>
                <w:sz w:val="24"/>
                <w:szCs w:val="24"/>
                <w:vertAlign w:val="baseline"/>
                <w:lang w:val="en-US" w:eastAsia="zh-CN" w:bidi="zh-CN"/>
              </w:rPr>
              <w:t>/d</w:t>
            </w:r>
            <w:r>
              <w:rPr>
                <w:rFonts w:hint="default" w:ascii="Times New Roman" w:hAnsi="Times New Roman" w:eastAsia="宋体" w:cs="Times New Roman"/>
                <w:color w:val="auto"/>
                <w:kern w:val="0"/>
                <w:sz w:val="24"/>
                <w:szCs w:val="24"/>
                <w:lang w:val="zh-CN" w:eastAsia="zh-CN" w:bidi="zh-CN"/>
              </w:rPr>
              <w:t>，废水水质符合九原水质净化厂进水水质要求，所排放废水不会对九原水质净化厂造成较大的影响。九原水质净化厂收纳污水5万m</w:t>
            </w:r>
            <w:r>
              <w:rPr>
                <w:rFonts w:hint="default" w:ascii="Times New Roman" w:hAnsi="Times New Roman" w:eastAsia="宋体" w:cs="Times New Roman"/>
                <w:color w:val="auto"/>
                <w:kern w:val="0"/>
                <w:sz w:val="24"/>
                <w:szCs w:val="24"/>
                <w:vertAlign w:val="superscript"/>
                <w:lang w:val="zh-CN" w:eastAsia="zh-CN" w:bidi="zh-CN"/>
              </w:rPr>
              <w:t>3</w:t>
            </w:r>
            <w:r>
              <w:rPr>
                <w:rFonts w:hint="default" w:ascii="Times New Roman" w:hAnsi="Times New Roman" w:eastAsia="宋体" w:cs="Times New Roman"/>
                <w:color w:val="auto"/>
                <w:kern w:val="0"/>
                <w:sz w:val="24"/>
                <w:szCs w:val="24"/>
                <w:lang w:val="zh-CN" w:eastAsia="zh-CN" w:bidi="zh-CN"/>
              </w:rPr>
              <w:t>/d，可以满足现有项目污水净化需要。</w:t>
            </w:r>
          </w:p>
          <w:p w14:paraId="18721B03">
            <w:pPr>
              <w:keepNext w:val="0"/>
              <w:keepLines w:val="0"/>
              <w:pageBreakBefore w:val="0"/>
              <w:widowControl/>
              <w:numPr>
                <w:ilvl w:val="0"/>
                <w:numId w:val="0"/>
              </w:numPr>
              <w:kinsoku/>
              <w:wordWrap w:val="0"/>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aps w:val="0"/>
                <w:color w:val="auto"/>
                <w:sz w:val="24"/>
                <w:szCs w:val="24"/>
                <w:lang w:val="en-US" w:eastAsia="zh-CN"/>
              </w:rPr>
            </w:pPr>
            <w:r>
              <w:rPr>
                <w:rFonts w:hint="default" w:ascii="Times New Roman" w:hAnsi="Times New Roman" w:eastAsia="宋体" w:cs="Times New Roman"/>
                <w:b/>
                <w:bCs/>
                <w:caps w:val="0"/>
                <w:color w:val="auto"/>
                <w:sz w:val="24"/>
                <w:szCs w:val="24"/>
                <w:lang w:val="en-US" w:eastAsia="zh-CN"/>
              </w:rPr>
              <w:t>7.3事故废水收集可行性分析</w:t>
            </w:r>
          </w:p>
          <w:p w14:paraId="6700B1FB">
            <w:pPr>
              <w:widowControl/>
              <w:bidi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0"/>
                <w:lang w:val="en-US" w:eastAsia="zh-CN"/>
              </w:rPr>
            </w:pPr>
            <w:r>
              <w:rPr>
                <w:rFonts w:hint="default" w:ascii="Times New Roman" w:hAnsi="Times New Roman" w:eastAsia="宋体" w:cs="Times New Roman"/>
                <w:color w:val="auto"/>
                <w:kern w:val="0"/>
                <w:sz w:val="24"/>
                <w:szCs w:val="20"/>
                <w:lang w:val="en-US" w:eastAsia="zh-CN"/>
              </w:rPr>
              <w:t>根据《化工建设项目环境保护设计规范》(GB50483-2009)和《事故状态下水体污染的预防和控制技术要求》(Q/SY1190-2009)相关规定，事故存储设施总 有效容积的计算公式如下：</w:t>
            </w:r>
          </w:p>
          <w:p w14:paraId="1521D48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center"/>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总</w:t>
            </w: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1</w:t>
            </w: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2</w:t>
            </w: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3</w:t>
            </w:r>
            <w:r>
              <w:rPr>
                <w:rFonts w:hint="default" w:ascii="Times New Roman" w:hAnsi="Times New Roman" w:eastAsia="宋体" w:cs="Times New Roman"/>
                <w:color w:val="auto"/>
                <w:kern w:val="2"/>
                <w:sz w:val="24"/>
                <w:szCs w:val="22"/>
                <w:highlight w:val="none"/>
              </w:rPr>
              <w:t>）</w:t>
            </w:r>
            <w:r>
              <w:rPr>
                <w:rFonts w:hint="default" w:ascii="Times New Roman" w:hAnsi="Times New Roman" w:eastAsia="宋体" w:cs="Times New Roman"/>
                <w:color w:val="auto"/>
                <w:kern w:val="2"/>
                <w:sz w:val="24"/>
                <w:szCs w:val="22"/>
                <w:highlight w:val="none"/>
                <w:vertAlign w:val="subscript"/>
              </w:rPr>
              <w:t>max</w:t>
            </w:r>
            <w:r>
              <w:rPr>
                <w:rFonts w:hint="default" w:ascii="Times New Roman" w:hAnsi="Times New Roman" w:eastAsia="宋体" w:cs="Times New Roman"/>
                <w:color w:val="auto"/>
                <w:kern w:val="2"/>
                <w:sz w:val="24"/>
                <w:szCs w:val="22"/>
                <w:highlight w:val="none"/>
              </w:rPr>
              <w:t xml:space="preserve"> + V</w:t>
            </w:r>
            <w:r>
              <w:rPr>
                <w:rFonts w:hint="default" w:ascii="Times New Roman" w:hAnsi="Times New Roman" w:eastAsia="宋体" w:cs="Times New Roman"/>
                <w:color w:val="auto"/>
                <w:kern w:val="2"/>
                <w:sz w:val="24"/>
                <w:szCs w:val="22"/>
                <w:highlight w:val="none"/>
                <w:vertAlign w:val="subscript"/>
              </w:rPr>
              <w:t>4</w:t>
            </w:r>
            <w:r>
              <w:rPr>
                <w:rFonts w:hint="default" w:ascii="Times New Roman" w:hAnsi="Times New Roman" w:eastAsia="宋体" w:cs="Times New Roman"/>
                <w:color w:val="auto"/>
                <w:kern w:val="2"/>
                <w:sz w:val="24"/>
                <w:szCs w:val="22"/>
                <w:highlight w:val="none"/>
              </w:rPr>
              <w:t>+ V</w:t>
            </w:r>
            <w:r>
              <w:rPr>
                <w:rFonts w:hint="default" w:ascii="Times New Roman" w:hAnsi="Times New Roman" w:eastAsia="宋体" w:cs="Times New Roman"/>
                <w:color w:val="auto"/>
                <w:kern w:val="2"/>
                <w:sz w:val="24"/>
                <w:szCs w:val="22"/>
                <w:highlight w:val="none"/>
                <w:vertAlign w:val="subscript"/>
              </w:rPr>
              <w:t>5</w:t>
            </w:r>
          </w:p>
          <w:p w14:paraId="577B88ED">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注：（V</w:t>
            </w:r>
            <w:r>
              <w:rPr>
                <w:rFonts w:hint="default" w:ascii="Times New Roman" w:hAnsi="Times New Roman" w:eastAsia="宋体" w:cs="Times New Roman"/>
                <w:color w:val="auto"/>
                <w:kern w:val="2"/>
                <w:sz w:val="24"/>
                <w:szCs w:val="22"/>
                <w:highlight w:val="none"/>
                <w:vertAlign w:val="subscript"/>
              </w:rPr>
              <w:t>1</w:t>
            </w: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2</w:t>
            </w: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3</w:t>
            </w:r>
            <w:r>
              <w:rPr>
                <w:rFonts w:hint="default" w:ascii="Times New Roman" w:hAnsi="Times New Roman" w:eastAsia="宋体" w:cs="Times New Roman"/>
                <w:color w:val="auto"/>
                <w:kern w:val="2"/>
                <w:sz w:val="24"/>
                <w:szCs w:val="22"/>
                <w:highlight w:val="none"/>
              </w:rPr>
              <w:t>）</w:t>
            </w:r>
            <w:r>
              <w:rPr>
                <w:rFonts w:hint="default" w:ascii="Times New Roman" w:hAnsi="Times New Roman" w:eastAsia="宋体" w:cs="Times New Roman"/>
                <w:color w:val="auto"/>
                <w:kern w:val="2"/>
                <w:sz w:val="24"/>
                <w:szCs w:val="22"/>
                <w:highlight w:val="none"/>
                <w:vertAlign w:val="subscript"/>
              </w:rPr>
              <w:t>max</w:t>
            </w:r>
            <w:r>
              <w:rPr>
                <w:rFonts w:hint="default" w:ascii="Times New Roman" w:hAnsi="Times New Roman" w:eastAsia="宋体" w:cs="Times New Roman"/>
                <w:color w:val="auto"/>
                <w:kern w:val="2"/>
                <w:sz w:val="24"/>
                <w:szCs w:val="22"/>
                <w:highlight w:val="none"/>
              </w:rPr>
              <w:t>是指对收集系统范围内不同罐组或装置分别计算V</w:t>
            </w:r>
            <w:r>
              <w:rPr>
                <w:rFonts w:hint="default" w:ascii="Times New Roman" w:hAnsi="Times New Roman" w:eastAsia="宋体" w:cs="Times New Roman"/>
                <w:color w:val="auto"/>
                <w:kern w:val="2"/>
                <w:sz w:val="24"/>
                <w:szCs w:val="22"/>
                <w:highlight w:val="none"/>
                <w:vertAlign w:val="subscript"/>
              </w:rPr>
              <w:t>1</w:t>
            </w:r>
            <w:r>
              <w:rPr>
                <w:rFonts w:hint="default" w:ascii="Times New Roman" w:hAnsi="Times New Roman" w:eastAsia="宋体" w:cs="Times New Roman"/>
                <w:color w:val="auto"/>
                <w:kern w:val="2"/>
                <w:sz w:val="24"/>
                <w:szCs w:val="22"/>
                <w:highlight w:val="none"/>
              </w:rPr>
              <w:t>+ V</w:t>
            </w:r>
            <w:r>
              <w:rPr>
                <w:rFonts w:hint="default" w:ascii="Times New Roman" w:hAnsi="Times New Roman" w:eastAsia="宋体" w:cs="Times New Roman"/>
                <w:color w:val="auto"/>
                <w:kern w:val="2"/>
                <w:sz w:val="24"/>
                <w:szCs w:val="22"/>
                <w:highlight w:val="none"/>
                <w:vertAlign w:val="subscript"/>
              </w:rPr>
              <w:t>2</w:t>
            </w:r>
            <w:r>
              <w:rPr>
                <w:rFonts w:hint="default" w:ascii="Times New Roman" w:hAnsi="Times New Roman" w:eastAsia="宋体" w:cs="Times New Roman"/>
                <w:color w:val="auto"/>
                <w:kern w:val="2"/>
                <w:sz w:val="24"/>
                <w:szCs w:val="22"/>
                <w:highlight w:val="none"/>
              </w:rPr>
              <w:t xml:space="preserve"> - V</w:t>
            </w:r>
            <w:r>
              <w:rPr>
                <w:rFonts w:hint="default" w:ascii="Times New Roman" w:hAnsi="Times New Roman" w:eastAsia="宋体" w:cs="Times New Roman"/>
                <w:color w:val="auto"/>
                <w:kern w:val="2"/>
                <w:sz w:val="24"/>
                <w:szCs w:val="22"/>
                <w:highlight w:val="none"/>
                <w:vertAlign w:val="subscript"/>
              </w:rPr>
              <w:t>3</w:t>
            </w:r>
            <w:r>
              <w:rPr>
                <w:rFonts w:hint="default" w:ascii="Times New Roman" w:hAnsi="Times New Roman" w:eastAsia="宋体" w:cs="Times New Roman"/>
                <w:color w:val="auto"/>
                <w:kern w:val="2"/>
                <w:sz w:val="24"/>
                <w:szCs w:val="22"/>
                <w:highlight w:val="none"/>
              </w:rPr>
              <w:t>，取其中最大值。</w:t>
            </w:r>
          </w:p>
          <w:p w14:paraId="74C66E91">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1</w:t>
            </w:r>
            <w:r>
              <w:rPr>
                <w:rFonts w:hint="default" w:ascii="Times New Roman" w:hAnsi="Times New Roman" w:eastAsia="宋体" w:cs="Times New Roman"/>
                <w:color w:val="auto"/>
                <w:kern w:val="2"/>
                <w:sz w:val="24"/>
                <w:szCs w:val="22"/>
                <w:highlight w:val="none"/>
              </w:rPr>
              <w:t>——收集系统范围内发生事故的一个罐组或一套装置的物料量。</w:t>
            </w:r>
          </w:p>
          <w:p w14:paraId="2FB50E67">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rPr>
            </w:pPr>
            <w:r>
              <w:rPr>
                <w:rFonts w:hint="default" w:ascii="Times New Roman" w:hAnsi="Times New Roman" w:eastAsia="宋体" w:cs="Times New Roman"/>
                <w:color w:val="auto"/>
                <w:kern w:val="2"/>
                <w:sz w:val="24"/>
                <w:szCs w:val="22"/>
                <w:highlight w:val="none"/>
              </w:rPr>
              <w:t>注：储存相同物料的罐组按一个最大储罐计，装置物料量按存留最大物料量的一台反应器或中间储罐计；</w:t>
            </w:r>
            <w:r>
              <w:rPr>
                <w:rFonts w:hint="default" w:ascii="Times New Roman" w:hAnsi="Times New Roman" w:eastAsia="宋体" w:cs="Times New Roman"/>
                <w:color w:val="auto"/>
                <w:kern w:val="2"/>
                <w:sz w:val="24"/>
                <w:szCs w:val="22"/>
                <w:highlight w:val="none"/>
                <w:lang w:val="en-US" w:eastAsia="zh-CN"/>
              </w:rPr>
              <w:t>本项目新建</w:t>
            </w:r>
            <w:r>
              <w:rPr>
                <w:rFonts w:hint="default" w:ascii="Times New Roman" w:hAnsi="Times New Roman" w:eastAsia="宋体" w:cs="Times New Roman"/>
                <w:b w:val="0"/>
                <w:bCs w:val="0"/>
                <w:color w:val="auto"/>
                <w:sz w:val="24"/>
                <w:szCs w:val="24"/>
                <w:highlight w:val="none"/>
                <w:lang w:val="en-US" w:eastAsia="zh-CN"/>
              </w:rPr>
              <w:t>3座50m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的</w:t>
            </w:r>
            <w:r>
              <w:rPr>
                <w:rFonts w:hint="default" w:ascii="Times New Roman" w:hAnsi="Times New Roman" w:eastAsia="宋体" w:cs="Times New Roman"/>
                <w:b w:val="0"/>
                <w:bCs w:val="0"/>
                <w:color w:val="auto"/>
                <w:sz w:val="24"/>
                <w:szCs w:val="24"/>
                <w:lang w:val="en-US" w:eastAsia="zh-CN"/>
              </w:rPr>
              <w:t>液化石油气储气罐，</w:t>
            </w:r>
            <w:r>
              <w:rPr>
                <w:rFonts w:hint="default" w:ascii="Times New Roman" w:hAnsi="Times New Roman" w:eastAsia="宋体" w:cs="Times New Roman"/>
                <w:b w:val="0"/>
                <w:bCs w:val="0"/>
                <w:color w:val="auto"/>
                <w:sz w:val="24"/>
                <w:szCs w:val="24"/>
                <w:highlight w:val="none"/>
                <w:lang w:val="en-US" w:eastAsia="zh-CN"/>
              </w:rPr>
              <w:t>卧式储罐地下布设；3座50m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的丙烷</w:t>
            </w:r>
            <w:r>
              <w:rPr>
                <w:rFonts w:hint="default" w:ascii="Times New Roman" w:hAnsi="Times New Roman" w:eastAsia="宋体" w:cs="Times New Roman"/>
                <w:b w:val="0"/>
                <w:bCs w:val="0"/>
                <w:color w:val="auto"/>
                <w:sz w:val="24"/>
                <w:szCs w:val="24"/>
                <w:lang w:val="en-US" w:eastAsia="zh-CN"/>
              </w:rPr>
              <w:t>储气罐，</w:t>
            </w:r>
            <w:r>
              <w:rPr>
                <w:rFonts w:hint="default" w:ascii="Times New Roman" w:hAnsi="Times New Roman" w:eastAsia="宋体" w:cs="Times New Roman"/>
                <w:b w:val="0"/>
                <w:bCs w:val="0"/>
                <w:color w:val="auto"/>
                <w:sz w:val="24"/>
                <w:szCs w:val="24"/>
                <w:highlight w:val="none"/>
                <w:lang w:val="en-US" w:eastAsia="zh-CN"/>
              </w:rPr>
              <w:t>卧式储罐地下布设</w:t>
            </w:r>
            <w:r>
              <w:rPr>
                <w:rFonts w:hint="default" w:ascii="Times New Roman" w:hAnsi="Times New Roman" w:eastAsia="宋体" w:cs="Times New Roman"/>
                <w:b w:val="0"/>
                <w:bCs w:val="0"/>
                <w:color w:val="auto"/>
                <w:sz w:val="24"/>
                <w:szCs w:val="24"/>
                <w:lang w:val="en-US" w:eastAsia="zh-CN"/>
              </w:rPr>
              <w:t>；</w:t>
            </w:r>
            <w:r>
              <w:rPr>
                <w:rFonts w:hint="default" w:ascii="Times New Roman" w:hAnsi="Times New Roman" w:eastAsia="宋体" w:cs="Times New Roman"/>
                <w:b w:val="0"/>
                <w:bCs w:val="0"/>
                <w:color w:val="000000"/>
                <w:kern w:val="0"/>
                <w:sz w:val="24"/>
                <w:szCs w:val="24"/>
                <w:lang w:val="en-US" w:eastAsia="zh-CN" w:bidi="ar"/>
              </w:rPr>
              <w:t>4座50m</w:t>
            </w:r>
            <w:r>
              <w:rPr>
                <w:rFonts w:hint="default" w:ascii="Times New Roman" w:hAnsi="Times New Roman" w:eastAsia="宋体" w:cs="Times New Roman"/>
                <w:b w:val="0"/>
                <w:bCs w:val="0"/>
                <w:color w:val="000000"/>
                <w:kern w:val="0"/>
                <w:sz w:val="24"/>
                <w:szCs w:val="24"/>
                <w:vertAlign w:val="superscript"/>
                <w:lang w:val="en-US" w:eastAsia="zh-CN" w:bidi="ar"/>
              </w:rPr>
              <w:t>3</w:t>
            </w:r>
            <w:r>
              <w:rPr>
                <w:rFonts w:hint="default" w:ascii="Times New Roman" w:hAnsi="Times New Roman" w:eastAsia="宋体" w:cs="Times New Roman"/>
                <w:b w:val="0"/>
                <w:bCs w:val="0"/>
                <w:color w:val="000000"/>
                <w:kern w:val="0"/>
                <w:sz w:val="24"/>
                <w:szCs w:val="24"/>
                <w:lang w:val="en-US" w:eastAsia="zh-CN" w:bidi="ar"/>
              </w:rPr>
              <w:t>的其他气体储罐，包括液氧储罐1座，液氮储罐1座，液氩储罐1座，液态二氧化碳储罐1座，立式储罐地上布设；所有储罐均储存液态气体，发生泄漏后，以气体形式扩散，无液态物料。</w:t>
            </w:r>
          </w:p>
          <w:p w14:paraId="445F4CD8">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2</w:t>
            </w:r>
            <w:r>
              <w:rPr>
                <w:rFonts w:hint="default" w:ascii="Times New Roman" w:hAnsi="Times New Roman" w:eastAsia="宋体" w:cs="Times New Roman"/>
                <w:color w:val="auto"/>
                <w:kern w:val="2"/>
                <w:sz w:val="24"/>
                <w:szCs w:val="22"/>
                <w:highlight w:val="none"/>
              </w:rPr>
              <w:t>——发生事故的储罐或装置的消防水量，m</w:t>
            </w:r>
            <w:r>
              <w:rPr>
                <w:rFonts w:hint="default" w:ascii="Times New Roman" w:hAnsi="Times New Roman" w:eastAsia="宋体" w:cs="Times New Roman"/>
                <w:color w:val="auto"/>
                <w:kern w:val="2"/>
                <w:sz w:val="24"/>
                <w:szCs w:val="22"/>
                <w:highlight w:val="none"/>
                <w:vertAlign w:val="superscript"/>
              </w:rPr>
              <w:t>3</w:t>
            </w:r>
            <w:r>
              <w:rPr>
                <w:rFonts w:hint="default" w:ascii="Times New Roman" w:hAnsi="Times New Roman" w:eastAsia="宋体" w:cs="Times New Roman"/>
                <w:color w:val="auto"/>
                <w:kern w:val="2"/>
                <w:sz w:val="24"/>
                <w:szCs w:val="22"/>
                <w:highlight w:val="none"/>
              </w:rPr>
              <w:t xml:space="preserve">； </w:t>
            </w:r>
          </w:p>
          <w:p w14:paraId="42B2AB67">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2</w:t>
            </w:r>
            <w:r>
              <w:rPr>
                <w:rFonts w:hint="default" w:ascii="Times New Roman" w:hAnsi="Times New Roman" w:eastAsia="宋体" w:cs="Times New Roman"/>
                <w:color w:val="auto"/>
                <w:kern w:val="2"/>
                <w:sz w:val="24"/>
                <w:szCs w:val="22"/>
                <w:highlight w:val="none"/>
              </w:rPr>
              <w:t>=∑Q</w:t>
            </w:r>
            <w:r>
              <w:rPr>
                <w:rFonts w:hint="default" w:ascii="Times New Roman" w:hAnsi="Times New Roman" w:eastAsia="宋体" w:cs="Times New Roman"/>
                <w:color w:val="auto"/>
                <w:kern w:val="2"/>
                <w:sz w:val="24"/>
                <w:szCs w:val="22"/>
                <w:highlight w:val="none"/>
                <w:vertAlign w:val="subscript"/>
              </w:rPr>
              <w:t>消</w:t>
            </w:r>
            <w:r>
              <w:rPr>
                <w:rFonts w:hint="default" w:ascii="Times New Roman" w:hAnsi="Times New Roman" w:eastAsia="宋体" w:cs="Times New Roman"/>
                <w:color w:val="auto"/>
                <w:kern w:val="2"/>
                <w:sz w:val="24"/>
                <w:szCs w:val="22"/>
                <w:highlight w:val="none"/>
              </w:rPr>
              <w:t>t</w:t>
            </w:r>
            <w:r>
              <w:rPr>
                <w:rFonts w:hint="default" w:ascii="Times New Roman" w:hAnsi="Times New Roman" w:eastAsia="宋体" w:cs="Times New Roman"/>
                <w:color w:val="auto"/>
                <w:kern w:val="2"/>
                <w:sz w:val="24"/>
                <w:szCs w:val="22"/>
                <w:highlight w:val="none"/>
                <w:vertAlign w:val="subscript"/>
              </w:rPr>
              <w:t>消</w:t>
            </w:r>
            <w:r>
              <w:rPr>
                <w:rFonts w:hint="default" w:ascii="Times New Roman" w:hAnsi="Times New Roman" w:eastAsia="宋体" w:cs="Times New Roman"/>
                <w:color w:val="auto"/>
                <w:kern w:val="2"/>
                <w:sz w:val="24"/>
                <w:szCs w:val="22"/>
                <w:highlight w:val="none"/>
              </w:rPr>
              <w:t xml:space="preserve"> </w:t>
            </w:r>
          </w:p>
          <w:p w14:paraId="7DB004DE">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Q</w:t>
            </w:r>
            <w:r>
              <w:rPr>
                <w:rFonts w:hint="default" w:ascii="Times New Roman" w:hAnsi="Times New Roman" w:eastAsia="宋体" w:cs="Times New Roman"/>
                <w:color w:val="auto"/>
                <w:kern w:val="2"/>
                <w:sz w:val="24"/>
                <w:szCs w:val="22"/>
                <w:highlight w:val="none"/>
                <w:vertAlign w:val="subscript"/>
              </w:rPr>
              <w:t>消</w:t>
            </w:r>
            <w:r>
              <w:rPr>
                <w:rFonts w:hint="default" w:ascii="Times New Roman" w:hAnsi="Times New Roman" w:eastAsia="宋体" w:cs="Times New Roman"/>
                <w:color w:val="auto"/>
                <w:kern w:val="2"/>
                <w:sz w:val="24"/>
                <w:szCs w:val="22"/>
                <w:highlight w:val="none"/>
              </w:rPr>
              <w:t>——发生事故的储罐或装置的同时使用的消防设施给水流量，m</w:t>
            </w:r>
            <w:r>
              <w:rPr>
                <w:rFonts w:hint="default" w:ascii="Times New Roman" w:hAnsi="Times New Roman" w:eastAsia="宋体" w:cs="Times New Roman"/>
                <w:color w:val="auto"/>
                <w:kern w:val="2"/>
                <w:sz w:val="24"/>
                <w:szCs w:val="22"/>
                <w:highlight w:val="none"/>
                <w:vertAlign w:val="superscript"/>
              </w:rPr>
              <w:t>3</w:t>
            </w:r>
            <w:r>
              <w:rPr>
                <w:rFonts w:hint="default" w:ascii="Times New Roman" w:hAnsi="Times New Roman" w:eastAsia="宋体" w:cs="Times New Roman"/>
                <w:color w:val="auto"/>
                <w:kern w:val="2"/>
                <w:sz w:val="24"/>
                <w:szCs w:val="22"/>
                <w:highlight w:val="none"/>
              </w:rPr>
              <w:t>/h；（本项目</w:t>
            </w:r>
            <w:r>
              <w:rPr>
                <w:rFonts w:hint="default" w:ascii="Times New Roman" w:hAnsi="Times New Roman" w:eastAsia="宋体" w:cs="Times New Roman"/>
                <w:color w:val="auto"/>
                <w:kern w:val="2"/>
                <w:sz w:val="24"/>
                <w:szCs w:val="22"/>
                <w:highlight w:val="none"/>
                <w:lang w:val="en-US" w:eastAsia="zh-CN"/>
              </w:rPr>
              <w:t>不使用水灭火</w:t>
            </w:r>
            <w:r>
              <w:rPr>
                <w:rFonts w:hint="default" w:ascii="Times New Roman" w:hAnsi="Times New Roman" w:eastAsia="宋体" w:cs="Times New Roman"/>
                <w:color w:val="auto"/>
                <w:kern w:val="2"/>
                <w:sz w:val="24"/>
                <w:szCs w:val="22"/>
                <w:highlight w:val="none"/>
              </w:rPr>
              <w:t>）</w:t>
            </w:r>
          </w:p>
          <w:p w14:paraId="5159B67D">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t</w:t>
            </w:r>
            <w:r>
              <w:rPr>
                <w:rFonts w:hint="default" w:ascii="Times New Roman" w:hAnsi="Times New Roman" w:eastAsia="宋体" w:cs="Times New Roman"/>
                <w:color w:val="auto"/>
                <w:kern w:val="2"/>
                <w:sz w:val="24"/>
                <w:szCs w:val="22"/>
                <w:highlight w:val="none"/>
                <w:vertAlign w:val="subscript"/>
              </w:rPr>
              <w:t>消</w:t>
            </w:r>
            <w:r>
              <w:rPr>
                <w:rFonts w:hint="default" w:ascii="Times New Roman" w:hAnsi="Times New Roman" w:eastAsia="宋体" w:cs="Times New Roman"/>
                <w:color w:val="auto"/>
                <w:kern w:val="2"/>
                <w:sz w:val="24"/>
                <w:szCs w:val="22"/>
                <w:highlight w:val="none"/>
              </w:rPr>
              <w:t>——消防设施对应的设计消防历时，h；（本项目消防持续时间按</w:t>
            </w:r>
            <w:r>
              <w:rPr>
                <w:rFonts w:hint="default" w:ascii="Times New Roman" w:hAnsi="Times New Roman" w:eastAsia="宋体" w:cs="Times New Roman"/>
                <w:color w:val="auto"/>
                <w:kern w:val="2"/>
                <w:sz w:val="24"/>
                <w:szCs w:val="22"/>
                <w:highlight w:val="none"/>
                <w:lang w:val="en-US" w:eastAsia="zh-CN"/>
              </w:rPr>
              <w:t>1</w:t>
            </w:r>
            <w:r>
              <w:rPr>
                <w:rFonts w:hint="default" w:ascii="Times New Roman" w:hAnsi="Times New Roman" w:eastAsia="宋体" w:cs="Times New Roman"/>
                <w:color w:val="auto"/>
                <w:kern w:val="2"/>
                <w:sz w:val="24"/>
                <w:szCs w:val="22"/>
                <w:highlight w:val="none"/>
              </w:rPr>
              <w:t>h）</w:t>
            </w:r>
          </w:p>
          <w:p w14:paraId="63B37E5C">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lang w:val="en-US" w:eastAsia="zh-CN"/>
              </w:rPr>
            </w:pPr>
            <w:r>
              <w:rPr>
                <w:rFonts w:hint="default" w:ascii="Times New Roman" w:hAnsi="Times New Roman" w:eastAsia="宋体" w:cs="Times New Roman"/>
                <w:color w:val="auto"/>
                <w:kern w:val="2"/>
                <w:sz w:val="24"/>
                <w:szCs w:val="22"/>
                <w:highlight w:val="none"/>
                <w:lang w:val="en-US" w:eastAsia="zh-CN"/>
              </w:rPr>
              <w:t>依据《石油化工企业设计防火标准》GB50160-2008（2018 年版），站内新建1座卸车台，水枪用水量为60L/s，火灾延续时间为3小时，一次火灾需要消防水量648m</w:t>
            </w:r>
            <w:r>
              <w:rPr>
                <w:rFonts w:hint="default" w:ascii="Times New Roman" w:hAnsi="Times New Roman" w:eastAsia="宋体" w:cs="Times New Roman"/>
                <w:color w:val="auto"/>
                <w:kern w:val="2"/>
                <w:sz w:val="24"/>
                <w:szCs w:val="22"/>
                <w:highlight w:val="none"/>
                <w:vertAlign w:val="superscript"/>
                <w:lang w:val="en-US" w:eastAsia="zh-CN"/>
              </w:rPr>
              <w:t>3</w:t>
            </w:r>
            <w:r>
              <w:rPr>
                <w:rFonts w:hint="default" w:ascii="Times New Roman" w:hAnsi="Times New Roman" w:eastAsia="宋体" w:cs="Times New Roman"/>
                <w:color w:val="auto"/>
                <w:kern w:val="2"/>
                <w:sz w:val="24"/>
                <w:szCs w:val="22"/>
                <w:highlight w:val="none"/>
                <w:lang w:val="en-US" w:eastAsia="zh-CN"/>
              </w:rPr>
              <w:t>；站内新建3台50m</w:t>
            </w:r>
            <w:r>
              <w:rPr>
                <w:rFonts w:hint="default" w:ascii="Times New Roman" w:hAnsi="Times New Roman" w:eastAsia="宋体" w:cs="Times New Roman"/>
                <w:color w:val="auto"/>
                <w:kern w:val="2"/>
                <w:sz w:val="24"/>
                <w:szCs w:val="22"/>
                <w:highlight w:val="none"/>
                <w:vertAlign w:val="superscript"/>
                <w:lang w:val="en-US" w:eastAsia="zh-CN"/>
              </w:rPr>
              <w:t>3</w:t>
            </w:r>
            <w:r>
              <w:rPr>
                <w:rFonts w:hint="default" w:ascii="Times New Roman" w:hAnsi="Times New Roman" w:eastAsia="宋体" w:cs="Times New Roman"/>
                <w:color w:val="auto"/>
                <w:kern w:val="2"/>
                <w:sz w:val="24"/>
                <w:szCs w:val="22"/>
                <w:highlight w:val="none"/>
                <w:lang w:val="en-US" w:eastAsia="zh-CN"/>
              </w:rPr>
              <w:t>LPG 卧式埋地储罐，水枪用水量为30L/s，火灾延续时间为6小时，一次火灾需要消防水量648m</w:t>
            </w:r>
            <w:r>
              <w:rPr>
                <w:rFonts w:hint="default" w:ascii="Times New Roman" w:hAnsi="Times New Roman" w:eastAsia="宋体" w:cs="Times New Roman"/>
                <w:color w:val="auto"/>
                <w:kern w:val="2"/>
                <w:sz w:val="24"/>
                <w:szCs w:val="22"/>
                <w:highlight w:val="none"/>
                <w:vertAlign w:val="superscript"/>
                <w:lang w:val="en-US" w:eastAsia="zh-CN"/>
              </w:rPr>
              <w:t>3</w:t>
            </w:r>
            <w:r>
              <w:rPr>
                <w:rFonts w:hint="default" w:ascii="Times New Roman" w:hAnsi="Times New Roman" w:eastAsia="宋体" w:cs="Times New Roman"/>
                <w:color w:val="auto"/>
                <w:kern w:val="2"/>
                <w:sz w:val="24"/>
                <w:szCs w:val="22"/>
                <w:highlight w:val="none"/>
                <w:lang w:val="en-US" w:eastAsia="zh-CN"/>
              </w:rPr>
              <w:t>；站内新建3台50m</w:t>
            </w:r>
            <w:r>
              <w:rPr>
                <w:rFonts w:hint="default" w:ascii="Times New Roman" w:hAnsi="Times New Roman" w:eastAsia="宋体" w:cs="Times New Roman"/>
                <w:color w:val="auto"/>
                <w:kern w:val="2"/>
                <w:sz w:val="24"/>
                <w:szCs w:val="22"/>
                <w:highlight w:val="none"/>
                <w:vertAlign w:val="superscript"/>
                <w:lang w:val="en-US" w:eastAsia="zh-CN"/>
              </w:rPr>
              <w:t>3</w:t>
            </w:r>
            <w:r>
              <w:rPr>
                <w:rFonts w:hint="default" w:ascii="Times New Roman" w:hAnsi="Times New Roman" w:eastAsia="宋体" w:cs="Times New Roman"/>
                <w:color w:val="auto"/>
                <w:kern w:val="2"/>
                <w:sz w:val="24"/>
                <w:szCs w:val="22"/>
                <w:highlight w:val="none"/>
                <w:lang w:val="en-US" w:eastAsia="zh-CN"/>
              </w:rPr>
              <w:t>丙烷卧式埋地储罐</w:t>
            </w:r>
            <w:r>
              <w:rPr>
                <w:rFonts w:hint="default" w:ascii="Times New Roman" w:hAnsi="Times New Roman" w:cs="Times New Roman"/>
                <w:color w:val="auto"/>
                <w:kern w:val="2"/>
                <w:sz w:val="24"/>
                <w:szCs w:val="22"/>
                <w:highlight w:val="none"/>
                <w:lang w:val="en-US" w:eastAsia="zh-CN"/>
              </w:rPr>
              <w:t>（2用1备）</w:t>
            </w:r>
            <w:r>
              <w:rPr>
                <w:rFonts w:hint="default" w:ascii="Times New Roman" w:hAnsi="Times New Roman" w:eastAsia="宋体" w:cs="Times New Roman"/>
                <w:color w:val="auto"/>
                <w:kern w:val="2"/>
                <w:sz w:val="24"/>
                <w:szCs w:val="22"/>
                <w:highlight w:val="none"/>
                <w:lang w:val="en-US" w:eastAsia="zh-CN"/>
              </w:rPr>
              <w:t>，水枪用水量为30L/s，火灾延续时间为6小时，一次火灾需要消防水量648m</w:t>
            </w:r>
            <w:r>
              <w:rPr>
                <w:rFonts w:hint="default" w:ascii="Times New Roman" w:hAnsi="Times New Roman" w:eastAsia="宋体" w:cs="Times New Roman"/>
                <w:color w:val="auto"/>
                <w:kern w:val="2"/>
                <w:sz w:val="24"/>
                <w:szCs w:val="22"/>
                <w:highlight w:val="none"/>
                <w:vertAlign w:val="superscript"/>
                <w:lang w:val="en-US" w:eastAsia="zh-CN"/>
              </w:rPr>
              <w:t>3</w:t>
            </w:r>
            <w:r>
              <w:rPr>
                <w:rFonts w:hint="default" w:ascii="Times New Roman" w:hAnsi="Times New Roman" w:eastAsia="宋体" w:cs="Times New Roman"/>
                <w:color w:val="auto"/>
                <w:kern w:val="2"/>
                <w:sz w:val="24"/>
                <w:szCs w:val="22"/>
                <w:highlight w:val="none"/>
                <w:lang w:val="en-US" w:eastAsia="zh-CN"/>
              </w:rPr>
              <w:t>。</w:t>
            </w:r>
            <w:r>
              <w:rPr>
                <w:rFonts w:hint="default" w:ascii="Times New Roman" w:hAnsi="Times New Roman" w:cs="Times New Roman"/>
                <w:color w:val="auto"/>
                <w:kern w:val="2"/>
                <w:sz w:val="24"/>
                <w:szCs w:val="22"/>
                <w:highlight w:val="none"/>
                <w:lang w:val="en-US" w:eastAsia="zh-CN"/>
              </w:rPr>
              <w:t>以一次一处发生火灾考虑，以上情景单次最大</w:t>
            </w:r>
            <w:r>
              <w:rPr>
                <w:rFonts w:hint="default" w:ascii="Times New Roman" w:hAnsi="Times New Roman" w:eastAsia="宋体" w:cs="Times New Roman"/>
                <w:color w:val="auto"/>
                <w:kern w:val="2"/>
                <w:sz w:val="24"/>
                <w:szCs w:val="22"/>
                <w:highlight w:val="none"/>
                <w:lang w:val="en-US" w:eastAsia="zh-CN"/>
              </w:rPr>
              <w:t>消防总水量为648m</w:t>
            </w:r>
            <w:r>
              <w:rPr>
                <w:rFonts w:hint="default" w:ascii="Times New Roman" w:hAnsi="Times New Roman" w:eastAsia="宋体" w:cs="Times New Roman"/>
                <w:color w:val="auto"/>
                <w:kern w:val="2"/>
                <w:sz w:val="24"/>
                <w:szCs w:val="22"/>
                <w:highlight w:val="none"/>
                <w:vertAlign w:val="superscript"/>
                <w:lang w:val="en-US" w:eastAsia="zh-CN"/>
              </w:rPr>
              <w:t>3</w:t>
            </w:r>
            <w:r>
              <w:rPr>
                <w:rFonts w:hint="default" w:ascii="Times New Roman" w:hAnsi="Times New Roman" w:eastAsia="宋体" w:cs="Times New Roman"/>
                <w:color w:val="auto"/>
                <w:kern w:val="2"/>
                <w:sz w:val="24"/>
                <w:szCs w:val="22"/>
                <w:highlight w:val="none"/>
                <w:lang w:val="en-US" w:eastAsia="zh-CN"/>
              </w:rPr>
              <w:t>，即V</w:t>
            </w:r>
            <w:r>
              <w:rPr>
                <w:rFonts w:hint="default" w:ascii="Times New Roman" w:hAnsi="Times New Roman" w:eastAsia="宋体" w:cs="Times New Roman"/>
                <w:color w:val="auto"/>
                <w:kern w:val="2"/>
                <w:sz w:val="24"/>
                <w:szCs w:val="22"/>
                <w:highlight w:val="none"/>
                <w:vertAlign w:val="subscript"/>
                <w:lang w:val="en-US" w:eastAsia="zh-CN"/>
              </w:rPr>
              <w:t>2</w:t>
            </w:r>
            <w:r>
              <w:rPr>
                <w:rFonts w:hint="default" w:ascii="Times New Roman" w:hAnsi="Times New Roman" w:eastAsia="宋体" w:cs="Times New Roman"/>
                <w:color w:val="auto"/>
                <w:kern w:val="2"/>
                <w:sz w:val="24"/>
                <w:szCs w:val="22"/>
                <w:highlight w:val="none"/>
                <w:lang w:val="en-US" w:eastAsia="zh-CN"/>
              </w:rPr>
              <w:t>=648m</w:t>
            </w:r>
            <w:r>
              <w:rPr>
                <w:rFonts w:hint="default" w:ascii="Times New Roman" w:hAnsi="Times New Roman" w:eastAsia="宋体" w:cs="Times New Roman"/>
                <w:color w:val="auto"/>
                <w:kern w:val="2"/>
                <w:sz w:val="24"/>
                <w:szCs w:val="22"/>
                <w:highlight w:val="none"/>
                <w:vertAlign w:val="superscript"/>
                <w:lang w:val="en-US" w:eastAsia="zh-CN"/>
              </w:rPr>
              <w:t>3</w:t>
            </w:r>
            <w:r>
              <w:rPr>
                <w:rFonts w:hint="default" w:ascii="Times New Roman" w:hAnsi="Times New Roman" w:eastAsia="宋体" w:cs="Times New Roman"/>
                <w:color w:val="auto"/>
                <w:kern w:val="2"/>
                <w:sz w:val="24"/>
                <w:szCs w:val="22"/>
                <w:highlight w:val="none"/>
                <w:lang w:val="en-US" w:eastAsia="zh-CN"/>
              </w:rPr>
              <w:t>。</w:t>
            </w:r>
          </w:p>
          <w:p w14:paraId="6131B0EE">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lang w:eastAsia="zh-CN"/>
              </w:rPr>
            </w:pP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3</w:t>
            </w:r>
            <w:r>
              <w:rPr>
                <w:rFonts w:hint="default" w:ascii="Times New Roman" w:hAnsi="Times New Roman" w:eastAsia="宋体" w:cs="Times New Roman"/>
                <w:color w:val="auto"/>
                <w:kern w:val="2"/>
                <w:sz w:val="24"/>
                <w:szCs w:val="22"/>
                <w:highlight w:val="none"/>
              </w:rPr>
              <w:t>——发生事故时可以转输到其他储存或处理设施的物料量，m</w:t>
            </w:r>
            <w:r>
              <w:rPr>
                <w:rFonts w:hint="default" w:ascii="Times New Roman" w:hAnsi="Times New Roman" w:eastAsia="宋体" w:cs="Times New Roman"/>
                <w:color w:val="auto"/>
                <w:kern w:val="2"/>
                <w:sz w:val="24"/>
                <w:szCs w:val="22"/>
                <w:highlight w:val="none"/>
                <w:vertAlign w:val="superscript"/>
              </w:rPr>
              <w:t>3</w:t>
            </w:r>
            <w:r>
              <w:rPr>
                <w:rFonts w:hint="default" w:ascii="Times New Roman" w:hAnsi="Times New Roman" w:eastAsia="宋体" w:cs="Times New Roman"/>
                <w:color w:val="auto"/>
                <w:kern w:val="2"/>
                <w:sz w:val="24"/>
                <w:szCs w:val="22"/>
                <w:highlight w:val="none"/>
              </w:rPr>
              <w:t>；</w:t>
            </w:r>
            <w:r>
              <w:rPr>
                <w:rFonts w:hint="default" w:ascii="Times New Roman" w:hAnsi="Times New Roman" w:eastAsia="宋体" w:cs="Times New Roman"/>
                <w:color w:val="auto"/>
                <w:kern w:val="2"/>
                <w:sz w:val="24"/>
                <w:szCs w:val="22"/>
                <w:highlight w:val="none"/>
                <w:lang w:eastAsia="zh-CN"/>
              </w:rPr>
              <w:t>（</w:t>
            </w:r>
            <w:r>
              <w:rPr>
                <w:rFonts w:hint="default" w:ascii="Times New Roman" w:hAnsi="Times New Roman" w:eastAsia="宋体" w:cs="Times New Roman"/>
                <w:color w:val="auto"/>
                <w:kern w:val="2"/>
                <w:sz w:val="24"/>
                <w:szCs w:val="22"/>
                <w:highlight w:val="none"/>
                <w:lang w:val="en-US" w:eastAsia="zh-CN"/>
              </w:rPr>
              <w:t>本项目</w:t>
            </w:r>
            <w:r>
              <w:rPr>
                <w:rFonts w:hint="default" w:ascii="Times New Roman" w:hAnsi="Times New Roman" w:eastAsia="宋体" w:cs="Times New Roman"/>
                <w:b w:val="0"/>
                <w:bCs w:val="0"/>
                <w:color w:val="000000"/>
                <w:kern w:val="0"/>
                <w:sz w:val="24"/>
                <w:szCs w:val="24"/>
                <w:lang w:val="en-US" w:eastAsia="zh-CN" w:bidi="ar"/>
              </w:rPr>
              <w:t>所有储罐均储存液态气体，发生泄漏后，以气体形式扩散，无液态物料</w:t>
            </w:r>
            <w:r>
              <w:rPr>
                <w:rFonts w:hint="default" w:ascii="Times New Roman" w:hAnsi="Times New Roman" w:eastAsia="宋体" w:cs="Times New Roman"/>
                <w:color w:val="auto"/>
                <w:kern w:val="2"/>
                <w:sz w:val="24"/>
                <w:szCs w:val="22"/>
                <w:highlight w:val="none"/>
              </w:rPr>
              <w:t>，即V</w:t>
            </w:r>
            <w:r>
              <w:rPr>
                <w:rFonts w:hint="default" w:ascii="Times New Roman" w:hAnsi="Times New Roman" w:eastAsia="宋体" w:cs="Times New Roman"/>
                <w:color w:val="auto"/>
                <w:kern w:val="2"/>
                <w:sz w:val="24"/>
                <w:szCs w:val="22"/>
                <w:highlight w:val="none"/>
                <w:vertAlign w:val="subscript"/>
              </w:rPr>
              <w:t>3</w:t>
            </w:r>
            <w:r>
              <w:rPr>
                <w:rFonts w:hint="default" w:ascii="Times New Roman" w:hAnsi="Times New Roman" w:eastAsia="宋体" w:cs="Times New Roman"/>
                <w:color w:val="auto"/>
                <w:kern w:val="2"/>
                <w:sz w:val="24"/>
                <w:szCs w:val="22"/>
                <w:highlight w:val="none"/>
                <w:vertAlign w:val="baseline"/>
                <w:lang w:val="en-US" w:eastAsia="zh-CN"/>
              </w:rPr>
              <w:t>=</w:t>
            </w:r>
            <w:r>
              <w:rPr>
                <w:rFonts w:hint="default" w:ascii="Times New Roman" w:hAnsi="Times New Roman" w:eastAsia="宋体" w:cs="Times New Roman"/>
                <w:color w:val="auto"/>
                <w:kern w:val="2"/>
                <w:sz w:val="24"/>
                <w:szCs w:val="22"/>
                <w:highlight w:val="none"/>
              </w:rPr>
              <w:t>0 m</w:t>
            </w:r>
            <w:r>
              <w:rPr>
                <w:rFonts w:hint="default" w:ascii="Times New Roman" w:hAnsi="Times New Roman" w:eastAsia="宋体" w:cs="Times New Roman"/>
                <w:color w:val="auto"/>
                <w:kern w:val="2"/>
                <w:sz w:val="24"/>
                <w:szCs w:val="22"/>
                <w:highlight w:val="none"/>
                <w:vertAlign w:val="superscript"/>
              </w:rPr>
              <w:t>3</w:t>
            </w:r>
            <w:r>
              <w:rPr>
                <w:rFonts w:hint="default" w:ascii="Times New Roman" w:hAnsi="Times New Roman" w:eastAsia="宋体" w:cs="Times New Roman"/>
                <w:color w:val="auto"/>
                <w:kern w:val="2"/>
                <w:sz w:val="24"/>
                <w:szCs w:val="22"/>
                <w:highlight w:val="none"/>
                <w:lang w:eastAsia="zh-CN"/>
              </w:rPr>
              <w:t>）</w:t>
            </w:r>
          </w:p>
          <w:p w14:paraId="337703DA">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4</w:t>
            </w:r>
            <w:r>
              <w:rPr>
                <w:rFonts w:hint="default" w:ascii="Times New Roman" w:hAnsi="Times New Roman" w:eastAsia="宋体" w:cs="Times New Roman"/>
                <w:color w:val="auto"/>
                <w:kern w:val="2"/>
                <w:sz w:val="24"/>
                <w:szCs w:val="22"/>
                <w:highlight w:val="none"/>
              </w:rPr>
              <w:t>——发生事故时仍必须进入该收集系统的生产废水量，m</w:t>
            </w:r>
            <w:r>
              <w:rPr>
                <w:rFonts w:hint="default" w:ascii="Times New Roman" w:hAnsi="Times New Roman" w:eastAsia="宋体" w:cs="Times New Roman"/>
                <w:color w:val="auto"/>
                <w:kern w:val="2"/>
                <w:sz w:val="24"/>
                <w:szCs w:val="22"/>
                <w:highlight w:val="none"/>
                <w:vertAlign w:val="superscript"/>
              </w:rPr>
              <w:t>3</w:t>
            </w:r>
            <w:r>
              <w:rPr>
                <w:rFonts w:hint="default" w:ascii="Times New Roman" w:hAnsi="Times New Roman" w:eastAsia="宋体" w:cs="Times New Roman"/>
                <w:color w:val="auto"/>
                <w:kern w:val="2"/>
                <w:sz w:val="24"/>
                <w:szCs w:val="22"/>
                <w:highlight w:val="none"/>
              </w:rPr>
              <w:t>；（</w:t>
            </w:r>
            <w:r>
              <w:rPr>
                <w:rFonts w:hint="default" w:ascii="Times New Roman" w:hAnsi="Times New Roman" w:eastAsia="宋体" w:cs="Times New Roman"/>
                <w:color w:val="auto"/>
                <w:kern w:val="2"/>
                <w:sz w:val="24"/>
                <w:szCs w:val="22"/>
                <w:highlight w:val="none"/>
                <w:lang w:val="en-US" w:eastAsia="zh-CN"/>
              </w:rPr>
              <w:t>本项目无生产废水，生活污水排入化粪池后，不用排入该收集系统</w:t>
            </w:r>
            <w:r>
              <w:rPr>
                <w:rFonts w:hint="default" w:ascii="Times New Roman" w:hAnsi="Times New Roman" w:eastAsia="宋体" w:cs="Times New Roman"/>
                <w:color w:val="auto"/>
                <w:kern w:val="2"/>
                <w:sz w:val="24"/>
                <w:szCs w:val="22"/>
                <w:highlight w:val="none"/>
              </w:rPr>
              <w:t>，即V</w:t>
            </w:r>
            <w:r>
              <w:rPr>
                <w:rFonts w:hint="default" w:ascii="Times New Roman" w:hAnsi="Times New Roman" w:eastAsia="宋体" w:cs="Times New Roman"/>
                <w:color w:val="auto"/>
                <w:kern w:val="2"/>
                <w:sz w:val="24"/>
                <w:szCs w:val="22"/>
                <w:highlight w:val="none"/>
                <w:vertAlign w:val="subscript"/>
              </w:rPr>
              <w:t>4</w:t>
            </w:r>
            <w:r>
              <w:rPr>
                <w:rFonts w:hint="default" w:ascii="Times New Roman" w:hAnsi="Times New Roman" w:eastAsia="宋体" w:cs="Times New Roman"/>
                <w:color w:val="auto"/>
                <w:kern w:val="2"/>
                <w:sz w:val="24"/>
                <w:szCs w:val="22"/>
                <w:highlight w:val="none"/>
                <w:lang w:val="en-US" w:eastAsia="zh-CN"/>
              </w:rPr>
              <w:t>=</w:t>
            </w:r>
            <w:r>
              <w:rPr>
                <w:rFonts w:hint="default" w:ascii="Times New Roman" w:hAnsi="Times New Roman" w:eastAsia="宋体" w:cs="Times New Roman"/>
                <w:color w:val="auto"/>
                <w:kern w:val="2"/>
                <w:sz w:val="24"/>
                <w:szCs w:val="22"/>
                <w:highlight w:val="none"/>
              </w:rPr>
              <w:t>0 m</w:t>
            </w:r>
            <w:r>
              <w:rPr>
                <w:rFonts w:hint="default" w:ascii="Times New Roman" w:hAnsi="Times New Roman" w:eastAsia="宋体" w:cs="Times New Roman"/>
                <w:color w:val="auto"/>
                <w:kern w:val="2"/>
                <w:sz w:val="24"/>
                <w:szCs w:val="22"/>
                <w:highlight w:val="none"/>
                <w:vertAlign w:val="superscript"/>
              </w:rPr>
              <w:t>3</w:t>
            </w:r>
            <w:r>
              <w:rPr>
                <w:rFonts w:hint="default" w:ascii="Times New Roman" w:hAnsi="Times New Roman" w:eastAsia="宋体" w:cs="Times New Roman"/>
                <w:color w:val="auto"/>
                <w:kern w:val="2"/>
                <w:sz w:val="24"/>
                <w:szCs w:val="22"/>
                <w:highlight w:val="none"/>
              </w:rPr>
              <w:t>）</w:t>
            </w:r>
          </w:p>
          <w:p w14:paraId="2098A4F2">
            <w:pPr>
              <w:widowControl w:val="0"/>
              <w:adjustRightInd/>
              <w:snapToGrid w:val="0"/>
              <w:spacing w:line="360" w:lineRule="auto"/>
              <w:ind w:firstLine="510" w:firstLineChars="0"/>
              <w:jc w:val="both"/>
              <w:rPr>
                <w:rFonts w:hint="default" w:ascii="Times New Roman" w:hAnsi="Times New Roman" w:eastAsia="宋体" w:cs="Times New Roman"/>
                <w:color w:val="auto"/>
                <w:kern w:val="2"/>
                <w:sz w:val="24"/>
                <w:szCs w:val="24"/>
                <w:highlight w:val="none"/>
                <w:vertAlign w:val="baseline"/>
                <w:lang w:val="en-US" w:eastAsia="zh-CN"/>
              </w:rPr>
            </w:pPr>
            <w:r>
              <w:rPr>
                <w:rFonts w:hint="default" w:ascii="Times New Roman" w:hAnsi="Times New Roman" w:eastAsia="宋体" w:cs="Times New Roman"/>
                <w:color w:val="auto"/>
                <w:kern w:val="2"/>
                <w:sz w:val="24"/>
                <w:szCs w:val="24"/>
                <w:highlight w:val="none"/>
                <w:lang w:val="zh-CN"/>
              </w:rPr>
              <w:t>V</w:t>
            </w:r>
            <w:r>
              <w:rPr>
                <w:rFonts w:hint="default" w:ascii="Times New Roman" w:hAnsi="Times New Roman" w:eastAsia="宋体" w:cs="Times New Roman"/>
                <w:color w:val="auto"/>
                <w:kern w:val="2"/>
                <w:sz w:val="24"/>
                <w:szCs w:val="24"/>
                <w:highlight w:val="none"/>
                <w:vertAlign w:val="subscript"/>
                <w:lang w:val="zh-CN"/>
              </w:rPr>
              <w:t>5</w:t>
            </w:r>
            <w:r>
              <w:rPr>
                <w:rFonts w:hint="default" w:ascii="Times New Roman" w:hAnsi="Times New Roman" w:eastAsia="宋体" w:cs="Times New Roman"/>
                <w:color w:val="auto"/>
                <w:kern w:val="2"/>
                <w:sz w:val="24"/>
                <w:szCs w:val="24"/>
                <w:highlight w:val="none"/>
                <w:lang w:val="zh-CN"/>
              </w:rPr>
              <w:t>—发生事故时可能进入该收集池的降雨量，</w:t>
            </w:r>
            <w:r>
              <w:rPr>
                <w:rFonts w:hint="default" w:ascii="Times New Roman" w:hAnsi="Times New Roman" w:eastAsia="宋体" w:cs="Times New Roman"/>
                <w:color w:val="auto"/>
                <w:kern w:val="2"/>
                <w:sz w:val="24"/>
                <w:szCs w:val="22"/>
                <w:highlight w:val="none"/>
              </w:rPr>
              <w:t>m</w:t>
            </w:r>
            <w:r>
              <w:rPr>
                <w:rFonts w:hint="default" w:ascii="Times New Roman" w:hAnsi="Times New Roman" w:eastAsia="宋体" w:cs="Times New Roman"/>
                <w:color w:val="auto"/>
                <w:kern w:val="2"/>
                <w:sz w:val="24"/>
                <w:szCs w:val="22"/>
                <w:highlight w:val="none"/>
                <w:vertAlign w:val="superscript"/>
              </w:rPr>
              <w:t>3</w:t>
            </w:r>
            <w:r>
              <w:rPr>
                <w:rFonts w:hint="default" w:ascii="Times New Roman" w:hAnsi="Times New Roman" w:eastAsia="宋体" w:cs="Times New Roman"/>
                <w:color w:val="auto"/>
                <w:kern w:val="2"/>
                <w:sz w:val="24"/>
                <w:szCs w:val="22"/>
                <w:highlight w:val="none"/>
              </w:rPr>
              <w:t>；</w:t>
            </w:r>
            <w:r>
              <w:rPr>
                <w:rFonts w:hint="default" w:ascii="Times New Roman" w:hAnsi="Times New Roman" w:eastAsia="宋体" w:cs="Times New Roman"/>
                <w:color w:val="auto"/>
                <w:kern w:val="2"/>
                <w:sz w:val="24"/>
                <w:szCs w:val="24"/>
                <w:highlight w:val="none"/>
                <w:lang w:val="en-US" w:eastAsia="zh-CN"/>
              </w:rPr>
              <w:t>包头</w:t>
            </w:r>
            <w:r>
              <w:rPr>
                <w:rFonts w:hint="default" w:ascii="Times New Roman" w:hAnsi="Times New Roman" w:eastAsia="宋体" w:cs="Times New Roman"/>
                <w:color w:val="auto"/>
                <w:kern w:val="2"/>
                <w:sz w:val="24"/>
                <w:szCs w:val="24"/>
                <w:highlight w:val="none"/>
                <w:lang w:val="zh-CN" w:eastAsia="zh-CN"/>
              </w:rPr>
              <w:t>地区年平均降雨量约</w:t>
            </w:r>
            <w:r>
              <w:rPr>
                <w:rFonts w:hint="default" w:ascii="Times New Roman" w:hAnsi="Times New Roman" w:eastAsia="宋体" w:cs="Times New Roman"/>
                <w:color w:val="auto"/>
                <w:kern w:val="2"/>
                <w:sz w:val="24"/>
                <w:szCs w:val="24"/>
                <w:highlight w:val="none"/>
                <w:lang w:val="en-US" w:eastAsia="zh-CN"/>
              </w:rPr>
              <w:t>297.6</w:t>
            </w:r>
            <w:r>
              <w:rPr>
                <w:rFonts w:hint="default" w:ascii="Times New Roman" w:hAnsi="Times New Roman" w:eastAsia="宋体" w:cs="Times New Roman"/>
                <w:color w:val="auto"/>
                <w:kern w:val="2"/>
                <w:sz w:val="24"/>
                <w:szCs w:val="24"/>
                <w:highlight w:val="none"/>
                <w:lang w:val="zh-CN" w:eastAsia="zh-CN"/>
              </w:rPr>
              <w:t>mm，年平均降雨日数</w:t>
            </w:r>
            <w:r>
              <w:rPr>
                <w:rFonts w:hint="default" w:ascii="Times New Roman" w:hAnsi="Times New Roman" w:eastAsia="宋体" w:cs="Times New Roman"/>
                <w:color w:val="auto"/>
                <w:kern w:val="2"/>
                <w:sz w:val="24"/>
                <w:szCs w:val="24"/>
                <w:highlight w:val="none"/>
                <w:lang w:val="en-US" w:eastAsia="zh-CN"/>
              </w:rPr>
              <w:t>58</w:t>
            </w:r>
            <w:r>
              <w:rPr>
                <w:rFonts w:hint="default" w:ascii="Times New Roman" w:hAnsi="Times New Roman" w:eastAsia="宋体" w:cs="Times New Roman"/>
                <w:color w:val="auto"/>
                <w:kern w:val="2"/>
                <w:sz w:val="24"/>
                <w:szCs w:val="24"/>
                <w:highlight w:val="none"/>
                <w:lang w:val="zh-CN" w:eastAsia="zh-CN"/>
              </w:rPr>
              <w:t>天，故日平均降雨量为</w:t>
            </w:r>
            <w:r>
              <w:rPr>
                <w:rFonts w:hint="default" w:ascii="Times New Roman" w:hAnsi="Times New Roman" w:eastAsia="宋体" w:cs="Times New Roman"/>
                <w:color w:val="auto"/>
                <w:kern w:val="2"/>
                <w:sz w:val="24"/>
                <w:szCs w:val="24"/>
                <w:highlight w:val="none"/>
                <w:lang w:val="en-US" w:eastAsia="zh-CN"/>
              </w:rPr>
              <w:t>5.12</w:t>
            </w:r>
            <w:r>
              <w:rPr>
                <w:rFonts w:hint="default" w:ascii="Times New Roman" w:hAnsi="Times New Roman" w:eastAsia="宋体" w:cs="Times New Roman"/>
                <w:color w:val="auto"/>
                <w:kern w:val="2"/>
                <w:sz w:val="24"/>
                <w:szCs w:val="24"/>
                <w:highlight w:val="none"/>
                <w:lang w:val="zh-CN" w:eastAsia="zh-CN"/>
              </w:rPr>
              <w:t>mm，汇水面积以本项目</w:t>
            </w:r>
            <w:r>
              <w:rPr>
                <w:rFonts w:hint="default" w:ascii="Times New Roman" w:hAnsi="Times New Roman" w:eastAsia="宋体" w:cs="Times New Roman"/>
                <w:color w:val="auto"/>
                <w:kern w:val="2"/>
                <w:sz w:val="24"/>
                <w:szCs w:val="24"/>
                <w:highlight w:val="none"/>
                <w:lang w:val="en-US" w:eastAsia="zh-CN"/>
              </w:rPr>
              <w:t>厂区</w:t>
            </w:r>
            <w:r>
              <w:rPr>
                <w:rFonts w:hint="default" w:ascii="Times New Roman" w:hAnsi="Times New Roman" w:eastAsia="宋体" w:cs="Times New Roman"/>
                <w:color w:val="auto"/>
                <w:kern w:val="2"/>
                <w:sz w:val="24"/>
                <w:szCs w:val="24"/>
                <w:highlight w:val="none"/>
                <w:lang w:val="zh-CN" w:eastAsia="zh-CN"/>
              </w:rPr>
              <w:t>占地面积</w:t>
            </w:r>
            <w:r>
              <w:rPr>
                <w:rFonts w:hint="default" w:ascii="Times New Roman" w:hAnsi="Times New Roman" w:cs="Times New Roman"/>
                <w:color w:val="auto"/>
                <w:sz w:val="24"/>
                <w:szCs w:val="24"/>
                <w:highlight w:val="none"/>
                <w:shd w:val="clear" w:color="auto" w:fill="auto"/>
                <w:lang w:val="en-US" w:eastAsia="zh-CN"/>
              </w:rPr>
              <w:t>24</w:t>
            </w:r>
            <w:r>
              <w:rPr>
                <w:rFonts w:hint="eastAsia" w:cs="Times New Roman"/>
                <w:color w:val="auto"/>
                <w:sz w:val="24"/>
                <w:szCs w:val="24"/>
                <w:highlight w:val="none"/>
                <w:shd w:val="clear" w:color="auto" w:fill="auto"/>
                <w:lang w:val="en-US" w:eastAsia="zh-CN"/>
              </w:rPr>
              <w:t>669.82</w:t>
            </w:r>
            <w:r>
              <w:rPr>
                <w:rFonts w:hint="default" w:ascii="Times New Roman" w:hAnsi="Times New Roman" w:eastAsia="宋体" w:cs="Times New Roman"/>
                <w:color w:val="auto"/>
                <w:kern w:val="2"/>
                <w:sz w:val="24"/>
                <w:szCs w:val="24"/>
                <w:highlight w:val="none"/>
                <w:lang w:val="en-US" w:eastAsia="zh-CN"/>
              </w:rPr>
              <w:t>m</w:t>
            </w:r>
            <w:r>
              <w:rPr>
                <w:rFonts w:hint="default" w:ascii="Times New Roman" w:hAnsi="Times New Roman" w:eastAsia="宋体" w:cs="Times New Roman"/>
                <w:color w:val="auto"/>
                <w:kern w:val="2"/>
                <w:sz w:val="24"/>
                <w:szCs w:val="24"/>
                <w:highlight w:val="none"/>
                <w:vertAlign w:val="superscript"/>
                <w:lang w:val="en-US" w:eastAsia="zh-CN"/>
              </w:rPr>
              <w:t>2</w:t>
            </w:r>
            <w:r>
              <w:rPr>
                <w:rFonts w:hint="default" w:ascii="Times New Roman" w:hAnsi="Times New Roman" w:eastAsia="宋体" w:cs="Times New Roman"/>
                <w:color w:val="auto"/>
                <w:kern w:val="2"/>
                <w:sz w:val="24"/>
                <w:szCs w:val="24"/>
                <w:highlight w:val="none"/>
                <w:lang w:val="zh-CN" w:eastAsia="zh-CN"/>
              </w:rPr>
              <w:t>计。</w:t>
            </w:r>
            <w:r>
              <w:rPr>
                <w:rFonts w:hint="default" w:ascii="Times New Roman" w:hAnsi="Times New Roman" w:eastAsia="宋体" w:cs="Times New Roman"/>
                <w:color w:val="auto"/>
                <w:kern w:val="2"/>
                <w:sz w:val="24"/>
                <w:szCs w:val="24"/>
                <w:highlight w:val="none"/>
                <w:lang w:val="zh-CN"/>
              </w:rPr>
              <w:t>V</w:t>
            </w:r>
            <w:r>
              <w:rPr>
                <w:rFonts w:hint="default" w:ascii="Times New Roman" w:hAnsi="Times New Roman" w:eastAsia="宋体" w:cs="Times New Roman"/>
                <w:color w:val="auto"/>
                <w:kern w:val="2"/>
                <w:sz w:val="24"/>
                <w:szCs w:val="24"/>
                <w:highlight w:val="none"/>
                <w:vertAlign w:val="subscript"/>
                <w:lang w:val="zh-CN"/>
              </w:rPr>
              <w:t>5</w:t>
            </w:r>
            <w:r>
              <w:rPr>
                <w:rFonts w:hint="default" w:ascii="Times New Roman" w:hAnsi="Times New Roman" w:eastAsia="宋体" w:cs="Times New Roman"/>
                <w:color w:val="auto"/>
                <w:kern w:val="2"/>
                <w:sz w:val="24"/>
                <w:szCs w:val="24"/>
                <w:highlight w:val="none"/>
                <w:vertAlign w:val="baseline"/>
                <w:lang w:val="en-US" w:eastAsia="zh-CN"/>
              </w:rPr>
              <w:t>=5.12mm×</w:t>
            </w:r>
            <w:r>
              <w:rPr>
                <w:rFonts w:hint="default" w:ascii="Times New Roman" w:hAnsi="Times New Roman" w:cs="Times New Roman"/>
                <w:color w:val="auto"/>
                <w:sz w:val="24"/>
                <w:szCs w:val="24"/>
                <w:highlight w:val="none"/>
                <w:shd w:val="clear" w:color="auto" w:fill="auto"/>
                <w:lang w:val="en-US" w:eastAsia="zh-CN"/>
              </w:rPr>
              <w:t>24</w:t>
            </w:r>
            <w:r>
              <w:rPr>
                <w:rFonts w:hint="eastAsia" w:cs="Times New Roman"/>
                <w:color w:val="auto"/>
                <w:sz w:val="24"/>
                <w:szCs w:val="24"/>
                <w:highlight w:val="none"/>
                <w:shd w:val="clear" w:color="auto" w:fill="auto"/>
                <w:lang w:val="en-US" w:eastAsia="zh-CN"/>
              </w:rPr>
              <w:t>669.82</w:t>
            </w:r>
            <w:r>
              <w:rPr>
                <w:rFonts w:hint="default" w:ascii="Times New Roman" w:hAnsi="Times New Roman" w:eastAsia="宋体" w:cs="Times New Roman"/>
                <w:color w:val="auto"/>
                <w:kern w:val="2"/>
                <w:sz w:val="24"/>
                <w:szCs w:val="24"/>
                <w:highlight w:val="none"/>
                <w:lang w:val="en-US" w:eastAsia="zh-CN"/>
              </w:rPr>
              <w:t>m</w:t>
            </w:r>
            <w:r>
              <w:rPr>
                <w:rFonts w:hint="default" w:ascii="Times New Roman" w:hAnsi="Times New Roman" w:eastAsia="宋体" w:cs="Times New Roman"/>
                <w:color w:val="auto"/>
                <w:kern w:val="2"/>
                <w:sz w:val="24"/>
                <w:szCs w:val="24"/>
                <w:highlight w:val="none"/>
                <w:vertAlign w:val="superscript"/>
                <w:lang w:val="en-US" w:eastAsia="zh-CN"/>
              </w:rPr>
              <w:t>2</w:t>
            </w:r>
            <w:r>
              <w:rPr>
                <w:rFonts w:hint="default" w:ascii="Times New Roman" w:hAnsi="Times New Roman" w:eastAsia="宋体" w:cs="Times New Roman"/>
                <w:color w:val="auto"/>
                <w:kern w:val="2"/>
                <w:sz w:val="24"/>
                <w:szCs w:val="24"/>
                <w:highlight w:val="none"/>
                <w:vertAlign w:val="baseline"/>
                <w:lang w:val="en-US" w:eastAsia="zh-CN"/>
              </w:rPr>
              <w:t>=126.</w:t>
            </w:r>
            <w:r>
              <w:rPr>
                <w:rFonts w:hint="eastAsia" w:cs="Times New Roman"/>
                <w:color w:val="auto"/>
                <w:kern w:val="2"/>
                <w:sz w:val="24"/>
                <w:szCs w:val="24"/>
                <w:highlight w:val="none"/>
                <w:vertAlign w:val="baseline"/>
                <w:lang w:val="en-US" w:eastAsia="zh-CN"/>
              </w:rPr>
              <w:t>31</w:t>
            </w:r>
            <w:r>
              <w:rPr>
                <w:rFonts w:hint="default" w:ascii="Times New Roman" w:hAnsi="Times New Roman" w:eastAsia="宋体" w:cs="Times New Roman"/>
                <w:color w:val="auto"/>
                <w:kern w:val="2"/>
                <w:sz w:val="24"/>
                <w:szCs w:val="24"/>
                <w:highlight w:val="none"/>
                <w:lang w:val="en-US" w:eastAsia="zh-CN"/>
              </w:rPr>
              <w:t>m</w:t>
            </w:r>
            <w:r>
              <w:rPr>
                <w:rFonts w:hint="default" w:ascii="Times New Roman" w:hAnsi="Times New Roman" w:eastAsia="宋体" w:cs="Times New Roman"/>
                <w:color w:val="auto"/>
                <w:kern w:val="2"/>
                <w:sz w:val="24"/>
                <w:szCs w:val="24"/>
                <w:highlight w:val="none"/>
                <w:vertAlign w:val="superscript"/>
                <w:lang w:val="en-US" w:eastAsia="zh-CN"/>
              </w:rPr>
              <w:t>3</w:t>
            </w:r>
          </w:p>
          <w:p w14:paraId="00214ED6">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通过以上基础数据，可计算得出本项目的事故池容积约为：</w:t>
            </w:r>
          </w:p>
          <w:p w14:paraId="240A1179">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总</w:t>
            </w: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1</w:t>
            </w: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2</w:t>
            </w:r>
            <w:r>
              <w:rPr>
                <w:rFonts w:hint="default" w:ascii="Times New Roman" w:hAnsi="Times New Roman" w:eastAsia="宋体" w:cs="Times New Roman"/>
                <w:color w:val="auto"/>
                <w:kern w:val="2"/>
                <w:sz w:val="24"/>
                <w:szCs w:val="22"/>
                <w:highlight w:val="none"/>
              </w:rPr>
              <w:t>-V</w:t>
            </w:r>
            <w:r>
              <w:rPr>
                <w:rFonts w:hint="default" w:ascii="Times New Roman" w:hAnsi="Times New Roman" w:eastAsia="宋体" w:cs="Times New Roman"/>
                <w:color w:val="auto"/>
                <w:kern w:val="2"/>
                <w:sz w:val="24"/>
                <w:szCs w:val="22"/>
                <w:highlight w:val="none"/>
                <w:vertAlign w:val="subscript"/>
              </w:rPr>
              <w:t>3</w:t>
            </w:r>
            <w:r>
              <w:rPr>
                <w:rFonts w:hint="default" w:ascii="Times New Roman" w:hAnsi="Times New Roman" w:eastAsia="宋体" w:cs="Times New Roman"/>
                <w:color w:val="auto"/>
                <w:kern w:val="2"/>
                <w:sz w:val="24"/>
                <w:szCs w:val="22"/>
                <w:highlight w:val="none"/>
              </w:rPr>
              <w:t>）</w:t>
            </w:r>
            <w:r>
              <w:rPr>
                <w:rFonts w:hint="default" w:ascii="Times New Roman" w:hAnsi="Times New Roman" w:eastAsia="宋体" w:cs="Times New Roman"/>
                <w:color w:val="auto"/>
                <w:kern w:val="2"/>
                <w:sz w:val="24"/>
                <w:szCs w:val="22"/>
                <w:highlight w:val="none"/>
                <w:vertAlign w:val="subscript"/>
              </w:rPr>
              <w:t>max</w:t>
            </w:r>
            <w:r>
              <w:rPr>
                <w:rFonts w:hint="default" w:ascii="Times New Roman" w:hAnsi="Times New Roman" w:eastAsia="宋体" w:cs="Times New Roman"/>
                <w:color w:val="auto"/>
                <w:kern w:val="2"/>
                <w:sz w:val="24"/>
                <w:szCs w:val="22"/>
                <w:highlight w:val="none"/>
              </w:rPr>
              <w:t xml:space="preserve"> + V</w:t>
            </w:r>
            <w:r>
              <w:rPr>
                <w:rFonts w:hint="default" w:ascii="Times New Roman" w:hAnsi="Times New Roman" w:eastAsia="宋体" w:cs="Times New Roman"/>
                <w:color w:val="auto"/>
                <w:kern w:val="2"/>
                <w:sz w:val="24"/>
                <w:szCs w:val="22"/>
                <w:highlight w:val="none"/>
                <w:vertAlign w:val="subscript"/>
              </w:rPr>
              <w:t>4</w:t>
            </w:r>
            <w:r>
              <w:rPr>
                <w:rFonts w:hint="default" w:ascii="Times New Roman" w:hAnsi="Times New Roman" w:eastAsia="宋体" w:cs="Times New Roman"/>
                <w:color w:val="auto"/>
                <w:kern w:val="2"/>
                <w:sz w:val="24"/>
                <w:szCs w:val="22"/>
                <w:highlight w:val="none"/>
              </w:rPr>
              <w:t>+ V</w:t>
            </w:r>
            <w:r>
              <w:rPr>
                <w:rFonts w:hint="default" w:ascii="Times New Roman" w:hAnsi="Times New Roman" w:eastAsia="宋体" w:cs="Times New Roman"/>
                <w:color w:val="auto"/>
                <w:kern w:val="2"/>
                <w:sz w:val="24"/>
                <w:szCs w:val="22"/>
                <w:highlight w:val="none"/>
                <w:vertAlign w:val="subscript"/>
              </w:rPr>
              <w:t>5</w:t>
            </w:r>
          </w:p>
          <w:p w14:paraId="7BF1B3C8">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lang w:val="en-US" w:eastAsia="zh-CN"/>
              </w:rPr>
            </w:pPr>
            <w:r>
              <w:rPr>
                <w:rFonts w:hint="default" w:ascii="Times New Roman" w:hAnsi="Times New Roman" w:eastAsia="宋体" w:cs="Times New Roman"/>
                <w:color w:val="auto"/>
                <w:kern w:val="2"/>
                <w:sz w:val="24"/>
                <w:szCs w:val="22"/>
                <w:highlight w:val="none"/>
              </w:rPr>
              <w:t xml:space="preserve">   =（</w:t>
            </w:r>
            <w:r>
              <w:rPr>
                <w:rFonts w:hint="default" w:ascii="Times New Roman" w:hAnsi="Times New Roman" w:eastAsia="宋体" w:cs="Times New Roman"/>
                <w:color w:val="auto"/>
                <w:kern w:val="2"/>
                <w:sz w:val="24"/>
                <w:szCs w:val="22"/>
                <w:highlight w:val="none"/>
                <w:lang w:val="en-US" w:eastAsia="zh-CN"/>
              </w:rPr>
              <w:t>0</w:t>
            </w:r>
            <w:r>
              <w:rPr>
                <w:rFonts w:hint="default" w:ascii="Times New Roman" w:hAnsi="Times New Roman" w:eastAsia="宋体" w:cs="Times New Roman"/>
                <w:color w:val="auto"/>
                <w:kern w:val="2"/>
                <w:sz w:val="24"/>
                <w:szCs w:val="22"/>
                <w:highlight w:val="none"/>
              </w:rPr>
              <w:t>+</w:t>
            </w:r>
            <w:r>
              <w:rPr>
                <w:rFonts w:hint="default" w:ascii="Times New Roman" w:hAnsi="Times New Roman" w:eastAsia="宋体" w:cs="Times New Roman"/>
                <w:color w:val="auto"/>
                <w:kern w:val="2"/>
                <w:sz w:val="24"/>
                <w:szCs w:val="22"/>
                <w:highlight w:val="none"/>
                <w:lang w:val="en-US" w:eastAsia="zh-CN"/>
              </w:rPr>
              <w:t>648</w:t>
            </w:r>
            <w:r>
              <w:rPr>
                <w:rFonts w:hint="default" w:ascii="Times New Roman" w:hAnsi="Times New Roman" w:eastAsia="宋体" w:cs="Times New Roman"/>
                <w:color w:val="auto"/>
                <w:kern w:val="2"/>
                <w:sz w:val="24"/>
                <w:szCs w:val="22"/>
                <w:highlight w:val="none"/>
              </w:rPr>
              <w:t>-</w:t>
            </w:r>
            <w:r>
              <w:rPr>
                <w:rFonts w:hint="default" w:ascii="Times New Roman" w:hAnsi="Times New Roman" w:eastAsia="宋体" w:cs="Times New Roman"/>
                <w:color w:val="auto"/>
                <w:kern w:val="2"/>
                <w:sz w:val="24"/>
                <w:szCs w:val="22"/>
                <w:highlight w:val="none"/>
                <w:lang w:val="en-US" w:eastAsia="zh-CN"/>
              </w:rPr>
              <w:t>0</w:t>
            </w:r>
            <w:r>
              <w:rPr>
                <w:rFonts w:hint="default" w:ascii="Times New Roman" w:hAnsi="Times New Roman" w:eastAsia="宋体" w:cs="Times New Roman"/>
                <w:color w:val="auto"/>
                <w:kern w:val="2"/>
                <w:sz w:val="24"/>
                <w:szCs w:val="22"/>
                <w:highlight w:val="none"/>
              </w:rPr>
              <w:t>）+0+</w:t>
            </w:r>
            <w:r>
              <w:rPr>
                <w:rFonts w:hint="default" w:ascii="Times New Roman" w:hAnsi="Times New Roman" w:eastAsia="宋体" w:cs="Times New Roman"/>
                <w:color w:val="auto"/>
                <w:kern w:val="2"/>
                <w:sz w:val="24"/>
                <w:szCs w:val="22"/>
                <w:highlight w:val="none"/>
                <w:lang w:val="en-US" w:eastAsia="zh-CN"/>
              </w:rPr>
              <w:t>126.</w:t>
            </w:r>
            <w:r>
              <w:rPr>
                <w:rFonts w:hint="eastAsia" w:cs="Times New Roman"/>
                <w:color w:val="auto"/>
                <w:kern w:val="2"/>
                <w:sz w:val="24"/>
                <w:szCs w:val="22"/>
                <w:highlight w:val="none"/>
                <w:lang w:val="en-US" w:eastAsia="zh-CN"/>
              </w:rPr>
              <w:t>31</w:t>
            </w:r>
          </w:p>
          <w:p w14:paraId="126C4893">
            <w:pPr>
              <w:widowControl w:val="0"/>
              <w:adjustRightInd/>
              <w:snapToGrid/>
              <w:spacing w:line="360" w:lineRule="auto"/>
              <w:ind w:firstLine="480" w:firstLineChars="200"/>
              <w:jc w:val="both"/>
              <w:rPr>
                <w:rFonts w:hint="default" w:ascii="Times New Roman" w:hAnsi="Times New Roman" w:eastAsia="宋体" w:cs="Times New Roman"/>
                <w:color w:val="auto"/>
                <w:kern w:val="2"/>
                <w:sz w:val="24"/>
                <w:szCs w:val="22"/>
                <w:highlight w:val="none"/>
              </w:rPr>
            </w:pPr>
            <w:r>
              <w:rPr>
                <w:rFonts w:hint="default" w:ascii="Times New Roman" w:hAnsi="Times New Roman" w:eastAsia="宋体" w:cs="Times New Roman"/>
                <w:color w:val="auto"/>
                <w:kern w:val="2"/>
                <w:sz w:val="24"/>
                <w:szCs w:val="22"/>
                <w:highlight w:val="none"/>
              </w:rPr>
              <w:t xml:space="preserve">   =</w:t>
            </w:r>
            <w:r>
              <w:rPr>
                <w:rFonts w:hint="default" w:ascii="Times New Roman" w:hAnsi="Times New Roman" w:eastAsia="宋体" w:cs="Times New Roman"/>
                <w:color w:val="auto"/>
                <w:kern w:val="2"/>
                <w:sz w:val="24"/>
                <w:szCs w:val="22"/>
                <w:highlight w:val="none"/>
                <w:lang w:val="en-US" w:eastAsia="zh-CN"/>
              </w:rPr>
              <w:t>775</w:t>
            </w:r>
            <w:r>
              <w:rPr>
                <w:rFonts w:hint="default" w:ascii="Times New Roman" w:hAnsi="Times New Roman" w:eastAsia="宋体" w:cs="Times New Roman"/>
                <w:color w:val="auto"/>
                <w:kern w:val="2"/>
                <w:sz w:val="24"/>
                <w:szCs w:val="22"/>
                <w:highlight w:val="none"/>
              </w:rPr>
              <w:t>m</w:t>
            </w:r>
            <w:r>
              <w:rPr>
                <w:rFonts w:hint="default" w:ascii="Times New Roman" w:hAnsi="Times New Roman" w:eastAsia="宋体" w:cs="Times New Roman"/>
                <w:color w:val="auto"/>
                <w:kern w:val="2"/>
                <w:sz w:val="24"/>
                <w:szCs w:val="22"/>
                <w:highlight w:val="none"/>
                <w:vertAlign w:val="superscript"/>
              </w:rPr>
              <w:t>3</w:t>
            </w:r>
          </w:p>
          <w:p w14:paraId="15F24B40">
            <w:pPr>
              <w:widowControl/>
              <w:bidi w:val="0"/>
              <w:adjustRightInd w:val="0"/>
              <w:snapToGrid w:val="0"/>
              <w:spacing w:line="360" w:lineRule="auto"/>
              <w:ind w:firstLine="480" w:firstLineChars="200"/>
              <w:jc w:val="left"/>
              <w:rPr>
                <w:rFonts w:hint="default" w:ascii="Times New Roman" w:hAnsi="Times New Roman" w:eastAsia="宋体" w:cs="Times New Roman"/>
                <w:color w:val="auto"/>
                <w:kern w:val="0"/>
                <w:sz w:val="24"/>
                <w:szCs w:val="20"/>
                <w:lang w:val="en-US" w:eastAsia="zh-CN"/>
              </w:rPr>
            </w:pPr>
            <w:r>
              <w:rPr>
                <w:rFonts w:hint="default" w:ascii="Times New Roman" w:hAnsi="Times New Roman" w:eastAsia="宋体" w:cs="Times New Roman"/>
                <w:color w:val="auto"/>
                <w:kern w:val="0"/>
                <w:sz w:val="24"/>
                <w:szCs w:val="20"/>
                <w:lang w:val="en-US" w:eastAsia="zh-CN"/>
              </w:rPr>
              <w:t>因此，本项目事故应急池的容积应不小于775m</w:t>
            </w:r>
            <w:r>
              <w:rPr>
                <w:rFonts w:hint="default" w:ascii="Times New Roman" w:hAnsi="Times New Roman" w:eastAsia="宋体" w:cs="Times New Roman"/>
                <w:color w:val="auto"/>
                <w:kern w:val="0"/>
                <w:sz w:val="24"/>
                <w:szCs w:val="20"/>
                <w:vertAlign w:val="superscript"/>
                <w:lang w:val="en-US" w:eastAsia="zh-CN"/>
              </w:rPr>
              <w:t>3</w:t>
            </w:r>
            <w:r>
              <w:rPr>
                <w:rFonts w:hint="default" w:ascii="Times New Roman" w:hAnsi="Times New Roman" w:eastAsia="宋体" w:cs="Times New Roman"/>
                <w:color w:val="auto"/>
                <w:kern w:val="0"/>
                <w:sz w:val="24"/>
                <w:szCs w:val="20"/>
                <w:lang w:val="en-US" w:eastAsia="zh-CN"/>
              </w:rPr>
              <w:t>，建设单位拟1座800m</w:t>
            </w:r>
            <w:r>
              <w:rPr>
                <w:rFonts w:hint="default" w:ascii="Times New Roman" w:hAnsi="Times New Roman" w:eastAsia="宋体" w:cs="Times New Roman"/>
                <w:color w:val="auto"/>
                <w:kern w:val="0"/>
                <w:sz w:val="24"/>
                <w:szCs w:val="20"/>
                <w:vertAlign w:val="superscript"/>
                <w:lang w:val="en-US" w:eastAsia="zh-CN"/>
              </w:rPr>
              <w:t>3</w:t>
            </w:r>
            <w:r>
              <w:rPr>
                <w:rFonts w:hint="default" w:ascii="Times New Roman" w:hAnsi="Times New Roman" w:eastAsia="宋体" w:cs="Times New Roman"/>
                <w:color w:val="auto"/>
                <w:kern w:val="0"/>
                <w:sz w:val="24"/>
                <w:szCs w:val="20"/>
                <w:lang w:val="en-US" w:eastAsia="zh-CN"/>
              </w:rPr>
              <w:t>事故池（兼做初期雨水池）。</w:t>
            </w:r>
          </w:p>
          <w:p w14:paraId="3B5F7E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0"/>
                <w:lang w:val="en-US" w:eastAsia="zh-CN"/>
              </w:rPr>
            </w:pPr>
            <w:r>
              <w:rPr>
                <w:rFonts w:hint="default" w:ascii="Times New Roman" w:hAnsi="Times New Roman" w:eastAsia="宋体" w:cs="Times New Roman"/>
                <w:color w:val="auto"/>
                <w:kern w:val="0"/>
                <w:sz w:val="24"/>
                <w:szCs w:val="20"/>
                <w:lang w:val="en-US" w:eastAsia="zh-CN"/>
              </w:rPr>
              <w:t>正常生产时保持事故池空置状态，当发生事故时关闭雨水排放阀，并开启事故池进水阀，一旦发生泄漏事故，废水可排入事故池，不向外排放，不会对保护目标产生影响。本项目应加强事故预防，定期巡查、调节、保养、维修，及时发 现有可能引起的事故异常运行苗头。主要操作人员上岗前应严格进行理论和实际操作培训。</w:t>
            </w:r>
          </w:p>
          <w:p w14:paraId="433FF1B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kern w:val="0"/>
                <w:sz w:val="24"/>
                <w:szCs w:val="20"/>
                <w:lang w:val="en-US" w:eastAsia="zh-CN"/>
              </w:rPr>
            </w:pPr>
            <w:r>
              <w:rPr>
                <w:rFonts w:hint="default" w:ascii="Times New Roman" w:hAnsi="Times New Roman" w:eastAsia="宋体" w:cs="Times New Roman"/>
                <w:color w:val="auto"/>
                <w:kern w:val="0"/>
                <w:sz w:val="24"/>
                <w:szCs w:val="20"/>
                <w:lang w:val="en-US" w:eastAsia="zh-CN"/>
              </w:rPr>
              <w:t>本项目消防废水水质如可满足污水处理设施设计进水要求，则将事故池废水逐渐排入污水处理站集中处理达标后排放；如不能满足项目污水处理进水要求，则委托有资质单位处理。设置事故池收集系统时，应严格执行《储罐区防火堤设计规范》和《水体污染防控紧急措施设计导则》等规范，科学合理设置废水事故池和管线。各管线铺设过程应考虑一定的坡度，确保废水废液应能够全部自流进入，对于部分区域地势确实过高的，应提前配置输送设施；事故池外排口除了设置电动控制阀外，应考虑电动控制阀失效状态下的应急准备，设置备用人工控制阀。</w:t>
            </w:r>
          </w:p>
          <w:p w14:paraId="4B312420">
            <w:pPr>
              <w:keepNext w:val="0"/>
              <w:keepLines w:val="0"/>
              <w:pageBreakBefore w:val="0"/>
              <w:widowControl/>
              <w:numPr>
                <w:ilvl w:val="0"/>
                <w:numId w:val="0"/>
              </w:numPr>
              <w:kinsoku/>
              <w:wordWrap w:val="0"/>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aps w:val="0"/>
                <w:color w:val="auto"/>
                <w:sz w:val="24"/>
                <w:szCs w:val="24"/>
                <w:lang w:val="en-US" w:eastAsia="zh-CN"/>
              </w:rPr>
            </w:pPr>
            <w:r>
              <w:rPr>
                <w:rFonts w:hint="default" w:ascii="Times New Roman" w:hAnsi="Times New Roman" w:eastAsia="宋体" w:cs="Times New Roman"/>
                <w:b/>
                <w:bCs/>
                <w:caps w:val="0"/>
                <w:color w:val="auto"/>
                <w:sz w:val="24"/>
                <w:szCs w:val="24"/>
                <w:lang w:val="en-US" w:eastAsia="zh-CN"/>
              </w:rPr>
              <w:t>7.4废水监测计划</w:t>
            </w:r>
          </w:p>
          <w:p w14:paraId="3C87E8C7">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0000FF"/>
                <w:kern w:val="0"/>
                <w:sz w:val="24"/>
                <w:szCs w:val="21"/>
                <w:lang w:val="en-US" w:eastAsia="zh-CN" w:bidi="ar-SA"/>
              </w:rPr>
            </w:pPr>
            <w:r>
              <w:rPr>
                <w:rFonts w:hint="default" w:ascii="Times New Roman" w:hAnsi="Times New Roman" w:eastAsia="宋体" w:cs="Times New Roman"/>
                <w:color w:val="0000FF"/>
                <w:kern w:val="0"/>
                <w:sz w:val="24"/>
                <w:szCs w:val="21"/>
                <w:lang w:val="en-US" w:eastAsia="zh-CN" w:bidi="ar-SA"/>
              </w:rPr>
              <w:t>本项目监测频次按照《排污单位自行监测技术指南 总则》（HJ 819-2017）对本项目废水进行监测，废水监测计划见下表。</w:t>
            </w:r>
          </w:p>
          <w:p w14:paraId="5048876D">
            <w:pPr>
              <w:keepNext w:val="0"/>
              <w:keepLines w:val="0"/>
              <w:pageBreakBefore w:val="0"/>
              <w:widowControl/>
              <w:numPr>
                <w:ilvl w:val="0"/>
                <w:numId w:val="0"/>
              </w:numPr>
              <w:kinsoku/>
              <w:wordWrap w:val="0"/>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aps w:val="0"/>
                <w:color w:val="0000FF"/>
                <w:sz w:val="24"/>
                <w:szCs w:val="24"/>
                <w:highlight w:val="none"/>
                <w:lang w:val="en-US" w:eastAsia="zh-CN"/>
              </w:rPr>
            </w:pPr>
            <w:r>
              <w:rPr>
                <w:rFonts w:hint="default" w:ascii="Times New Roman" w:hAnsi="Times New Roman" w:eastAsia="宋体" w:cs="Times New Roman"/>
                <w:b/>
                <w:bCs/>
                <w:caps w:val="0"/>
                <w:color w:val="0000FF"/>
                <w:sz w:val="21"/>
                <w:szCs w:val="21"/>
                <w:highlight w:val="none"/>
                <w:lang w:val="en-US" w:eastAsia="zh-CN"/>
              </w:rPr>
              <w:t>表4.7-3    废水监测计划表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1098"/>
              <w:gridCol w:w="2672"/>
              <w:gridCol w:w="1158"/>
              <w:gridCol w:w="2439"/>
            </w:tblGrid>
            <w:tr w14:paraId="036CF4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449" w:type="pct"/>
                  <w:noWrap w:val="0"/>
                  <w:vAlign w:val="center"/>
                </w:tcPr>
                <w:p w14:paraId="167202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监测</w:t>
                  </w:r>
                </w:p>
              </w:tc>
              <w:tc>
                <w:tcPr>
                  <w:tcW w:w="678" w:type="pct"/>
                  <w:noWrap w:val="0"/>
                  <w:vAlign w:val="center"/>
                </w:tcPr>
                <w:p w14:paraId="0C402E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监测点位</w:t>
                  </w:r>
                </w:p>
              </w:tc>
              <w:tc>
                <w:tcPr>
                  <w:tcW w:w="1650" w:type="pct"/>
                  <w:noWrap w:val="0"/>
                  <w:vAlign w:val="center"/>
                </w:tcPr>
                <w:p w14:paraId="005E24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lang w:val="en-US" w:eastAsia="zh-CN"/>
                    </w:rPr>
                    <w:t>监测</w:t>
                  </w:r>
                  <w:r>
                    <w:rPr>
                      <w:rFonts w:hint="default" w:ascii="Times New Roman" w:hAnsi="Times New Roman" w:eastAsia="宋体" w:cs="Times New Roman"/>
                      <w:b/>
                      <w:bCs/>
                      <w:color w:val="0000FF"/>
                      <w:sz w:val="21"/>
                      <w:szCs w:val="21"/>
                      <w:highlight w:val="none"/>
                    </w:rPr>
                    <w:t>因子</w:t>
                  </w:r>
                </w:p>
              </w:tc>
              <w:tc>
                <w:tcPr>
                  <w:tcW w:w="715" w:type="pct"/>
                  <w:noWrap w:val="0"/>
                  <w:vAlign w:val="center"/>
                </w:tcPr>
                <w:p w14:paraId="5297F8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FF"/>
                      <w:sz w:val="21"/>
                      <w:szCs w:val="21"/>
                      <w:highlight w:val="none"/>
                      <w:lang w:eastAsia="zh-CN"/>
                    </w:rPr>
                  </w:pPr>
                  <w:r>
                    <w:rPr>
                      <w:rFonts w:hint="default" w:ascii="Times New Roman" w:hAnsi="Times New Roman" w:eastAsia="宋体" w:cs="Times New Roman"/>
                      <w:b/>
                      <w:bCs/>
                      <w:color w:val="0000FF"/>
                      <w:sz w:val="21"/>
                      <w:szCs w:val="21"/>
                      <w:highlight w:val="none"/>
                    </w:rPr>
                    <w:t>监测频</w:t>
                  </w:r>
                  <w:r>
                    <w:rPr>
                      <w:rFonts w:hint="default" w:ascii="Times New Roman" w:hAnsi="Times New Roman" w:eastAsia="宋体" w:cs="Times New Roman"/>
                      <w:b/>
                      <w:bCs/>
                      <w:color w:val="0000FF"/>
                      <w:sz w:val="21"/>
                      <w:szCs w:val="21"/>
                      <w:highlight w:val="none"/>
                      <w:lang w:val="en-US" w:eastAsia="zh-CN"/>
                    </w:rPr>
                    <w:t>次</w:t>
                  </w:r>
                </w:p>
              </w:tc>
              <w:tc>
                <w:tcPr>
                  <w:tcW w:w="1506" w:type="pct"/>
                  <w:noWrap w:val="0"/>
                  <w:vAlign w:val="center"/>
                </w:tcPr>
                <w:p w14:paraId="1958D9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FF"/>
                      <w:sz w:val="21"/>
                      <w:szCs w:val="21"/>
                      <w:highlight w:val="none"/>
                    </w:rPr>
                  </w:pPr>
                  <w:r>
                    <w:rPr>
                      <w:rFonts w:hint="default" w:ascii="Times New Roman" w:hAnsi="Times New Roman" w:eastAsia="宋体" w:cs="Times New Roman"/>
                      <w:b/>
                      <w:bCs/>
                      <w:color w:val="0000FF"/>
                      <w:sz w:val="21"/>
                      <w:szCs w:val="21"/>
                      <w:highlight w:val="none"/>
                    </w:rPr>
                    <w:t>标准</w:t>
                  </w:r>
                </w:p>
              </w:tc>
            </w:tr>
            <w:tr w14:paraId="40BF6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9" w:type="pct"/>
                  <w:noWrap w:val="0"/>
                  <w:vAlign w:val="center"/>
                </w:tcPr>
                <w:p w14:paraId="50BE07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废水</w:t>
                  </w:r>
                </w:p>
              </w:tc>
              <w:tc>
                <w:tcPr>
                  <w:tcW w:w="678" w:type="pct"/>
                  <w:noWrap w:val="0"/>
                  <w:vAlign w:val="center"/>
                </w:tcPr>
                <w:p w14:paraId="20C24B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FF"/>
                      <w:sz w:val="21"/>
                      <w:szCs w:val="21"/>
                      <w:highlight w:val="none"/>
                    </w:rPr>
                  </w:pPr>
                  <w:r>
                    <w:rPr>
                      <w:rFonts w:hint="default" w:ascii="Times New Roman" w:hAnsi="Times New Roman" w:eastAsia="宋体" w:cs="Times New Roman"/>
                      <w:color w:val="0000FF"/>
                      <w:sz w:val="21"/>
                      <w:szCs w:val="21"/>
                      <w:highlight w:val="none"/>
                    </w:rPr>
                    <w:t>废水总排口</w:t>
                  </w:r>
                </w:p>
              </w:tc>
              <w:tc>
                <w:tcPr>
                  <w:tcW w:w="1650" w:type="pct"/>
                  <w:noWrap w:val="0"/>
                  <w:vAlign w:val="center"/>
                </w:tcPr>
                <w:p w14:paraId="1DAF97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rPr>
                    <w:t>流量、pH 值、悬浮物、化学需氧量、五日生化需氧量、氨氮</w:t>
                  </w:r>
                </w:p>
              </w:tc>
              <w:tc>
                <w:tcPr>
                  <w:tcW w:w="715" w:type="pct"/>
                  <w:noWrap w:val="0"/>
                  <w:vAlign w:val="center"/>
                </w:tcPr>
                <w:p w14:paraId="6D1E15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FF"/>
                      <w:sz w:val="21"/>
                      <w:szCs w:val="21"/>
                      <w:highlight w:val="none"/>
                      <w:lang w:val="en-US" w:eastAsia="zh-CN"/>
                    </w:rPr>
                  </w:pPr>
                  <w:r>
                    <w:rPr>
                      <w:rFonts w:hint="default" w:ascii="Times New Roman" w:hAnsi="Times New Roman" w:eastAsia="宋体" w:cs="Times New Roman"/>
                      <w:color w:val="0000FF"/>
                      <w:sz w:val="21"/>
                      <w:szCs w:val="21"/>
                      <w:highlight w:val="none"/>
                      <w:lang w:val="en-US" w:eastAsia="zh-CN"/>
                    </w:rPr>
                    <w:t>1年/次</w:t>
                  </w:r>
                </w:p>
              </w:tc>
              <w:tc>
                <w:tcPr>
                  <w:tcW w:w="1506" w:type="pct"/>
                  <w:noWrap w:val="0"/>
                  <w:vAlign w:val="center"/>
                </w:tcPr>
                <w:p w14:paraId="0E25ED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FF"/>
                      <w:sz w:val="21"/>
                      <w:szCs w:val="21"/>
                      <w:highlight w:val="none"/>
                      <w:lang w:eastAsia="zh-CN"/>
                    </w:rPr>
                  </w:pPr>
                  <w:r>
                    <w:rPr>
                      <w:rFonts w:hint="default" w:ascii="Times New Roman" w:hAnsi="Times New Roman" w:eastAsia="宋体" w:cs="Times New Roman"/>
                      <w:color w:val="0000FF"/>
                      <w:sz w:val="21"/>
                      <w:szCs w:val="21"/>
                      <w:highlight w:val="none"/>
                    </w:rPr>
                    <w:t>《污水综合排放标准》（GB8978-1996）表</w:t>
                  </w:r>
                  <w:r>
                    <w:rPr>
                      <w:rFonts w:hint="default" w:ascii="Times New Roman" w:hAnsi="Times New Roman" w:eastAsia="宋体" w:cs="Times New Roman"/>
                      <w:color w:val="0000FF"/>
                      <w:sz w:val="21"/>
                      <w:szCs w:val="21"/>
                      <w:highlight w:val="none"/>
                      <w:lang w:val="en-US" w:eastAsia="zh-CN"/>
                    </w:rPr>
                    <w:t>4</w:t>
                  </w:r>
                  <w:r>
                    <w:rPr>
                      <w:rFonts w:hint="default" w:ascii="Times New Roman" w:hAnsi="Times New Roman" w:eastAsia="宋体" w:cs="Times New Roman"/>
                      <w:color w:val="0000FF"/>
                      <w:sz w:val="21"/>
                      <w:szCs w:val="21"/>
                      <w:highlight w:val="none"/>
                    </w:rPr>
                    <w:t>中三级标准要求</w:t>
                  </w:r>
                </w:p>
              </w:tc>
            </w:tr>
          </w:tbl>
          <w:p w14:paraId="0B669C01">
            <w:pPr>
              <w:keepNext w:val="0"/>
              <w:keepLines w:val="0"/>
              <w:pageBreakBefore w:val="0"/>
              <w:widowControl/>
              <w:numPr>
                <w:ilvl w:val="0"/>
                <w:numId w:val="0"/>
              </w:numPr>
              <w:kinsoku/>
              <w:wordWrap w:val="0"/>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aps w:val="0"/>
                <w:color w:val="auto"/>
                <w:sz w:val="24"/>
                <w:szCs w:val="24"/>
                <w:highlight w:val="none"/>
              </w:rPr>
            </w:pPr>
            <w:r>
              <w:rPr>
                <w:rFonts w:hint="default" w:ascii="Times New Roman" w:hAnsi="Times New Roman" w:eastAsia="宋体" w:cs="Times New Roman"/>
                <w:b/>
                <w:bCs/>
                <w:caps w:val="0"/>
                <w:color w:val="auto"/>
                <w:sz w:val="24"/>
                <w:szCs w:val="24"/>
                <w:highlight w:val="none"/>
                <w:lang w:val="en-US" w:eastAsia="zh-CN"/>
              </w:rPr>
              <w:t>8、</w:t>
            </w:r>
            <w:r>
              <w:rPr>
                <w:rFonts w:hint="default" w:ascii="Times New Roman" w:hAnsi="Times New Roman" w:eastAsia="宋体" w:cs="Times New Roman"/>
                <w:b/>
                <w:bCs/>
                <w:caps w:val="0"/>
                <w:color w:val="auto"/>
                <w:sz w:val="24"/>
                <w:szCs w:val="24"/>
                <w:highlight w:val="none"/>
              </w:rPr>
              <w:t>噪声</w:t>
            </w:r>
            <w:bookmarkStart w:id="10" w:name="_Toc535528267"/>
          </w:p>
          <w:bookmarkEnd w:id="10"/>
          <w:p w14:paraId="39C1F1A7">
            <w:pPr>
              <w:widowControl w:val="0"/>
              <w:suppressAutoHyphens/>
              <w:snapToGrid w:val="0"/>
              <w:spacing w:line="360" w:lineRule="auto"/>
              <w:ind w:firstLine="480" w:firstLineChars="200"/>
              <w:jc w:val="left"/>
              <w:textAlignment w:val="center"/>
              <w:rPr>
                <w:rFonts w:hint="default" w:ascii="Times New Roman" w:hAnsi="Times New Roman" w:eastAsia="宋体" w:cs="Times New Roman"/>
                <w:b/>
                <w:bCs/>
                <w:color w:val="auto"/>
                <w:kern w:val="0"/>
                <w:sz w:val="21"/>
                <w:szCs w:val="21"/>
                <w:highlight w:val="yellow"/>
                <w:lang w:val="en-US" w:eastAsia="zh-CN" w:bidi="ar-SA"/>
              </w:rPr>
            </w:pPr>
            <w:r>
              <w:rPr>
                <w:rFonts w:hint="default" w:ascii="Times New Roman" w:hAnsi="Times New Roman" w:eastAsia="宋体" w:cs="Times New Roman"/>
                <w:color w:val="auto"/>
                <w:kern w:val="0"/>
                <w:sz w:val="24"/>
                <w:szCs w:val="24"/>
                <w:highlight w:val="none"/>
                <w:lang w:val="en-US" w:eastAsia="zh-CN" w:bidi="ar-SA"/>
              </w:rPr>
              <w:t>本项目主要噪声源来自于压缩机、烃泵、汽化器等设备运行时产生的噪声，声压级一般为70~85dB(A)左右，采取基础减震和厂房隔声等降噪措施后，噪声值可降低20~25dB（A）。经过对本项目产生噪声的声源进行治理后，满足《工业企业厂界环境噪声排放标准》（GB12348-2008）3类标准的要求，设备噪声源值见下表。</w:t>
            </w:r>
          </w:p>
          <w:p w14:paraId="5A2D811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aps w:val="0"/>
                <w:color w:val="auto"/>
                <w:sz w:val="24"/>
                <w:szCs w:val="24"/>
                <w:highlight w:val="none"/>
              </w:rPr>
            </w:pPr>
            <w:r>
              <w:rPr>
                <w:rFonts w:hint="default" w:ascii="Times New Roman" w:hAnsi="Times New Roman" w:eastAsia="宋体" w:cs="Times New Roman"/>
                <w:b w:val="0"/>
                <w:bCs/>
                <w:caps w:val="0"/>
                <w:color w:val="auto"/>
                <w:sz w:val="24"/>
                <w:szCs w:val="24"/>
                <w:highlight w:val="none"/>
              </w:rPr>
              <w:t>为了保护工人听力，为工人创造较为安静的工作环境，设计采取以下降噪措施：</w:t>
            </w:r>
          </w:p>
          <w:p w14:paraId="603E10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aps w:val="0"/>
                <w:color w:val="auto"/>
                <w:sz w:val="24"/>
                <w:szCs w:val="24"/>
                <w:highlight w:val="none"/>
              </w:rPr>
            </w:pPr>
            <w:r>
              <w:rPr>
                <w:rFonts w:hint="default" w:ascii="Times New Roman" w:hAnsi="Times New Roman" w:eastAsia="宋体" w:cs="Times New Roman"/>
                <w:b w:val="0"/>
                <w:bCs/>
                <w:caps w:val="0"/>
                <w:color w:val="auto"/>
                <w:sz w:val="24"/>
                <w:szCs w:val="24"/>
                <w:highlight w:val="none"/>
              </w:rPr>
              <w:t>（1）从噪声源头进行控制，降低源强，即在设备选购时尽量采用低噪声设备；</w:t>
            </w:r>
          </w:p>
          <w:p w14:paraId="5331F1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aps w:val="0"/>
                <w:color w:val="auto"/>
                <w:sz w:val="24"/>
                <w:szCs w:val="24"/>
                <w:highlight w:val="none"/>
              </w:rPr>
            </w:pPr>
            <w:r>
              <w:rPr>
                <w:rFonts w:hint="default" w:ascii="Times New Roman" w:hAnsi="Times New Roman" w:eastAsia="宋体" w:cs="Times New Roman"/>
                <w:b w:val="0"/>
                <w:bCs/>
                <w:caps w:val="0"/>
                <w:color w:val="auto"/>
                <w:sz w:val="24"/>
                <w:szCs w:val="24"/>
                <w:highlight w:val="none"/>
              </w:rPr>
              <w:t>（2）所有设备均布置在厂房内，并采取基础减震措施。</w:t>
            </w:r>
          </w:p>
          <w:p w14:paraId="04DFD2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aps w:val="0"/>
                <w:color w:val="auto"/>
                <w:sz w:val="24"/>
                <w:szCs w:val="24"/>
                <w:highlight w:val="none"/>
                <w:lang w:eastAsia="zh-CN"/>
              </w:rPr>
            </w:pPr>
            <w:r>
              <w:rPr>
                <w:rFonts w:hint="default" w:ascii="Times New Roman" w:hAnsi="Times New Roman" w:eastAsia="宋体" w:cs="Times New Roman"/>
                <w:b w:val="0"/>
                <w:bCs/>
                <w:caps w:val="0"/>
                <w:color w:val="auto"/>
                <w:sz w:val="24"/>
                <w:szCs w:val="24"/>
                <w:highlight w:val="none"/>
              </w:rPr>
              <w:t>（3）通过采取距离衰减方式降低噪声对敏感点影响</w:t>
            </w:r>
            <w:r>
              <w:rPr>
                <w:rFonts w:hint="default" w:ascii="Times New Roman" w:hAnsi="Times New Roman" w:eastAsia="宋体" w:cs="Times New Roman"/>
                <w:b w:val="0"/>
                <w:bCs/>
                <w:caps w:val="0"/>
                <w:color w:val="auto"/>
                <w:sz w:val="24"/>
                <w:szCs w:val="24"/>
                <w:highlight w:val="none"/>
                <w:lang w:eastAsia="zh-CN"/>
              </w:rPr>
              <w:t>。</w:t>
            </w:r>
          </w:p>
          <w:p w14:paraId="2FD08D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aps w:val="0"/>
                <w:color w:val="auto"/>
                <w:sz w:val="24"/>
                <w:szCs w:val="24"/>
                <w:highlight w:val="none"/>
              </w:rPr>
            </w:pPr>
            <w:r>
              <w:rPr>
                <w:rFonts w:hint="default" w:ascii="Times New Roman" w:hAnsi="Times New Roman" w:eastAsia="宋体" w:cs="Times New Roman"/>
                <w:b w:val="0"/>
                <w:bCs/>
                <w:caps w:val="0"/>
                <w:color w:val="auto"/>
                <w:sz w:val="24"/>
                <w:szCs w:val="24"/>
                <w:highlight w:val="none"/>
              </w:rPr>
              <w:t>（4）为减轻运输车辆对区域声环境的影响，建议厂方对运输车辆加强管理和维护，保持车辆有良好车况，机动车驾驶人员经过噪声敏感区地段应限制车速，禁止鸣笛，尽量避免夜间运输。</w:t>
            </w:r>
          </w:p>
          <w:p w14:paraId="5EAA7B32">
            <w:pPr>
              <w:pStyle w:val="44"/>
              <w:rPr>
                <w:rFonts w:hint="default" w:ascii="Times New Roman" w:hAnsi="Times New Roman" w:cs="Times New Roman"/>
                <w:vertAlign w:val="baseline"/>
              </w:rPr>
            </w:pPr>
            <w:r>
              <w:rPr>
                <w:rFonts w:hint="default" w:ascii="Times New Roman" w:hAnsi="Times New Roman" w:eastAsia="宋体" w:cs="Times New Roman"/>
                <w:b w:val="0"/>
                <w:bCs/>
                <w:caps w:val="0"/>
                <w:color w:val="auto"/>
                <w:sz w:val="24"/>
                <w:szCs w:val="24"/>
                <w:highlight w:val="none"/>
              </w:rPr>
              <w:t>（5）加强设备的维护，确保设备处于良好的运转状态，杜绝因设备不正常运转时产生的高噪声现象。</w:t>
            </w:r>
          </w:p>
        </w:tc>
      </w:tr>
    </w:tbl>
    <w:p w14:paraId="6AD81C40">
      <w:pPr>
        <w:adjustRightInd w:val="0"/>
        <w:snapToGrid w:val="0"/>
        <w:spacing w:line="360" w:lineRule="auto"/>
        <w:rPr>
          <w:rFonts w:hint="default" w:ascii="Times New Roman" w:hAnsi="Times New Roman" w:cs="Times New Roman"/>
          <w:b/>
          <w:color w:val="auto"/>
          <w:kern w:val="0"/>
          <w:sz w:val="28"/>
          <w:szCs w:val="28"/>
        </w:rPr>
        <w:sectPr>
          <w:pgSz w:w="11907" w:h="16840"/>
          <w:pgMar w:top="1701" w:right="1531" w:bottom="2127"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6"/>
        <w:gridCol w:w="12472"/>
      </w:tblGrid>
      <w:tr w14:paraId="2766C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0" w:hRule="atLeast"/>
        </w:trPr>
        <w:tc>
          <w:tcPr>
            <w:tcW w:w="756" w:type="dxa"/>
          </w:tcPr>
          <w:p w14:paraId="388755B1">
            <w:pPr>
              <w:adjustRightInd w:val="0"/>
              <w:snapToGrid w:val="0"/>
              <w:spacing w:line="360" w:lineRule="auto"/>
              <w:rPr>
                <w:rFonts w:hint="default" w:ascii="Times New Roman" w:hAnsi="Times New Roman" w:cs="Times New Roman"/>
                <w:b/>
                <w:color w:val="auto"/>
                <w:kern w:val="0"/>
                <w:sz w:val="28"/>
                <w:szCs w:val="28"/>
                <w:vertAlign w:val="baseline"/>
              </w:rPr>
            </w:pPr>
          </w:p>
        </w:tc>
        <w:tc>
          <w:tcPr>
            <w:tcW w:w="12472" w:type="dxa"/>
            <w:vAlign w:val="center"/>
          </w:tcPr>
          <w:p w14:paraId="290B1E77">
            <w:pPr>
              <w:adjustRightInd w:val="0"/>
              <w:snapToGrid w:val="0"/>
              <w:spacing w:line="360" w:lineRule="auto"/>
              <w:jc w:val="center"/>
              <w:rPr>
                <w:rFonts w:hint="default" w:ascii="Times New Roman" w:hAnsi="Times New Roman" w:cs="Times New Roman"/>
                <w:b/>
                <w:color w:val="0000FF"/>
                <w:kern w:val="0"/>
                <w:sz w:val="21"/>
                <w:szCs w:val="21"/>
                <w:vertAlign w:val="baseline"/>
                <w:lang w:val="en-US" w:eastAsia="zh-CN"/>
              </w:rPr>
            </w:pPr>
            <w:r>
              <w:rPr>
                <w:rFonts w:hint="default" w:ascii="Times New Roman" w:hAnsi="Times New Roman" w:cs="Times New Roman"/>
                <w:b/>
                <w:color w:val="0000FF"/>
                <w:kern w:val="0"/>
                <w:sz w:val="21"/>
                <w:szCs w:val="21"/>
                <w:vertAlign w:val="baseline"/>
                <w:lang w:val="en-US" w:eastAsia="zh-CN"/>
              </w:rPr>
              <w:t>表4.8-1    工业企业噪声源强调查清单（室内声源）</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390"/>
              <w:gridCol w:w="988"/>
              <w:gridCol w:w="961"/>
              <w:gridCol w:w="789"/>
              <w:gridCol w:w="706"/>
              <w:gridCol w:w="1088"/>
              <w:gridCol w:w="456"/>
              <w:gridCol w:w="588"/>
              <w:gridCol w:w="530"/>
              <w:gridCol w:w="867"/>
              <w:gridCol w:w="746"/>
              <w:gridCol w:w="1931"/>
              <w:gridCol w:w="1051"/>
              <w:gridCol w:w="586"/>
              <w:gridCol w:w="569"/>
            </w:tblGrid>
            <w:tr w14:paraId="48A0A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12" w:hRule="atLeast"/>
              </w:trPr>
              <w:tc>
                <w:tcPr>
                  <w:tcW w:w="159" w:type="pct"/>
                  <w:vMerge w:val="restart"/>
                  <w:shd w:val="clear" w:color="auto" w:fill="auto"/>
                  <w:noWrap/>
                  <w:vAlign w:val="center"/>
                </w:tcPr>
                <w:p w14:paraId="55FD507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序号</w:t>
                  </w:r>
                </w:p>
              </w:tc>
              <w:tc>
                <w:tcPr>
                  <w:tcW w:w="403" w:type="pct"/>
                  <w:vMerge w:val="restart"/>
                  <w:shd w:val="clear" w:color="auto" w:fill="auto"/>
                  <w:vAlign w:val="center"/>
                </w:tcPr>
                <w:p w14:paraId="6D7993A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建筑物</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名称</w:t>
                  </w:r>
                </w:p>
              </w:tc>
              <w:tc>
                <w:tcPr>
                  <w:tcW w:w="392" w:type="pct"/>
                  <w:vMerge w:val="restart"/>
                  <w:shd w:val="clear" w:color="auto" w:fill="auto"/>
                  <w:noWrap/>
                  <w:vAlign w:val="center"/>
                </w:tcPr>
                <w:p w14:paraId="03E1609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声源名称</w:t>
                  </w:r>
                </w:p>
              </w:tc>
              <w:tc>
                <w:tcPr>
                  <w:tcW w:w="322" w:type="pct"/>
                  <w:vMerge w:val="restart"/>
                  <w:shd w:val="clear" w:color="auto" w:fill="auto"/>
                  <w:noWrap/>
                  <w:vAlign w:val="center"/>
                </w:tcPr>
                <w:p w14:paraId="12E0D21C">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型号</w:t>
                  </w:r>
                </w:p>
              </w:tc>
              <w:tc>
                <w:tcPr>
                  <w:tcW w:w="288" w:type="pct"/>
                  <w:vMerge w:val="restart"/>
                  <w:shd w:val="clear" w:color="auto" w:fill="auto"/>
                  <w:noWrap/>
                  <w:vAlign w:val="center"/>
                </w:tcPr>
                <w:p w14:paraId="66967306">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声功率级/dB(A)</w:t>
                  </w:r>
                </w:p>
              </w:tc>
              <w:tc>
                <w:tcPr>
                  <w:tcW w:w="444" w:type="pct"/>
                  <w:vMerge w:val="restart"/>
                  <w:shd w:val="clear" w:color="auto" w:fill="auto"/>
                  <w:noWrap/>
                  <w:vAlign w:val="center"/>
                </w:tcPr>
                <w:p w14:paraId="3145171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声源控制措施</w:t>
                  </w:r>
                </w:p>
              </w:tc>
              <w:tc>
                <w:tcPr>
                  <w:tcW w:w="642" w:type="pct"/>
                  <w:gridSpan w:val="3"/>
                  <w:shd w:val="clear" w:color="auto" w:fill="auto"/>
                  <w:noWrap/>
                  <w:vAlign w:val="center"/>
                </w:tcPr>
                <w:p w14:paraId="75DB205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空间相对位置/m</w:t>
                  </w:r>
                </w:p>
              </w:tc>
              <w:tc>
                <w:tcPr>
                  <w:tcW w:w="353" w:type="pct"/>
                  <w:vMerge w:val="restart"/>
                  <w:shd w:val="clear" w:color="auto" w:fill="auto"/>
                  <w:vAlign w:val="center"/>
                </w:tcPr>
                <w:p w14:paraId="753EB81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距室内边</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界距离/m</w:t>
                  </w:r>
                </w:p>
              </w:tc>
              <w:tc>
                <w:tcPr>
                  <w:tcW w:w="304" w:type="pct"/>
                  <w:vMerge w:val="restart"/>
                  <w:shd w:val="clear" w:color="auto" w:fill="auto"/>
                  <w:vAlign w:val="center"/>
                </w:tcPr>
                <w:p w14:paraId="1F9F0AE9">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室内边界</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声级</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/dB(A)</w:t>
                  </w:r>
                </w:p>
              </w:tc>
              <w:tc>
                <w:tcPr>
                  <w:tcW w:w="788" w:type="pct"/>
                  <w:vMerge w:val="restart"/>
                  <w:shd w:val="clear" w:color="auto" w:fill="auto"/>
                  <w:noWrap/>
                  <w:vAlign w:val="center"/>
                </w:tcPr>
                <w:p w14:paraId="3641777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运行时段</w:t>
                  </w:r>
                </w:p>
              </w:tc>
              <w:tc>
                <w:tcPr>
                  <w:tcW w:w="429" w:type="pct"/>
                  <w:vMerge w:val="restart"/>
                  <w:shd w:val="clear" w:color="auto" w:fill="auto"/>
                  <w:vAlign w:val="center"/>
                </w:tcPr>
                <w:p w14:paraId="048F780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建筑物</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插入损</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 xml:space="preserve">失/ </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dB(A)</w:t>
                  </w:r>
                </w:p>
              </w:tc>
              <w:tc>
                <w:tcPr>
                  <w:tcW w:w="471" w:type="pct"/>
                  <w:gridSpan w:val="2"/>
                  <w:shd w:val="clear" w:color="auto" w:fill="auto"/>
                  <w:noWrap/>
                  <w:vAlign w:val="center"/>
                </w:tcPr>
                <w:p w14:paraId="1497640D">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建筑物外噪声</w:t>
                  </w:r>
                </w:p>
              </w:tc>
            </w:tr>
            <w:tr w14:paraId="62A99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0" w:hRule="atLeast"/>
              </w:trPr>
              <w:tc>
                <w:tcPr>
                  <w:tcW w:w="159" w:type="pct"/>
                  <w:vMerge w:val="continue"/>
                  <w:shd w:val="clear" w:color="auto" w:fill="auto"/>
                  <w:noWrap/>
                  <w:vAlign w:val="center"/>
                </w:tcPr>
                <w:p w14:paraId="7F8E3865">
                  <w:pPr>
                    <w:pStyle w:val="40"/>
                    <w:bidi w:val="0"/>
                    <w:jc w:val="center"/>
                    <w:rPr>
                      <w:rFonts w:hint="default" w:ascii="Times New Roman" w:hAnsi="Times New Roman" w:cs="Times New Roman"/>
                      <w:color w:val="0000FF"/>
                    </w:rPr>
                  </w:pPr>
                </w:p>
              </w:tc>
              <w:tc>
                <w:tcPr>
                  <w:tcW w:w="403" w:type="pct"/>
                  <w:vMerge w:val="continue"/>
                  <w:shd w:val="clear" w:color="auto" w:fill="auto"/>
                  <w:vAlign w:val="center"/>
                </w:tcPr>
                <w:p w14:paraId="0E1FE89F">
                  <w:pPr>
                    <w:pStyle w:val="40"/>
                    <w:bidi w:val="0"/>
                    <w:jc w:val="center"/>
                    <w:rPr>
                      <w:rFonts w:hint="default" w:ascii="Times New Roman" w:hAnsi="Times New Roman" w:cs="Times New Roman"/>
                      <w:color w:val="0000FF"/>
                    </w:rPr>
                  </w:pPr>
                </w:p>
              </w:tc>
              <w:tc>
                <w:tcPr>
                  <w:tcW w:w="392" w:type="pct"/>
                  <w:vMerge w:val="continue"/>
                  <w:shd w:val="clear" w:color="auto" w:fill="auto"/>
                  <w:noWrap/>
                  <w:vAlign w:val="center"/>
                </w:tcPr>
                <w:p w14:paraId="40E47893">
                  <w:pPr>
                    <w:pStyle w:val="40"/>
                    <w:bidi w:val="0"/>
                    <w:jc w:val="center"/>
                    <w:rPr>
                      <w:rFonts w:hint="default" w:ascii="Times New Roman" w:hAnsi="Times New Roman" w:cs="Times New Roman"/>
                      <w:color w:val="0000FF"/>
                    </w:rPr>
                  </w:pPr>
                </w:p>
              </w:tc>
              <w:tc>
                <w:tcPr>
                  <w:tcW w:w="322" w:type="pct"/>
                  <w:vMerge w:val="continue"/>
                  <w:shd w:val="clear" w:color="auto" w:fill="auto"/>
                  <w:noWrap/>
                  <w:vAlign w:val="center"/>
                </w:tcPr>
                <w:p w14:paraId="7935AA0D">
                  <w:pPr>
                    <w:pStyle w:val="40"/>
                    <w:bidi w:val="0"/>
                    <w:jc w:val="center"/>
                    <w:rPr>
                      <w:rFonts w:hint="default" w:ascii="Times New Roman" w:hAnsi="Times New Roman" w:cs="Times New Roman"/>
                      <w:color w:val="0000FF"/>
                    </w:rPr>
                  </w:pPr>
                </w:p>
              </w:tc>
              <w:tc>
                <w:tcPr>
                  <w:tcW w:w="288" w:type="pct"/>
                  <w:vMerge w:val="continue"/>
                  <w:shd w:val="clear" w:color="auto" w:fill="auto"/>
                  <w:vAlign w:val="center"/>
                </w:tcPr>
                <w:p w14:paraId="2FF5AF87">
                  <w:pPr>
                    <w:pStyle w:val="40"/>
                    <w:bidi w:val="0"/>
                    <w:jc w:val="center"/>
                    <w:rPr>
                      <w:rFonts w:hint="default" w:ascii="Times New Roman" w:hAnsi="Times New Roman" w:cs="Times New Roman"/>
                      <w:color w:val="0000FF"/>
                    </w:rPr>
                  </w:pPr>
                </w:p>
              </w:tc>
              <w:tc>
                <w:tcPr>
                  <w:tcW w:w="444" w:type="pct"/>
                  <w:vMerge w:val="continue"/>
                  <w:shd w:val="clear" w:color="auto" w:fill="auto"/>
                  <w:noWrap/>
                  <w:vAlign w:val="center"/>
                </w:tcPr>
                <w:p w14:paraId="2775BA03">
                  <w:pPr>
                    <w:pStyle w:val="40"/>
                    <w:bidi w:val="0"/>
                    <w:jc w:val="center"/>
                    <w:rPr>
                      <w:rFonts w:hint="default" w:ascii="Times New Roman" w:hAnsi="Times New Roman" w:cs="Times New Roman"/>
                      <w:color w:val="0000FF"/>
                    </w:rPr>
                  </w:pPr>
                </w:p>
              </w:tc>
              <w:tc>
                <w:tcPr>
                  <w:tcW w:w="186" w:type="pct"/>
                  <w:shd w:val="clear" w:color="auto" w:fill="auto"/>
                  <w:noWrap/>
                  <w:vAlign w:val="center"/>
                </w:tcPr>
                <w:p w14:paraId="0CA5E32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X</w:t>
                  </w:r>
                </w:p>
              </w:tc>
              <w:tc>
                <w:tcPr>
                  <w:tcW w:w="240" w:type="pct"/>
                  <w:shd w:val="clear" w:color="auto" w:fill="auto"/>
                  <w:noWrap/>
                  <w:vAlign w:val="center"/>
                </w:tcPr>
                <w:p w14:paraId="03EB2CD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Y</w:t>
                  </w:r>
                </w:p>
              </w:tc>
              <w:tc>
                <w:tcPr>
                  <w:tcW w:w="216" w:type="pct"/>
                  <w:shd w:val="clear" w:color="auto" w:fill="auto"/>
                  <w:noWrap/>
                  <w:vAlign w:val="center"/>
                </w:tcPr>
                <w:p w14:paraId="4343032A">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Z</w:t>
                  </w:r>
                </w:p>
              </w:tc>
              <w:tc>
                <w:tcPr>
                  <w:tcW w:w="353" w:type="pct"/>
                  <w:vMerge w:val="continue"/>
                  <w:shd w:val="clear" w:color="auto" w:fill="auto"/>
                  <w:vAlign w:val="center"/>
                </w:tcPr>
                <w:p w14:paraId="7088BC4A">
                  <w:pPr>
                    <w:pStyle w:val="40"/>
                    <w:bidi w:val="0"/>
                    <w:jc w:val="center"/>
                    <w:rPr>
                      <w:rFonts w:hint="default" w:ascii="Times New Roman" w:hAnsi="Times New Roman" w:cs="Times New Roman"/>
                      <w:color w:val="0000FF"/>
                    </w:rPr>
                  </w:pPr>
                </w:p>
              </w:tc>
              <w:tc>
                <w:tcPr>
                  <w:tcW w:w="304" w:type="pct"/>
                  <w:vMerge w:val="continue"/>
                  <w:shd w:val="clear" w:color="auto" w:fill="auto"/>
                  <w:vAlign w:val="center"/>
                </w:tcPr>
                <w:p w14:paraId="32B3C7A5">
                  <w:pPr>
                    <w:pStyle w:val="40"/>
                    <w:bidi w:val="0"/>
                    <w:jc w:val="center"/>
                    <w:rPr>
                      <w:rFonts w:hint="default" w:ascii="Times New Roman" w:hAnsi="Times New Roman" w:cs="Times New Roman"/>
                      <w:color w:val="0000FF"/>
                    </w:rPr>
                  </w:pPr>
                </w:p>
              </w:tc>
              <w:tc>
                <w:tcPr>
                  <w:tcW w:w="788" w:type="pct"/>
                  <w:vMerge w:val="continue"/>
                  <w:shd w:val="clear" w:color="auto" w:fill="auto"/>
                  <w:noWrap/>
                  <w:vAlign w:val="center"/>
                </w:tcPr>
                <w:p w14:paraId="0143FD9C">
                  <w:pPr>
                    <w:pStyle w:val="40"/>
                    <w:bidi w:val="0"/>
                    <w:jc w:val="center"/>
                    <w:rPr>
                      <w:rFonts w:hint="default" w:ascii="Times New Roman" w:hAnsi="Times New Roman" w:cs="Times New Roman"/>
                      <w:color w:val="0000FF"/>
                    </w:rPr>
                  </w:pPr>
                </w:p>
              </w:tc>
              <w:tc>
                <w:tcPr>
                  <w:tcW w:w="429" w:type="pct"/>
                  <w:vMerge w:val="continue"/>
                  <w:shd w:val="clear" w:color="auto" w:fill="auto"/>
                  <w:vAlign w:val="center"/>
                </w:tcPr>
                <w:p w14:paraId="3A056F49">
                  <w:pPr>
                    <w:pStyle w:val="40"/>
                    <w:bidi w:val="0"/>
                    <w:jc w:val="center"/>
                    <w:rPr>
                      <w:rFonts w:hint="default" w:ascii="Times New Roman" w:hAnsi="Times New Roman" w:cs="Times New Roman"/>
                      <w:color w:val="0000FF"/>
                    </w:rPr>
                  </w:pPr>
                </w:p>
              </w:tc>
              <w:tc>
                <w:tcPr>
                  <w:tcW w:w="239" w:type="pct"/>
                  <w:shd w:val="clear" w:color="auto" w:fill="auto"/>
                  <w:vAlign w:val="center"/>
                </w:tcPr>
                <w:p w14:paraId="6F9D0A46">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声压级</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/dB(A)</w:t>
                  </w:r>
                </w:p>
              </w:tc>
              <w:tc>
                <w:tcPr>
                  <w:tcW w:w="232" w:type="pct"/>
                  <w:shd w:val="clear" w:color="auto" w:fill="auto"/>
                  <w:vAlign w:val="center"/>
                </w:tcPr>
                <w:p w14:paraId="2ABD717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建筑物</w:t>
                  </w:r>
                  <w:r>
                    <w:rPr>
                      <w:rFonts w:hint="default" w:ascii="Times New Roman" w:hAnsi="Times New Roman" w:cs="Times New Roman"/>
                      <w:color w:val="0000FF"/>
                      <w:lang w:val="en-US" w:eastAsia="zh-CN"/>
                    </w:rPr>
                    <w:br w:type="textWrapping"/>
                  </w:r>
                  <w:r>
                    <w:rPr>
                      <w:rFonts w:hint="default" w:ascii="Times New Roman" w:hAnsi="Times New Roman" w:cs="Times New Roman"/>
                      <w:color w:val="0000FF"/>
                      <w:lang w:val="en-US" w:eastAsia="zh-CN"/>
                    </w:rPr>
                    <w:t>外距离</w:t>
                  </w:r>
                </w:p>
              </w:tc>
            </w:tr>
            <w:tr w14:paraId="03D9E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1E59630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c>
                <w:tcPr>
                  <w:tcW w:w="403" w:type="pct"/>
                  <w:shd w:val="clear" w:color="auto" w:fill="auto"/>
                  <w:noWrap/>
                  <w:vAlign w:val="center"/>
                </w:tcPr>
                <w:p w14:paraId="049D4EF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LPG灌瓶间</w:t>
                  </w:r>
                </w:p>
              </w:tc>
              <w:tc>
                <w:tcPr>
                  <w:tcW w:w="392" w:type="pct"/>
                  <w:shd w:val="clear" w:color="auto" w:fill="auto"/>
                  <w:noWrap/>
                  <w:vAlign w:val="center"/>
                </w:tcPr>
                <w:p w14:paraId="1F74CFD6">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LPG泵</w:t>
                  </w:r>
                </w:p>
              </w:tc>
              <w:tc>
                <w:tcPr>
                  <w:tcW w:w="322" w:type="pct"/>
                  <w:shd w:val="clear" w:color="auto" w:fill="auto"/>
                  <w:noWrap/>
                  <w:vAlign w:val="center"/>
                </w:tcPr>
                <w:p w14:paraId="042BAA5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68D678DF">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444" w:type="pct"/>
                  <w:shd w:val="clear" w:color="auto" w:fill="auto"/>
                  <w:noWrap/>
                  <w:vAlign w:val="center"/>
                </w:tcPr>
                <w:p w14:paraId="6C110D3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4D5BCDE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147</w:t>
                  </w:r>
                </w:p>
              </w:tc>
              <w:tc>
                <w:tcPr>
                  <w:tcW w:w="588" w:type="dxa"/>
                  <w:shd w:val="clear" w:color="auto" w:fill="auto"/>
                  <w:noWrap/>
                  <w:vAlign w:val="center"/>
                </w:tcPr>
                <w:p w14:paraId="02620F2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530" w:type="dxa"/>
                  <w:shd w:val="clear" w:color="auto" w:fill="auto"/>
                  <w:noWrap/>
                  <w:vAlign w:val="center"/>
                </w:tcPr>
                <w:p w14:paraId="5A97AA9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1010.69</w:t>
                  </w:r>
                </w:p>
              </w:tc>
              <w:tc>
                <w:tcPr>
                  <w:tcW w:w="867" w:type="dxa"/>
                  <w:shd w:val="clear" w:color="auto" w:fill="auto"/>
                  <w:noWrap/>
                  <w:vAlign w:val="center"/>
                </w:tcPr>
                <w:p w14:paraId="213B6026">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14.76</w:t>
                  </w:r>
                </w:p>
              </w:tc>
              <w:tc>
                <w:tcPr>
                  <w:tcW w:w="746" w:type="dxa"/>
                  <w:shd w:val="clear" w:color="auto" w:fill="auto"/>
                  <w:noWrap/>
                  <w:vAlign w:val="center"/>
                </w:tcPr>
                <w:p w14:paraId="7233170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76.16</w:t>
                  </w:r>
                </w:p>
              </w:tc>
              <w:tc>
                <w:tcPr>
                  <w:tcW w:w="788" w:type="pct"/>
                  <w:shd w:val="clear" w:color="auto" w:fill="auto"/>
                  <w:noWrap/>
                  <w:vAlign w:val="center"/>
                </w:tcPr>
                <w:p w14:paraId="1E2BBD2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734E224C">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153F55DA">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45.13</w:t>
                  </w:r>
                </w:p>
              </w:tc>
              <w:tc>
                <w:tcPr>
                  <w:tcW w:w="232" w:type="pct"/>
                  <w:shd w:val="clear" w:color="auto" w:fill="auto"/>
                  <w:noWrap/>
                  <w:vAlign w:val="center"/>
                </w:tcPr>
                <w:p w14:paraId="656211D3">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66E65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6A82D3DB">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w:t>
                  </w:r>
                </w:p>
              </w:tc>
              <w:tc>
                <w:tcPr>
                  <w:tcW w:w="403" w:type="pct"/>
                  <w:shd w:val="clear" w:color="auto" w:fill="auto"/>
                  <w:noWrap/>
                  <w:vAlign w:val="center"/>
                </w:tcPr>
                <w:p w14:paraId="1679D09B">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LPG灌瓶间</w:t>
                  </w:r>
                </w:p>
              </w:tc>
              <w:tc>
                <w:tcPr>
                  <w:tcW w:w="392" w:type="pct"/>
                  <w:shd w:val="clear" w:color="auto" w:fill="auto"/>
                  <w:noWrap/>
                  <w:vAlign w:val="center"/>
                </w:tcPr>
                <w:p w14:paraId="74C7E6E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压缩机1</w:t>
                  </w:r>
                </w:p>
              </w:tc>
              <w:tc>
                <w:tcPr>
                  <w:tcW w:w="322" w:type="pct"/>
                  <w:shd w:val="clear" w:color="auto" w:fill="auto"/>
                  <w:noWrap/>
                  <w:vAlign w:val="center"/>
                </w:tcPr>
                <w:p w14:paraId="4FC34AD9">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404D48D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85</w:t>
                  </w:r>
                </w:p>
              </w:tc>
              <w:tc>
                <w:tcPr>
                  <w:tcW w:w="444" w:type="pct"/>
                  <w:shd w:val="clear" w:color="auto" w:fill="auto"/>
                  <w:noWrap/>
                  <w:vAlign w:val="center"/>
                </w:tcPr>
                <w:p w14:paraId="5DA2F68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4645269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153</w:t>
                  </w:r>
                </w:p>
              </w:tc>
              <w:tc>
                <w:tcPr>
                  <w:tcW w:w="588" w:type="dxa"/>
                  <w:shd w:val="clear" w:color="auto" w:fill="auto"/>
                  <w:noWrap/>
                  <w:vAlign w:val="center"/>
                </w:tcPr>
                <w:p w14:paraId="2F4CFD5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28</w:t>
                  </w:r>
                </w:p>
              </w:tc>
              <w:tc>
                <w:tcPr>
                  <w:tcW w:w="530" w:type="dxa"/>
                  <w:shd w:val="clear" w:color="auto" w:fill="auto"/>
                  <w:noWrap/>
                  <w:vAlign w:val="center"/>
                </w:tcPr>
                <w:p w14:paraId="6095756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1010.59</w:t>
                  </w:r>
                </w:p>
              </w:tc>
              <w:tc>
                <w:tcPr>
                  <w:tcW w:w="867" w:type="dxa"/>
                  <w:shd w:val="clear" w:color="auto" w:fill="auto"/>
                  <w:noWrap/>
                  <w:vAlign w:val="center"/>
                </w:tcPr>
                <w:p w14:paraId="4FA4328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14.76</w:t>
                  </w:r>
                </w:p>
              </w:tc>
              <w:tc>
                <w:tcPr>
                  <w:tcW w:w="746" w:type="dxa"/>
                  <w:shd w:val="clear" w:color="auto" w:fill="auto"/>
                  <w:noWrap/>
                  <w:vAlign w:val="center"/>
                </w:tcPr>
                <w:p w14:paraId="0E30BCB9">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81.16</w:t>
                  </w:r>
                </w:p>
              </w:tc>
              <w:tc>
                <w:tcPr>
                  <w:tcW w:w="788" w:type="pct"/>
                  <w:shd w:val="clear" w:color="auto" w:fill="auto"/>
                  <w:noWrap/>
                  <w:vAlign w:val="center"/>
                </w:tcPr>
                <w:p w14:paraId="553191D3">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76A6CD6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51A8CA6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50.13</w:t>
                  </w:r>
                </w:p>
              </w:tc>
              <w:tc>
                <w:tcPr>
                  <w:tcW w:w="232" w:type="pct"/>
                  <w:shd w:val="clear" w:color="auto" w:fill="auto"/>
                  <w:noWrap/>
                  <w:vAlign w:val="center"/>
                </w:tcPr>
                <w:p w14:paraId="50203E3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27405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3A72F3CA">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3</w:t>
                  </w:r>
                </w:p>
              </w:tc>
              <w:tc>
                <w:tcPr>
                  <w:tcW w:w="403" w:type="pct"/>
                  <w:shd w:val="clear" w:color="auto" w:fill="auto"/>
                  <w:noWrap/>
                  <w:vAlign w:val="center"/>
                </w:tcPr>
                <w:p w14:paraId="0052BB9F">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LPG灌瓶间</w:t>
                  </w:r>
                </w:p>
              </w:tc>
              <w:tc>
                <w:tcPr>
                  <w:tcW w:w="392" w:type="pct"/>
                  <w:shd w:val="clear" w:color="auto" w:fill="auto"/>
                  <w:noWrap/>
                  <w:vAlign w:val="center"/>
                </w:tcPr>
                <w:p w14:paraId="54FF7E4D">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加臭机</w:t>
                  </w:r>
                </w:p>
              </w:tc>
              <w:tc>
                <w:tcPr>
                  <w:tcW w:w="322" w:type="pct"/>
                  <w:shd w:val="clear" w:color="auto" w:fill="auto"/>
                  <w:noWrap/>
                  <w:vAlign w:val="center"/>
                </w:tcPr>
                <w:p w14:paraId="2C0FA1D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758DF0D6">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75</w:t>
                  </w:r>
                </w:p>
              </w:tc>
              <w:tc>
                <w:tcPr>
                  <w:tcW w:w="444" w:type="pct"/>
                  <w:shd w:val="clear" w:color="auto" w:fill="auto"/>
                  <w:noWrap/>
                  <w:vAlign w:val="center"/>
                </w:tcPr>
                <w:p w14:paraId="17F615E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3A1F9C74">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153</w:t>
                  </w:r>
                </w:p>
              </w:tc>
              <w:tc>
                <w:tcPr>
                  <w:tcW w:w="588" w:type="dxa"/>
                  <w:shd w:val="clear" w:color="auto" w:fill="auto"/>
                  <w:noWrap/>
                  <w:vAlign w:val="center"/>
                </w:tcPr>
                <w:p w14:paraId="6DB8B23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20</w:t>
                  </w:r>
                </w:p>
              </w:tc>
              <w:tc>
                <w:tcPr>
                  <w:tcW w:w="530" w:type="dxa"/>
                  <w:shd w:val="clear" w:color="auto" w:fill="auto"/>
                  <w:noWrap/>
                  <w:vAlign w:val="center"/>
                </w:tcPr>
                <w:p w14:paraId="7B18E76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1010.59</w:t>
                  </w:r>
                </w:p>
              </w:tc>
              <w:tc>
                <w:tcPr>
                  <w:tcW w:w="867" w:type="dxa"/>
                  <w:shd w:val="clear" w:color="auto" w:fill="auto"/>
                  <w:noWrap/>
                  <w:vAlign w:val="center"/>
                </w:tcPr>
                <w:p w14:paraId="41080DB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14.76</w:t>
                  </w:r>
                </w:p>
              </w:tc>
              <w:tc>
                <w:tcPr>
                  <w:tcW w:w="746" w:type="dxa"/>
                  <w:shd w:val="clear" w:color="auto" w:fill="auto"/>
                  <w:noWrap/>
                  <w:vAlign w:val="center"/>
                </w:tcPr>
                <w:p w14:paraId="28BEF5F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71.16</w:t>
                  </w:r>
                </w:p>
              </w:tc>
              <w:tc>
                <w:tcPr>
                  <w:tcW w:w="788" w:type="pct"/>
                  <w:shd w:val="clear" w:color="auto" w:fill="auto"/>
                  <w:noWrap/>
                  <w:vAlign w:val="center"/>
                </w:tcPr>
                <w:p w14:paraId="305683B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59E4791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3A1383BB">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40.13</w:t>
                  </w:r>
                </w:p>
              </w:tc>
              <w:tc>
                <w:tcPr>
                  <w:tcW w:w="232" w:type="pct"/>
                  <w:shd w:val="clear" w:color="auto" w:fill="auto"/>
                  <w:noWrap/>
                  <w:vAlign w:val="center"/>
                </w:tcPr>
                <w:p w14:paraId="35A58BEA">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184B18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0DB6E9E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w:t>
                  </w:r>
                </w:p>
              </w:tc>
              <w:tc>
                <w:tcPr>
                  <w:tcW w:w="403" w:type="pct"/>
                  <w:shd w:val="clear" w:color="auto" w:fill="auto"/>
                  <w:noWrap/>
                  <w:vAlign w:val="center"/>
                </w:tcPr>
                <w:p w14:paraId="1842EAC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改性丙烷烷灌瓶间</w:t>
                  </w:r>
                </w:p>
              </w:tc>
              <w:tc>
                <w:tcPr>
                  <w:tcW w:w="392" w:type="pct"/>
                  <w:shd w:val="clear" w:color="auto" w:fill="auto"/>
                  <w:noWrap/>
                  <w:vAlign w:val="center"/>
                </w:tcPr>
                <w:p w14:paraId="147D563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丙烷灌装泵</w:t>
                  </w:r>
                </w:p>
              </w:tc>
              <w:tc>
                <w:tcPr>
                  <w:tcW w:w="322" w:type="pct"/>
                  <w:shd w:val="clear" w:color="auto" w:fill="auto"/>
                  <w:noWrap/>
                  <w:vAlign w:val="center"/>
                </w:tcPr>
                <w:p w14:paraId="75A78BED">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1038B8AD">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444" w:type="pct"/>
                  <w:shd w:val="clear" w:color="auto" w:fill="auto"/>
                  <w:noWrap/>
                  <w:vAlign w:val="center"/>
                </w:tcPr>
                <w:p w14:paraId="5B9CADD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0A284F3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159</w:t>
                  </w:r>
                </w:p>
              </w:tc>
              <w:tc>
                <w:tcPr>
                  <w:tcW w:w="588" w:type="dxa"/>
                  <w:shd w:val="clear" w:color="auto" w:fill="auto"/>
                  <w:noWrap/>
                  <w:vAlign w:val="center"/>
                </w:tcPr>
                <w:p w14:paraId="686FDEE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76</w:t>
                  </w:r>
                </w:p>
              </w:tc>
              <w:tc>
                <w:tcPr>
                  <w:tcW w:w="530" w:type="dxa"/>
                  <w:shd w:val="clear" w:color="auto" w:fill="auto"/>
                  <w:noWrap/>
                  <w:vAlign w:val="center"/>
                </w:tcPr>
                <w:p w14:paraId="4314C60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1010.85</w:t>
                  </w:r>
                </w:p>
              </w:tc>
              <w:tc>
                <w:tcPr>
                  <w:tcW w:w="867" w:type="dxa"/>
                  <w:shd w:val="clear" w:color="auto" w:fill="auto"/>
                  <w:noWrap/>
                  <w:vAlign w:val="center"/>
                </w:tcPr>
                <w:p w14:paraId="7FE7CFF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13.63</w:t>
                  </w:r>
                </w:p>
              </w:tc>
              <w:tc>
                <w:tcPr>
                  <w:tcW w:w="746" w:type="dxa"/>
                  <w:shd w:val="clear" w:color="auto" w:fill="auto"/>
                  <w:noWrap/>
                  <w:vAlign w:val="center"/>
                </w:tcPr>
                <w:p w14:paraId="5D18862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76.16</w:t>
                  </w:r>
                </w:p>
              </w:tc>
              <w:tc>
                <w:tcPr>
                  <w:tcW w:w="788" w:type="pct"/>
                  <w:shd w:val="clear" w:color="auto" w:fill="auto"/>
                  <w:noWrap/>
                  <w:vAlign w:val="center"/>
                </w:tcPr>
                <w:p w14:paraId="286C97D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1B852996">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2977501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45.13</w:t>
                  </w:r>
                </w:p>
              </w:tc>
              <w:tc>
                <w:tcPr>
                  <w:tcW w:w="232" w:type="pct"/>
                  <w:shd w:val="clear" w:color="auto" w:fill="auto"/>
                  <w:noWrap/>
                  <w:vAlign w:val="center"/>
                </w:tcPr>
                <w:p w14:paraId="2747AE4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69B07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410A4AD3">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5</w:t>
                  </w:r>
                </w:p>
              </w:tc>
              <w:tc>
                <w:tcPr>
                  <w:tcW w:w="403" w:type="pct"/>
                  <w:shd w:val="clear" w:color="auto" w:fill="auto"/>
                  <w:noWrap/>
                  <w:vAlign w:val="center"/>
                </w:tcPr>
                <w:p w14:paraId="29C6CFEB">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改性丙烷烷灌瓶间</w:t>
                  </w:r>
                </w:p>
              </w:tc>
              <w:tc>
                <w:tcPr>
                  <w:tcW w:w="392" w:type="pct"/>
                  <w:shd w:val="clear" w:color="auto" w:fill="auto"/>
                  <w:noWrap/>
                  <w:vAlign w:val="center"/>
                </w:tcPr>
                <w:p w14:paraId="3AC0894A">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压缩机2</w:t>
                  </w:r>
                </w:p>
              </w:tc>
              <w:tc>
                <w:tcPr>
                  <w:tcW w:w="322" w:type="pct"/>
                  <w:shd w:val="clear" w:color="auto" w:fill="auto"/>
                  <w:noWrap/>
                  <w:vAlign w:val="center"/>
                </w:tcPr>
                <w:p w14:paraId="77B15D2F">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7576D48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85</w:t>
                  </w:r>
                </w:p>
              </w:tc>
              <w:tc>
                <w:tcPr>
                  <w:tcW w:w="444" w:type="pct"/>
                  <w:shd w:val="clear" w:color="auto" w:fill="auto"/>
                  <w:noWrap/>
                  <w:vAlign w:val="center"/>
                </w:tcPr>
                <w:p w14:paraId="59869F7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2C4AD13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166</w:t>
                  </w:r>
                </w:p>
              </w:tc>
              <w:tc>
                <w:tcPr>
                  <w:tcW w:w="588" w:type="dxa"/>
                  <w:shd w:val="clear" w:color="auto" w:fill="auto"/>
                  <w:noWrap/>
                  <w:vAlign w:val="center"/>
                </w:tcPr>
                <w:p w14:paraId="1B9C4D8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75</w:t>
                  </w:r>
                </w:p>
              </w:tc>
              <w:tc>
                <w:tcPr>
                  <w:tcW w:w="530" w:type="dxa"/>
                  <w:shd w:val="clear" w:color="auto" w:fill="auto"/>
                  <w:noWrap/>
                  <w:vAlign w:val="center"/>
                </w:tcPr>
                <w:p w14:paraId="03C49B8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1010.9</w:t>
                  </w:r>
                </w:p>
              </w:tc>
              <w:tc>
                <w:tcPr>
                  <w:tcW w:w="867" w:type="dxa"/>
                  <w:shd w:val="clear" w:color="auto" w:fill="auto"/>
                  <w:noWrap/>
                  <w:vAlign w:val="center"/>
                </w:tcPr>
                <w:p w14:paraId="48A79F7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13.63</w:t>
                  </w:r>
                </w:p>
              </w:tc>
              <w:tc>
                <w:tcPr>
                  <w:tcW w:w="746" w:type="dxa"/>
                  <w:shd w:val="clear" w:color="auto" w:fill="auto"/>
                  <w:noWrap/>
                  <w:vAlign w:val="center"/>
                </w:tcPr>
                <w:p w14:paraId="22584E7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81.16</w:t>
                  </w:r>
                </w:p>
              </w:tc>
              <w:tc>
                <w:tcPr>
                  <w:tcW w:w="788" w:type="pct"/>
                  <w:shd w:val="clear" w:color="auto" w:fill="auto"/>
                  <w:noWrap/>
                  <w:vAlign w:val="center"/>
                </w:tcPr>
                <w:p w14:paraId="50140633">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650A5F1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33B3EF3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50.13</w:t>
                  </w:r>
                </w:p>
              </w:tc>
              <w:tc>
                <w:tcPr>
                  <w:tcW w:w="232" w:type="pct"/>
                  <w:shd w:val="clear" w:color="auto" w:fill="auto"/>
                  <w:noWrap/>
                  <w:vAlign w:val="center"/>
                </w:tcPr>
                <w:p w14:paraId="32F9334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63049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38AE9E76">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6</w:t>
                  </w:r>
                </w:p>
              </w:tc>
              <w:tc>
                <w:tcPr>
                  <w:tcW w:w="403" w:type="pct"/>
                  <w:shd w:val="clear" w:color="auto" w:fill="auto"/>
                  <w:noWrap/>
                  <w:vAlign w:val="center"/>
                </w:tcPr>
                <w:p w14:paraId="18F8AFAF">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气体灌瓶间</w:t>
                  </w:r>
                </w:p>
              </w:tc>
              <w:tc>
                <w:tcPr>
                  <w:tcW w:w="392" w:type="pct"/>
                  <w:shd w:val="clear" w:color="auto" w:fill="auto"/>
                  <w:noWrap/>
                  <w:vAlign w:val="center"/>
                </w:tcPr>
                <w:p w14:paraId="78BE1B5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汽化器1</w:t>
                  </w:r>
                </w:p>
              </w:tc>
              <w:tc>
                <w:tcPr>
                  <w:tcW w:w="322" w:type="pct"/>
                  <w:shd w:val="clear" w:color="auto" w:fill="auto"/>
                  <w:noWrap/>
                  <w:vAlign w:val="center"/>
                </w:tcPr>
                <w:p w14:paraId="13A784A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6A02C84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444" w:type="pct"/>
                  <w:shd w:val="clear" w:color="auto" w:fill="auto"/>
                  <w:noWrap/>
                  <w:vAlign w:val="center"/>
                </w:tcPr>
                <w:p w14:paraId="632FA8F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375B4E7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197</w:t>
                  </w:r>
                </w:p>
              </w:tc>
              <w:tc>
                <w:tcPr>
                  <w:tcW w:w="588" w:type="dxa"/>
                  <w:shd w:val="clear" w:color="auto" w:fill="auto"/>
                  <w:noWrap/>
                  <w:vAlign w:val="center"/>
                </w:tcPr>
                <w:p w14:paraId="53983C39">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82</w:t>
                  </w:r>
                </w:p>
              </w:tc>
              <w:tc>
                <w:tcPr>
                  <w:tcW w:w="530" w:type="dxa"/>
                  <w:shd w:val="clear" w:color="auto" w:fill="auto"/>
                  <w:noWrap/>
                  <w:vAlign w:val="center"/>
                </w:tcPr>
                <w:p w14:paraId="549A1C6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1011.04</w:t>
                  </w:r>
                </w:p>
              </w:tc>
              <w:tc>
                <w:tcPr>
                  <w:tcW w:w="867" w:type="dxa"/>
                  <w:shd w:val="clear" w:color="auto" w:fill="auto"/>
                  <w:noWrap/>
                  <w:vAlign w:val="center"/>
                </w:tcPr>
                <w:p w14:paraId="6CD2C60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14.87</w:t>
                  </w:r>
                </w:p>
              </w:tc>
              <w:tc>
                <w:tcPr>
                  <w:tcW w:w="746" w:type="dxa"/>
                  <w:shd w:val="clear" w:color="auto" w:fill="auto"/>
                  <w:noWrap/>
                  <w:vAlign w:val="center"/>
                </w:tcPr>
                <w:p w14:paraId="2B2739F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76.16</w:t>
                  </w:r>
                </w:p>
              </w:tc>
              <w:tc>
                <w:tcPr>
                  <w:tcW w:w="788" w:type="pct"/>
                  <w:shd w:val="clear" w:color="auto" w:fill="auto"/>
                  <w:noWrap/>
                  <w:vAlign w:val="center"/>
                </w:tcPr>
                <w:p w14:paraId="28F4E8A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0AC586F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4B12106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45.13</w:t>
                  </w:r>
                </w:p>
              </w:tc>
              <w:tc>
                <w:tcPr>
                  <w:tcW w:w="232" w:type="pct"/>
                  <w:shd w:val="clear" w:color="auto" w:fill="auto"/>
                  <w:noWrap/>
                  <w:vAlign w:val="center"/>
                </w:tcPr>
                <w:p w14:paraId="2E8A34EB">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5C375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69A636D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7</w:t>
                  </w:r>
                </w:p>
              </w:tc>
              <w:tc>
                <w:tcPr>
                  <w:tcW w:w="403" w:type="pct"/>
                  <w:shd w:val="clear" w:color="auto" w:fill="auto"/>
                  <w:noWrap/>
                  <w:vAlign w:val="center"/>
                </w:tcPr>
                <w:p w14:paraId="183C248C">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气体灌瓶间</w:t>
                  </w:r>
                </w:p>
              </w:tc>
              <w:tc>
                <w:tcPr>
                  <w:tcW w:w="392" w:type="pct"/>
                  <w:shd w:val="clear" w:color="auto" w:fill="auto"/>
                  <w:noWrap/>
                  <w:vAlign w:val="center"/>
                </w:tcPr>
                <w:p w14:paraId="5C1D89C4">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汽化器2</w:t>
                  </w:r>
                </w:p>
              </w:tc>
              <w:tc>
                <w:tcPr>
                  <w:tcW w:w="322" w:type="pct"/>
                  <w:shd w:val="clear" w:color="auto" w:fill="auto"/>
                  <w:noWrap/>
                  <w:vAlign w:val="center"/>
                </w:tcPr>
                <w:p w14:paraId="1CE97E7B">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7217FA1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444" w:type="pct"/>
                  <w:shd w:val="clear" w:color="auto" w:fill="auto"/>
                  <w:noWrap/>
                  <w:vAlign w:val="center"/>
                </w:tcPr>
                <w:p w14:paraId="33709E8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031C3D4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204</w:t>
                  </w:r>
                </w:p>
              </w:tc>
              <w:tc>
                <w:tcPr>
                  <w:tcW w:w="588" w:type="dxa"/>
                  <w:shd w:val="clear" w:color="auto" w:fill="auto"/>
                  <w:noWrap/>
                  <w:vAlign w:val="center"/>
                </w:tcPr>
                <w:p w14:paraId="71A3CF5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82</w:t>
                  </w:r>
                </w:p>
              </w:tc>
              <w:tc>
                <w:tcPr>
                  <w:tcW w:w="530" w:type="dxa"/>
                  <w:shd w:val="clear" w:color="auto" w:fill="auto"/>
                  <w:noWrap/>
                  <w:vAlign w:val="center"/>
                </w:tcPr>
                <w:p w14:paraId="1BCBA63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1011.14</w:t>
                  </w:r>
                </w:p>
              </w:tc>
              <w:tc>
                <w:tcPr>
                  <w:tcW w:w="867" w:type="dxa"/>
                  <w:shd w:val="clear" w:color="auto" w:fill="auto"/>
                  <w:noWrap/>
                  <w:vAlign w:val="center"/>
                </w:tcPr>
                <w:p w14:paraId="62472EE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14.87</w:t>
                  </w:r>
                </w:p>
              </w:tc>
              <w:tc>
                <w:tcPr>
                  <w:tcW w:w="746" w:type="dxa"/>
                  <w:shd w:val="clear" w:color="auto" w:fill="auto"/>
                  <w:noWrap/>
                  <w:vAlign w:val="center"/>
                </w:tcPr>
                <w:p w14:paraId="324D9DF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76.16</w:t>
                  </w:r>
                </w:p>
              </w:tc>
              <w:tc>
                <w:tcPr>
                  <w:tcW w:w="788" w:type="pct"/>
                  <w:shd w:val="clear" w:color="auto" w:fill="auto"/>
                  <w:noWrap/>
                  <w:vAlign w:val="center"/>
                </w:tcPr>
                <w:p w14:paraId="30C1516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1611893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4B87978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45.13</w:t>
                  </w:r>
                </w:p>
              </w:tc>
              <w:tc>
                <w:tcPr>
                  <w:tcW w:w="232" w:type="pct"/>
                  <w:shd w:val="clear" w:color="auto" w:fill="auto"/>
                  <w:noWrap/>
                  <w:vAlign w:val="center"/>
                </w:tcPr>
                <w:p w14:paraId="3B29586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22AED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5987A57A">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w:t>
                  </w:r>
                </w:p>
              </w:tc>
              <w:tc>
                <w:tcPr>
                  <w:tcW w:w="403" w:type="pct"/>
                  <w:shd w:val="clear" w:color="auto" w:fill="auto"/>
                  <w:noWrap/>
                  <w:vAlign w:val="center"/>
                </w:tcPr>
                <w:p w14:paraId="714E2564">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气体灌瓶间</w:t>
                  </w:r>
                </w:p>
              </w:tc>
              <w:tc>
                <w:tcPr>
                  <w:tcW w:w="392" w:type="pct"/>
                  <w:shd w:val="clear" w:color="auto" w:fill="auto"/>
                  <w:noWrap/>
                  <w:vAlign w:val="center"/>
                </w:tcPr>
                <w:p w14:paraId="78C4B9B9">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汽化器3</w:t>
                  </w:r>
                </w:p>
              </w:tc>
              <w:tc>
                <w:tcPr>
                  <w:tcW w:w="322" w:type="pct"/>
                  <w:shd w:val="clear" w:color="auto" w:fill="auto"/>
                  <w:noWrap/>
                  <w:vAlign w:val="center"/>
                </w:tcPr>
                <w:p w14:paraId="0751368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6D22A05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444" w:type="pct"/>
                  <w:shd w:val="clear" w:color="auto" w:fill="auto"/>
                  <w:noWrap/>
                  <w:vAlign w:val="center"/>
                </w:tcPr>
                <w:p w14:paraId="62B7EE0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2D4D844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211</w:t>
                  </w:r>
                </w:p>
              </w:tc>
              <w:tc>
                <w:tcPr>
                  <w:tcW w:w="588" w:type="dxa"/>
                  <w:shd w:val="clear" w:color="auto" w:fill="auto"/>
                  <w:noWrap/>
                  <w:vAlign w:val="center"/>
                </w:tcPr>
                <w:p w14:paraId="13DAC22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82</w:t>
                  </w:r>
                </w:p>
              </w:tc>
              <w:tc>
                <w:tcPr>
                  <w:tcW w:w="530" w:type="dxa"/>
                  <w:shd w:val="clear" w:color="auto" w:fill="auto"/>
                  <w:noWrap/>
                  <w:vAlign w:val="center"/>
                </w:tcPr>
                <w:p w14:paraId="0DAC853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1011.27</w:t>
                  </w:r>
                </w:p>
              </w:tc>
              <w:tc>
                <w:tcPr>
                  <w:tcW w:w="867" w:type="dxa"/>
                  <w:shd w:val="clear" w:color="auto" w:fill="auto"/>
                  <w:noWrap/>
                  <w:vAlign w:val="center"/>
                </w:tcPr>
                <w:p w14:paraId="5D8C37A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14.87</w:t>
                  </w:r>
                </w:p>
              </w:tc>
              <w:tc>
                <w:tcPr>
                  <w:tcW w:w="746" w:type="dxa"/>
                  <w:shd w:val="clear" w:color="auto" w:fill="auto"/>
                  <w:noWrap/>
                  <w:vAlign w:val="center"/>
                </w:tcPr>
                <w:p w14:paraId="4211E58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76.16</w:t>
                  </w:r>
                </w:p>
              </w:tc>
              <w:tc>
                <w:tcPr>
                  <w:tcW w:w="788" w:type="pct"/>
                  <w:shd w:val="clear" w:color="auto" w:fill="auto"/>
                  <w:noWrap/>
                  <w:vAlign w:val="center"/>
                </w:tcPr>
                <w:p w14:paraId="10B9723C">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2807395B">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1BEB062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45.13</w:t>
                  </w:r>
                </w:p>
              </w:tc>
              <w:tc>
                <w:tcPr>
                  <w:tcW w:w="232" w:type="pct"/>
                  <w:shd w:val="clear" w:color="auto" w:fill="auto"/>
                  <w:noWrap/>
                  <w:vAlign w:val="center"/>
                </w:tcPr>
                <w:p w14:paraId="29065F1F">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76890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6BFB7DE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9</w:t>
                  </w:r>
                </w:p>
              </w:tc>
              <w:tc>
                <w:tcPr>
                  <w:tcW w:w="403" w:type="pct"/>
                  <w:shd w:val="clear" w:color="auto" w:fill="auto"/>
                  <w:noWrap/>
                  <w:vAlign w:val="center"/>
                </w:tcPr>
                <w:p w14:paraId="2EE031CB">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气体灌瓶间</w:t>
                  </w:r>
                </w:p>
              </w:tc>
              <w:tc>
                <w:tcPr>
                  <w:tcW w:w="392" w:type="pct"/>
                  <w:shd w:val="clear" w:color="auto" w:fill="auto"/>
                  <w:noWrap/>
                  <w:vAlign w:val="center"/>
                </w:tcPr>
                <w:p w14:paraId="086574F6">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汽化器4</w:t>
                  </w:r>
                </w:p>
              </w:tc>
              <w:tc>
                <w:tcPr>
                  <w:tcW w:w="322" w:type="pct"/>
                  <w:shd w:val="clear" w:color="auto" w:fill="auto"/>
                  <w:noWrap/>
                  <w:vAlign w:val="center"/>
                </w:tcPr>
                <w:p w14:paraId="73D9CA0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2FE79A97">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444" w:type="pct"/>
                  <w:shd w:val="clear" w:color="auto" w:fill="auto"/>
                  <w:noWrap/>
                  <w:vAlign w:val="center"/>
                </w:tcPr>
                <w:p w14:paraId="34399AE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35FB6A7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211</w:t>
                  </w:r>
                </w:p>
              </w:tc>
              <w:tc>
                <w:tcPr>
                  <w:tcW w:w="588" w:type="dxa"/>
                  <w:shd w:val="clear" w:color="auto" w:fill="auto"/>
                  <w:noWrap/>
                  <w:vAlign w:val="center"/>
                </w:tcPr>
                <w:p w14:paraId="1B6FB1B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82</w:t>
                  </w:r>
                </w:p>
              </w:tc>
              <w:tc>
                <w:tcPr>
                  <w:tcW w:w="530" w:type="dxa"/>
                  <w:shd w:val="clear" w:color="auto" w:fill="auto"/>
                  <w:noWrap/>
                  <w:vAlign w:val="center"/>
                </w:tcPr>
                <w:p w14:paraId="1CDB1FD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1011.27</w:t>
                  </w:r>
                </w:p>
              </w:tc>
              <w:tc>
                <w:tcPr>
                  <w:tcW w:w="867" w:type="dxa"/>
                  <w:shd w:val="clear" w:color="auto" w:fill="auto"/>
                  <w:noWrap/>
                  <w:vAlign w:val="center"/>
                </w:tcPr>
                <w:p w14:paraId="16D979C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14.87</w:t>
                  </w:r>
                </w:p>
              </w:tc>
              <w:tc>
                <w:tcPr>
                  <w:tcW w:w="746" w:type="dxa"/>
                  <w:shd w:val="clear" w:color="auto" w:fill="auto"/>
                  <w:noWrap/>
                  <w:vAlign w:val="center"/>
                </w:tcPr>
                <w:p w14:paraId="18C9D4D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76.16</w:t>
                  </w:r>
                </w:p>
              </w:tc>
              <w:tc>
                <w:tcPr>
                  <w:tcW w:w="788" w:type="pct"/>
                  <w:shd w:val="clear" w:color="auto" w:fill="auto"/>
                  <w:noWrap/>
                  <w:vAlign w:val="center"/>
                </w:tcPr>
                <w:p w14:paraId="2B3D6053">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399F840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5B47CFB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45.13</w:t>
                  </w:r>
                </w:p>
              </w:tc>
              <w:tc>
                <w:tcPr>
                  <w:tcW w:w="232" w:type="pct"/>
                  <w:shd w:val="clear" w:color="auto" w:fill="auto"/>
                  <w:noWrap/>
                  <w:vAlign w:val="center"/>
                </w:tcPr>
                <w:p w14:paraId="3F36C959">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3CACB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3B4620F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10</w:t>
                  </w:r>
                </w:p>
              </w:tc>
              <w:tc>
                <w:tcPr>
                  <w:tcW w:w="403" w:type="pct"/>
                  <w:shd w:val="clear" w:color="auto" w:fill="auto"/>
                  <w:noWrap/>
                  <w:vAlign w:val="center"/>
                </w:tcPr>
                <w:p w14:paraId="5D1A60D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气体灌瓶间</w:t>
                  </w:r>
                </w:p>
              </w:tc>
              <w:tc>
                <w:tcPr>
                  <w:tcW w:w="392" w:type="pct"/>
                  <w:shd w:val="clear" w:color="auto" w:fill="auto"/>
                  <w:noWrap/>
                  <w:vAlign w:val="center"/>
                </w:tcPr>
                <w:p w14:paraId="1DEC53B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汇流排1</w:t>
                  </w:r>
                </w:p>
              </w:tc>
              <w:tc>
                <w:tcPr>
                  <w:tcW w:w="322" w:type="pct"/>
                  <w:shd w:val="clear" w:color="auto" w:fill="auto"/>
                  <w:noWrap/>
                  <w:vAlign w:val="center"/>
                </w:tcPr>
                <w:p w14:paraId="0BF9C30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6D6C0A6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75</w:t>
                  </w:r>
                </w:p>
              </w:tc>
              <w:tc>
                <w:tcPr>
                  <w:tcW w:w="444" w:type="pct"/>
                  <w:shd w:val="clear" w:color="auto" w:fill="auto"/>
                  <w:noWrap/>
                  <w:vAlign w:val="center"/>
                </w:tcPr>
                <w:p w14:paraId="7CCBCB8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6EBAA394">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211</w:t>
                  </w:r>
                </w:p>
              </w:tc>
              <w:tc>
                <w:tcPr>
                  <w:tcW w:w="588" w:type="dxa"/>
                  <w:shd w:val="clear" w:color="auto" w:fill="auto"/>
                  <w:noWrap/>
                  <w:vAlign w:val="center"/>
                </w:tcPr>
                <w:p w14:paraId="312AD98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88</w:t>
                  </w:r>
                </w:p>
              </w:tc>
              <w:tc>
                <w:tcPr>
                  <w:tcW w:w="530" w:type="dxa"/>
                  <w:shd w:val="clear" w:color="auto" w:fill="auto"/>
                  <w:noWrap/>
                  <w:vAlign w:val="center"/>
                </w:tcPr>
                <w:p w14:paraId="5C3259B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1011.21</w:t>
                  </w:r>
                </w:p>
              </w:tc>
              <w:tc>
                <w:tcPr>
                  <w:tcW w:w="867" w:type="dxa"/>
                  <w:shd w:val="clear" w:color="auto" w:fill="auto"/>
                  <w:noWrap/>
                  <w:vAlign w:val="center"/>
                </w:tcPr>
                <w:p w14:paraId="6BB5E4A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14.87</w:t>
                  </w:r>
                </w:p>
              </w:tc>
              <w:tc>
                <w:tcPr>
                  <w:tcW w:w="746" w:type="dxa"/>
                  <w:shd w:val="clear" w:color="auto" w:fill="auto"/>
                  <w:noWrap/>
                  <w:vAlign w:val="center"/>
                </w:tcPr>
                <w:p w14:paraId="0DFC0A3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71.16</w:t>
                  </w:r>
                </w:p>
              </w:tc>
              <w:tc>
                <w:tcPr>
                  <w:tcW w:w="788" w:type="pct"/>
                  <w:shd w:val="clear" w:color="auto" w:fill="auto"/>
                  <w:noWrap/>
                  <w:vAlign w:val="center"/>
                </w:tcPr>
                <w:p w14:paraId="170F301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12D3047D">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2378F86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40.13</w:t>
                  </w:r>
                </w:p>
              </w:tc>
              <w:tc>
                <w:tcPr>
                  <w:tcW w:w="232" w:type="pct"/>
                  <w:shd w:val="clear" w:color="auto" w:fill="auto"/>
                  <w:noWrap/>
                  <w:vAlign w:val="center"/>
                </w:tcPr>
                <w:p w14:paraId="66B46899">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29A63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299FF52D">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11</w:t>
                  </w:r>
                </w:p>
              </w:tc>
              <w:tc>
                <w:tcPr>
                  <w:tcW w:w="403" w:type="pct"/>
                  <w:shd w:val="clear" w:color="auto" w:fill="auto"/>
                  <w:noWrap/>
                  <w:vAlign w:val="center"/>
                </w:tcPr>
                <w:p w14:paraId="0815C5A9">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气体灌瓶间</w:t>
                  </w:r>
                </w:p>
              </w:tc>
              <w:tc>
                <w:tcPr>
                  <w:tcW w:w="392" w:type="pct"/>
                  <w:shd w:val="clear" w:color="auto" w:fill="auto"/>
                  <w:noWrap/>
                  <w:vAlign w:val="center"/>
                </w:tcPr>
                <w:p w14:paraId="78397C19">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汇流排2</w:t>
                  </w:r>
                </w:p>
              </w:tc>
              <w:tc>
                <w:tcPr>
                  <w:tcW w:w="322" w:type="pct"/>
                  <w:shd w:val="clear" w:color="auto" w:fill="auto"/>
                  <w:noWrap/>
                  <w:vAlign w:val="center"/>
                </w:tcPr>
                <w:p w14:paraId="3C3D4EF9">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626680A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75</w:t>
                  </w:r>
                </w:p>
              </w:tc>
              <w:tc>
                <w:tcPr>
                  <w:tcW w:w="444" w:type="pct"/>
                  <w:shd w:val="clear" w:color="auto" w:fill="auto"/>
                  <w:noWrap/>
                  <w:vAlign w:val="center"/>
                </w:tcPr>
                <w:p w14:paraId="30BFB76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7C2D998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204</w:t>
                  </w:r>
                </w:p>
              </w:tc>
              <w:tc>
                <w:tcPr>
                  <w:tcW w:w="588" w:type="dxa"/>
                  <w:shd w:val="clear" w:color="auto" w:fill="auto"/>
                  <w:noWrap/>
                  <w:vAlign w:val="center"/>
                </w:tcPr>
                <w:p w14:paraId="23F50ED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88</w:t>
                  </w:r>
                </w:p>
              </w:tc>
              <w:tc>
                <w:tcPr>
                  <w:tcW w:w="530" w:type="dxa"/>
                  <w:shd w:val="clear" w:color="auto" w:fill="auto"/>
                  <w:noWrap/>
                  <w:vAlign w:val="center"/>
                </w:tcPr>
                <w:p w14:paraId="59CAE15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1011.09</w:t>
                  </w:r>
                </w:p>
              </w:tc>
              <w:tc>
                <w:tcPr>
                  <w:tcW w:w="867" w:type="dxa"/>
                  <w:shd w:val="clear" w:color="auto" w:fill="auto"/>
                  <w:noWrap/>
                  <w:vAlign w:val="center"/>
                </w:tcPr>
                <w:p w14:paraId="35AFE19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14.87</w:t>
                  </w:r>
                </w:p>
              </w:tc>
              <w:tc>
                <w:tcPr>
                  <w:tcW w:w="746" w:type="dxa"/>
                  <w:shd w:val="clear" w:color="auto" w:fill="auto"/>
                  <w:noWrap/>
                  <w:vAlign w:val="center"/>
                </w:tcPr>
                <w:p w14:paraId="4938798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71.16</w:t>
                  </w:r>
                </w:p>
              </w:tc>
              <w:tc>
                <w:tcPr>
                  <w:tcW w:w="788" w:type="pct"/>
                  <w:shd w:val="clear" w:color="auto" w:fill="auto"/>
                  <w:noWrap/>
                  <w:vAlign w:val="center"/>
                </w:tcPr>
                <w:p w14:paraId="6DEEEC2C">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3DFA5B0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72C816B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40.13</w:t>
                  </w:r>
                </w:p>
              </w:tc>
              <w:tc>
                <w:tcPr>
                  <w:tcW w:w="232" w:type="pct"/>
                  <w:shd w:val="clear" w:color="auto" w:fill="auto"/>
                  <w:noWrap/>
                  <w:vAlign w:val="center"/>
                </w:tcPr>
                <w:p w14:paraId="776AF274">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42DFA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718EAD2A">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12</w:t>
                  </w:r>
                </w:p>
              </w:tc>
              <w:tc>
                <w:tcPr>
                  <w:tcW w:w="403" w:type="pct"/>
                  <w:shd w:val="clear" w:color="auto" w:fill="auto"/>
                  <w:noWrap/>
                  <w:vAlign w:val="center"/>
                </w:tcPr>
                <w:p w14:paraId="7ED31DFD">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气体灌瓶间</w:t>
                  </w:r>
                </w:p>
              </w:tc>
              <w:tc>
                <w:tcPr>
                  <w:tcW w:w="392" w:type="pct"/>
                  <w:shd w:val="clear" w:color="auto" w:fill="auto"/>
                  <w:noWrap/>
                  <w:vAlign w:val="center"/>
                </w:tcPr>
                <w:p w14:paraId="5B36950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汇流排3</w:t>
                  </w:r>
                </w:p>
              </w:tc>
              <w:tc>
                <w:tcPr>
                  <w:tcW w:w="322" w:type="pct"/>
                  <w:shd w:val="clear" w:color="auto" w:fill="auto"/>
                  <w:noWrap/>
                  <w:vAlign w:val="center"/>
                </w:tcPr>
                <w:p w14:paraId="50DABD0F">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10CB9E43">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75</w:t>
                  </w:r>
                </w:p>
              </w:tc>
              <w:tc>
                <w:tcPr>
                  <w:tcW w:w="444" w:type="pct"/>
                  <w:shd w:val="clear" w:color="auto" w:fill="auto"/>
                  <w:noWrap/>
                  <w:vAlign w:val="center"/>
                </w:tcPr>
                <w:p w14:paraId="13C46684">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0494917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198</w:t>
                  </w:r>
                </w:p>
              </w:tc>
              <w:tc>
                <w:tcPr>
                  <w:tcW w:w="588" w:type="dxa"/>
                  <w:shd w:val="clear" w:color="auto" w:fill="auto"/>
                  <w:noWrap/>
                  <w:vAlign w:val="center"/>
                </w:tcPr>
                <w:p w14:paraId="686F565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89</w:t>
                  </w:r>
                </w:p>
              </w:tc>
              <w:tc>
                <w:tcPr>
                  <w:tcW w:w="530" w:type="dxa"/>
                  <w:shd w:val="clear" w:color="auto" w:fill="auto"/>
                  <w:noWrap/>
                  <w:vAlign w:val="center"/>
                </w:tcPr>
                <w:p w14:paraId="52F1828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1011</w:t>
                  </w:r>
                </w:p>
              </w:tc>
              <w:tc>
                <w:tcPr>
                  <w:tcW w:w="867" w:type="dxa"/>
                  <w:shd w:val="clear" w:color="auto" w:fill="auto"/>
                  <w:noWrap/>
                  <w:vAlign w:val="center"/>
                </w:tcPr>
                <w:p w14:paraId="1F6B8DE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14.87</w:t>
                  </w:r>
                </w:p>
              </w:tc>
              <w:tc>
                <w:tcPr>
                  <w:tcW w:w="746" w:type="dxa"/>
                  <w:shd w:val="clear" w:color="auto" w:fill="auto"/>
                  <w:noWrap/>
                  <w:vAlign w:val="center"/>
                </w:tcPr>
                <w:p w14:paraId="320D771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71.16</w:t>
                  </w:r>
                </w:p>
              </w:tc>
              <w:tc>
                <w:tcPr>
                  <w:tcW w:w="788" w:type="pct"/>
                  <w:shd w:val="clear" w:color="auto" w:fill="auto"/>
                  <w:noWrap/>
                  <w:vAlign w:val="center"/>
                </w:tcPr>
                <w:p w14:paraId="33D203AE">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2AC2351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123B15E1">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40.13</w:t>
                  </w:r>
                </w:p>
              </w:tc>
              <w:tc>
                <w:tcPr>
                  <w:tcW w:w="232" w:type="pct"/>
                  <w:shd w:val="clear" w:color="auto" w:fill="auto"/>
                  <w:noWrap/>
                  <w:vAlign w:val="center"/>
                </w:tcPr>
                <w:p w14:paraId="69D62010">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4E9F3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159" w:type="pct"/>
                  <w:shd w:val="clear" w:color="auto" w:fill="auto"/>
                  <w:noWrap/>
                  <w:vAlign w:val="center"/>
                </w:tcPr>
                <w:p w14:paraId="7844AAC5">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13</w:t>
                  </w:r>
                </w:p>
              </w:tc>
              <w:tc>
                <w:tcPr>
                  <w:tcW w:w="403" w:type="pct"/>
                  <w:shd w:val="clear" w:color="auto" w:fill="auto"/>
                  <w:noWrap/>
                  <w:vAlign w:val="center"/>
                </w:tcPr>
                <w:p w14:paraId="3A6908D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气体灌瓶间</w:t>
                  </w:r>
                </w:p>
              </w:tc>
              <w:tc>
                <w:tcPr>
                  <w:tcW w:w="392" w:type="pct"/>
                  <w:shd w:val="clear" w:color="auto" w:fill="auto"/>
                  <w:noWrap/>
                  <w:vAlign w:val="center"/>
                </w:tcPr>
                <w:p w14:paraId="2FC9D27C">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汇流排4</w:t>
                  </w:r>
                </w:p>
              </w:tc>
              <w:tc>
                <w:tcPr>
                  <w:tcW w:w="322" w:type="pct"/>
                  <w:shd w:val="clear" w:color="auto" w:fill="auto"/>
                  <w:noWrap/>
                  <w:vAlign w:val="center"/>
                </w:tcPr>
                <w:p w14:paraId="30CD2498">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88" w:type="pct"/>
                  <w:shd w:val="clear" w:color="auto" w:fill="auto"/>
                  <w:noWrap/>
                  <w:vAlign w:val="center"/>
                </w:tcPr>
                <w:p w14:paraId="5FC7822F">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75</w:t>
                  </w:r>
                </w:p>
              </w:tc>
              <w:tc>
                <w:tcPr>
                  <w:tcW w:w="444" w:type="pct"/>
                  <w:shd w:val="clear" w:color="auto" w:fill="auto"/>
                  <w:noWrap/>
                  <w:vAlign w:val="center"/>
                </w:tcPr>
                <w:p w14:paraId="04C7A1E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2A6B92A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193</w:t>
                  </w:r>
                </w:p>
              </w:tc>
              <w:tc>
                <w:tcPr>
                  <w:tcW w:w="588" w:type="dxa"/>
                  <w:shd w:val="clear" w:color="auto" w:fill="auto"/>
                  <w:noWrap/>
                  <w:vAlign w:val="center"/>
                </w:tcPr>
                <w:p w14:paraId="44DFF01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89</w:t>
                  </w:r>
                </w:p>
              </w:tc>
              <w:tc>
                <w:tcPr>
                  <w:tcW w:w="530" w:type="dxa"/>
                  <w:shd w:val="clear" w:color="auto" w:fill="auto"/>
                  <w:noWrap/>
                  <w:vAlign w:val="center"/>
                </w:tcPr>
                <w:p w14:paraId="557F3EF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1010.95</w:t>
                  </w:r>
                </w:p>
              </w:tc>
              <w:tc>
                <w:tcPr>
                  <w:tcW w:w="867" w:type="dxa"/>
                  <w:shd w:val="clear" w:color="auto" w:fill="auto"/>
                  <w:noWrap/>
                  <w:vAlign w:val="center"/>
                </w:tcPr>
                <w:p w14:paraId="7883F95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14.87</w:t>
                  </w:r>
                </w:p>
              </w:tc>
              <w:tc>
                <w:tcPr>
                  <w:tcW w:w="746" w:type="dxa"/>
                  <w:shd w:val="clear" w:color="auto" w:fill="auto"/>
                  <w:noWrap/>
                  <w:vAlign w:val="center"/>
                </w:tcPr>
                <w:p w14:paraId="03B5343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71.16</w:t>
                  </w:r>
                </w:p>
              </w:tc>
              <w:tc>
                <w:tcPr>
                  <w:tcW w:w="788" w:type="pct"/>
                  <w:shd w:val="clear" w:color="auto" w:fill="auto"/>
                  <w:noWrap/>
                  <w:vAlign w:val="center"/>
                </w:tcPr>
                <w:p w14:paraId="735B2FBD">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c>
                <w:tcPr>
                  <w:tcW w:w="429" w:type="pct"/>
                  <w:shd w:val="clear" w:color="auto" w:fill="auto"/>
                  <w:noWrap/>
                  <w:vAlign w:val="center"/>
                </w:tcPr>
                <w:p w14:paraId="6AC39F0F">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25</w:t>
                  </w:r>
                </w:p>
              </w:tc>
              <w:tc>
                <w:tcPr>
                  <w:tcW w:w="239" w:type="pct"/>
                  <w:shd w:val="clear" w:color="auto" w:fill="auto"/>
                  <w:noWrap/>
                  <w:vAlign w:val="center"/>
                </w:tcPr>
                <w:p w14:paraId="70474212">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40.13</w:t>
                  </w:r>
                </w:p>
              </w:tc>
              <w:tc>
                <w:tcPr>
                  <w:tcW w:w="232" w:type="pct"/>
                  <w:shd w:val="clear" w:color="auto" w:fill="auto"/>
                  <w:noWrap/>
                  <w:vAlign w:val="center"/>
                </w:tcPr>
                <w:p w14:paraId="3BC5E3CA">
                  <w:pPr>
                    <w:pStyle w:val="40"/>
                    <w:bidi w:val="0"/>
                    <w:jc w:val="center"/>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r>
            <w:tr w14:paraId="1DD79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6A128BF5">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14</w:t>
                  </w:r>
                </w:p>
              </w:tc>
              <w:tc>
                <w:tcPr>
                  <w:tcW w:w="988" w:type="dxa"/>
                  <w:shd w:val="clear" w:color="auto" w:fill="auto"/>
                  <w:noWrap/>
                  <w:vAlign w:val="center"/>
                </w:tcPr>
                <w:p w14:paraId="2779FFB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300C1CC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残液回收器</w:t>
                  </w:r>
                </w:p>
              </w:tc>
              <w:tc>
                <w:tcPr>
                  <w:tcW w:w="789" w:type="dxa"/>
                  <w:shd w:val="clear" w:color="auto" w:fill="auto"/>
                  <w:noWrap/>
                  <w:vAlign w:val="center"/>
                </w:tcPr>
                <w:p w14:paraId="56D0E76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0F3100E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75</w:t>
                  </w:r>
                </w:p>
              </w:tc>
              <w:tc>
                <w:tcPr>
                  <w:tcW w:w="444" w:type="pct"/>
                  <w:shd w:val="clear" w:color="auto" w:fill="auto"/>
                  <w:noWrap/>
                  <w:vAlign w:val="center"/>
                </w:tcPr>
                <w:p w14:paraId="1C489C26">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46E4FAC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16</w:t>
                  </w:r>
                </w:p>
              </w:tc>
              <w:tc>
                <w:tcPr>
                  <w:tcW w:w="588" w:type="dxa"/>
                  <w:shd w:val="clear" w:color="auto" w:fill="auto"/>
                  <w:noWrap/>
                  <w:vAlign w:val="center"/>
                </w:tcPr>
                <w:p w14:paraId="3AD9FFD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13</w:t>
                  </w:r>
                </w:p>
              </w:tc>
              <w:tc>
                <w:tcPr>
                  <w:tcW w:w="530" w:type="dxa"/>
                  <w:shd w:val="clear" w:color="auto" w:fill="auto"/>
                  <w:noWrap/>
                  <w:vAlign w:val="center"/>
                </w:tcPr>
                <w:p w14:paraId="2C5AEA8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1010.69</w:t>
                  </w:r>
                </w:p>
              </w:tc>
              <w:tc>
                <w:tcPr>
                  <w:tcW w:w="867" w:type="dxa"/>
                  <w:shd w:val="clear" w:color="auto" w:fill="auto"/>
                  <w:noWrap/>
                  <w:vAlign w:val="center"/>
                </w:tcPr>
                <w:p w14:paraId="47A8431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6D7A83F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61.15</w:t>
                  </w:r>
                </w:p>
              </w:tc>
              <w:tc>
                <w:tcPr>
                  <w:tcW w:w="1931" w:type="dxa"/>
                  <w:shd w:val="clear" w:color="auto" w:fill="auto"/>
                  <w:noWrap/>
                  <w:vAlign w:val="center"/>
                </w:tcPr>
                <w:p w14:paraId="3C8244DE">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3FFB62A0">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1E5B64A2">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30.13</w:t>
                  </w:r>
                </w:p>
              </w:tc>
              <w:tc>
                <w:tcPr>
                  <w:tcW w:w="569" w:type="dxa"/>
                  <w:shd w:val="clear" w:color="auto" w:fill="auto"/>
                  <w:noWrap/>
                  <w:vAlign w:val="center"/>
                </w:tcPr>
                <w:p w14:paraId="15D309C3">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r w14:paraId="6A481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7B3685C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15</w:t>
                  </w:r>
                </w:p>
              </w:tc>
              <w:tc>
                <w:tcPr>
                  <w:tcW w:w="988" w:type="dxa"/>
                  <w:shd w:val="clear" w:color="auto" w:fill="auto"/>
                  <w:noWrap/>
                  <w:vAlign w:val="center"/>
                </w:tcPr>
                <w:p w14:paraId="5D8E94C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546AC92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瓶阀装卸机1</w:t>
                  </w:r>
                </w:p>
              </w:tc>
              <w:tc>
                <w:tcPr>
                  <w:tcW w:w="789" w:type="dxa"/>
                  <w:shd w:val="clear" w:color="auto" w:fill="auto"/>
                  <w:noWrap/>
                  <w:vAlign w:val="center"/>
                </w:tcPr>
                <w:p w14:paraId="05538DEE">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25D2680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65</w:t>
                  </w:r>
                </w:p>
              </w:tc>
              <w:tc>
                <w:tcPr>
                  <w:tcW w:w="444" w:type="pct"/>
                  <w:shd w:val="clear" w:color="auto" w:fill="auto"/>
                  <w:noWrap/>
                  <w:vAlign w:val="center"/>
                </w:tcPr>
                <w:p w14:paraId="09F2EF10">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4D79FB3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15</w:t>
                  </w:r>
                </w:p>
              </w:tc>
              <w:tc>
                <w:tcPr>
                  <w:tcW w:w="588" w:type="dxa"/>
                  <w:shd w:val="clear" w:color="auto" w:fill="auto"/>
                  <w:noWrap/>
                  <w:vAlign w:val="center"/>
                </w:tcPr>
                <w:p w14:paraId="0DD5787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20</w:t>
                  </w:r>
                </w:p>
              </w:tc>
              <w:tc>
                <w:tcPr>
                  <w:tcW w:w="530" w:type="dxa"/>
                  <w:shd w:val="clear" w:color="auto" w:fill="auto"/>
                  <w:noWrap/>
                  <w:vAlign w:val="center"/>
                </w:tcPr>
                <w:p w14:paraId="69E0003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1010.69</w:t>
                  </w:r>
                </w:p>
              </w:tc>
              <w:tc>
                <w:tcPr>
                  <w:tcW w:w="867" w:type="dxa"/>
                  <w:shd w:val="clear" w:color="auto" w:fill="auto"/>
                  <w:noWrap/>
                  <w:vAlign w:val="center"/>
                </w:tcPr>
                <w:p w14:paraId="5A34CDDA">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5FE74373">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61.15</w:t>
                  </w:r>
                </w:p>
              </w:tc>
              <w:tc>
                <w:tcPr>
                  <w:tcW w:w="1931" w:type="dxa"/>
                  <w:shd w:val="clear" w:color="auto" w:fill="auto"/>
                  <w:noWrap/>
                  <w:vAlign w:val="center"/>
                </w:tcPr>
                <w:p w14:paraId="796A2AC9">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4FF8C6FC">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2CD93496">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30.13</w:t>
                  </w:r>
                </w:p>
              </w:tc>
              <w:tc>
                <w:tcPr>
                  <w:tcW w:w="569" w:type="dxa"/>
                  <w:shd w:val="clear" w:color="auto" w:fill="auto"/>
                  <w:noWrap/>
                  <w:vAlign w:val="center"/>
                </w:tcPr>
                <w:p w14:paraId="5073248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r w14:paraId="10E83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57047E71">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16</w:t>
                  </w:r>
                </w:p>
              </w:tc>
              <w:tc>
                <w:tcPr>
                  <w:tcW w:w="988" w:type="dxa"/>
                  <w:shd w:val="clear" w:color="auto" w:fill="auto"/>
                  <w:noWrap/>
                  <w:vAlign w:val="center"/>
                </w:tcPr>
                <w:p w14:paraId="2F55E45B">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05C5BE6D">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焚烧炉（含风机）</w:t>
                  </w:r>
                </w:p>
              </w:tc>
              <w:tc>
                <w:tcPr>
                  <w:tcW w:w="789" w:type="dxa"/>
                  <w:shd w:val="clear" w:color="auto" w:fill="auto"/>
                  <w:noWrap/>
                  <w:vAlign w:val="center"/>
                </w:tcPr>
                <w:p w14:paraId="6E9BD8E7">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36BD2806">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65</w:t>
                  </w:r>
                </w:p>
              </w:tc>
              <w:tc>
                <w:tcPr>
                  <w:tcW w:w="444" w:type="pct"/>
                  <w:shd w:val="clear" w:color="auto" w:fill="auto"/>
                  <w:noWrap/>
                  <w:vAlign w:val="center"/>
                </w:tcPr>
                <w:p w14:paraId="161E4BC6">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48B7A8B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32</w:t>
                  </w:r>
                </w:p>
              </w:tc>
              <w:tc>
                <w:tcPr>
                  <w:tcW w:w="588" w:type="dxa"/>
                  <w:shd w:val="clear" w:color="auto" w:fill="auto"/>
                  <w:noWrap/>
                  <w:vAlign w:val="center"/>
                </w:tcPr>
                <w:p w14:paraId="6454199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21</w:t>
                  </w:r>
                </w:p>
              </w:tc>
              <w:tc>
                <w:tcPr>
                  <w:tcW w:w="530" w:type="dxa"/>
                  <w:shd w:val="clear" w:color="auto" w:fill="auto"/>
                  <w:noWrap/>
                  <w:vAlign w:val="center"/>
                </w:tcPr>
                <w:p w14:paraId="6FCB58A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1010.69</w:t>
                  </w:r>
                </w:p>
              </w:tc>
              <w:tc>
                <w:tcPr>
                  <w:tcW w:w="867" w:type="dxa"/>
                  <w:shd w:val="clear" w:color="auto" w:fill="auto"/>
                  <w:noWrap/>
                  <w:vAlign w:val="center"/>
                </w:tcPr>
                <w:p w14:paraId="5B4365E7">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30A2926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81.15</w:t>
                  </w:r>
                </w:p>
              </w:tc>
              <w:tc>
                <w:tcPr>
                  <w:tcW w:w="1931" w:type="dxa"/>
                  <w:shd w:val="clear" w:color="auto" w:fill="auto"/>
                  <w:noWrap/>
                  <w:vAlign w:val="center"/>
                </w:tcPr>
                <w:p w14:paraId="433DAE56">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5A1F8E33">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4A5A86AE">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50.13</w:t>
                  </w:r>
                </w:p>
              </w:tc>
              <w:tc>
                <w:tcPr>
                  <w:tcW w:w="569" w:type="dxa"/>
                  <w:shd w:val="clear" w:color="auto" w:fill="auto"/>
                  <w:noWrap/>
                  <w:vAlign w:val="center"/>
                </w:tcPr>
                <w:p w14:paraId="5376F860">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r w14:paraId="1D7A7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0FFD5E35">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17</w:t>
                  </w:r>
                </w:p>
              </w:tc>
              <w:tc>
                <w:tcPr>
                  <w:tcW w:w="988" w:type="dxa"/>
                  <w:shd w:val="clear" w:color="auto" w:fill="auto"/>
                  <w:noWrap/>
                  <w:vAlign w:val="center"/>
                </w:tcPr>
                <w:p w14:paraId="59D65F8D">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07CEA761">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抛丸机（含除尘风机）</w:t>
                  </w:r>
                </w:p>
              </w:tc>
              <w:tc>
                <w:tcPr>
                  <w:tcW w:w="789" w:type="dxa"/>
                  <w:shd w:val="clear" w:color="auto" w:fill="auto"/>
                  <w:noWrap/>
                  <w:vAlign w:val="center"/>
                </w:tcPr>
                <w:p w14:paraId="4C0208DD">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1B644E57">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85</w:t>
                  </w:r>
                </w:p>
              </w:tc>
              <w:tc>
                <w:tcPr>
                  <w:tcW w:w="444" w:type="pct"/>
                  <w:shd w:val="clear" w:color="auto" w:fill="auto"/>
                  <w:noWrap/>
                  <w:vAlign w:val="center"/>
                </w:tcPr>
                <w:p w14:paraId="6D5D2F99">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08A9C1F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31</w:t>
                  </w:r>
                </w:p>
              </w:tc>
              <w:tc>
                <w:tcPr>
                  <w:tcW w:w="588" w:type="dxa"/>
                  <w:shd w:val="clear" w:color="auto" w:fill="auto"/>
                  <w:noWrap/>
                  <w:vAlign w:val="center"/>
                </w:tcPr>
                <w:p w14:paraId="638AD5E0">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29</w:t>
                  </w:r>
                </w:p>
              </w:tc>
              <w:tc>
                <w:tcPr>
                  <w:tcW w:w="530" w:type="dxa"/>
                  <w:shd w:val="clear" w:color="auto" w:fill="auto"/>
                  <w:noWrap/>
                  <w:vAlign w:val="center"/>
                </w:tcPr>
                <w:p w14:paraId="49C137C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1010.69</w:t>
                  </w:r>
                </w:p>
              </w:tc>
              <w:tc>
                <w:tcPr>
                  <w:tcW w:w="867" w:type="dxa"/>
                  <w:shd w:val="clear" w:color="auto" w:fill="auto"/>
                  <w:noWrap/>
                  <w:vAlign w:val="center"/>
                </w:tcPr>
                <w:p w14:paraId="29432EC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67865D93">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81.15</w:t>
                  </w:r>
                </w:p>
              </w:tc>
              <w:tc>
                <w:tcPr>
                  <w:tcW w:w="1931" w:type="dxa"/>
                  <w:shd w:val="clear" w:color="auto" w:fill="auto"/>
                  <w:noWrap/>
                  <w:vAlign w:val="center"/>
                </w:tcPr>
                <w:p w14:paraId="4ADCAD3B">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538B91C9">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5729D697">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50.13</w:t>
                  </w:r>
                </w:p>
              </w:tc>
              <w:tc>
                <w:tcPr>
                  <w:tcW w:w="569" w:type="dxa"/>
                  <w:shd w:val="clear" w:color="auto" w:fill="auto"/>
                  <w:noWrap/>
                  <w:vAlign w:val="center"/>
                </w:tcPr>
                <w:p w14:paraId="412F9AA3">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r w14:paraId="5DD52C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054AC53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18</w:t>
                  </w:r>
                </w:p>
              </w:tc>
              <w:tc>
                <w:tcPr>
                  <w:tcW w:w="988" w:type="dxa"/>
                  <w:shd w:val="clear" w:color="auto" w:fill="auto"/>
                  <w:noWrap/>
                  <w:vAlign w:val="center"/>
                </w:tcPr>
                <w:p w14:paraId="480A0FDB">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5C51BD7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喷塑机（含风机）</w:t>
                  </w:r>
                </w:p>
              </w:tc>
              <w:tc>
                <w:tcPr>
                  <w:tcW w:w="789" w:type="dxa"/>
                  <w:shd w:val="clear" w:color="auto" w:fill="auto"/>
                  <w:noWrap/>
                  <w:vAlign w:val="center"/>
                </w:tcPr>
                <w:p w14:paraId="5982D66B">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5F713EDA">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85</w:t>
                  </w:r>
                </w:p>
              </w:tc>
              <w:tc>
                <w:tcPr>
                  <w:tcW w:w="444" w:type="pct"/>
                  <w:shd w:val="clear" w:color="auto" w:fill="auto"/>
                  <w:noWrap/>
                  <w:vAlign w:val="center"/>
                </w:tcPr>
                <w:p w14:paraId="514ACDDA">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34E175D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45</w:t>
                  </w:r>
                </w:p>
              </w:tc>
              <w:tc>
                <w:tcPr>
                  <w:tcW w:w="588" w:type="dxa"/>
                  <w:shd w:val="clear" w:color="auto" w:fill="auto"/>
                  <w:noWrap/>
                  <w:vAlign w:val="center"/>
                </w:tcPr>
                <w:p w14:paraId="29326E4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28</w:t>
                  </w:r>
                </w:p>
              </w:tc>
              <w:tc>
                <w:tcPr>
                  <w:tcW w:w="530" w:type="dxa"/>
                  <w:shd w:val="clear" w:color="auto" w:fill="auto"/>
                  <w:noWrap/>
                  <w:vAlign w:val="center"/>
                </w:tcPr>
                <w:p w14:paraId="79DEFDB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1010.69</w:t>
                  </w:r>
                </w:p>
              </w:tc>
              <w:tc>
                <w:tcPr>
                  <w:tcW w:w="867" w:type="dxa"/>
                  <w:shd w:val="clear" w:color="auto" w:fill="auto"/>
                  <w:noWrap/>
                  <w:vAlign w:val="center"/>
                </w:tcPr>
                <w:p w14:paraId="05EB3F4E">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09A4E2F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81.15</w:t>
                  </w:r>
                </w:p>
              </w:tc>
              <w:tc>
                <w:tcPr>
                  <w:tcW w:w="1931" w:type="dxa"/>
                  <w:shd w:val="clear" w:color="auto" w:fill="auto"/>
                  <w:noWrap/>
                  <w:vAlign w:val="center"/>
                </w:tcPr>
                <w:p w14:paraId="51C47515">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01F5C6F2">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183D8F6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50.13</w:t>
                  </w:r>
                </w:p>
              </w:tc>
              <w:tc>
                <w:tcPr>
                  <w:tcW w:w="569" w:type="dxa"/>
                  <w:shd w:val="clear" w:color="auto" w:fill="auto"/>
                  <w:noWrap/>
                  <w:vAlign w:val="center"/>
                </w:tcPr>
                <w:p w14:paraId="275FDA3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r w14:paraId="3F452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4AD4B1CB">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w:t>
                  </w:r>
                </w:p>
              </w:tc>
              <w:tc>
                <w:tcPr>
                  <w:tcW w:w="988" w:type="dxa"/>
                  <w:shd w:val="clear" w:color="auto" w:fill="auto"/>
                  <w:noWrap/>
                  <w:vAlign w:val="center"/>
                </w:tcPr>
                <w:p w14:paraId="2E794D6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6218A7A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气密检测真空泵</w:t>
                  </w:r>
                </w:p>
              </w:tc>
              <w:tc>
                <w:tcPr>
                  <w:tcW w:w="789" w:type="dxa"/>
                  <w:shd w:val="clear" w:color="auto" w:fill="auto"/>
                  <w:noWrap/>
                  <w:vAlign w:val="center"/>
                </w:tcPr>
                <w:p w14:paraId="2BC02B99">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6A2F6AD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85</w:t>
                  </w:r>
                </w:p>
              </w:tc>
              <w:tc>
                <w:tcPr>
                  <w:tcW w:w="444" w:type="pct"/>
                  <w:shd w:val="clear" w:color="auto" w:fill="auto"/>
                  <w:noWrap/>
                  <w:vAlign w:val="center"/>
                </w:tcPr>
                <w:p w14:paraId="28D0395D">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783FE08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45</w:t>
                  </w:r>
                </w:p>
              </w:tc>
              <w:tc>
                <w:tcPr>
                  <w:tcW w:w="588" w:type="dxa"/>
                  <w:shd w:val="clear" w:color="auto" w:fill="auto"/>
                  <w:noWrap/>
                  <w:vAlign w:val="center"/>
                </w:tcPr>
                <w:p w14:paraId="693E6E32">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20</w:t>
                  </w:r>
                </w:p>
              </w:tc>
              <w:tc>
                <w:tcPr>
                  <w:tcW w:w="530" w:type="dxa"/>
                  <w:shd w:val="clear" w:color="auto" w:fill="auto"/>
                  <w:noWrap/>
                  <w:vAlign w:val="center"/>
                </w:tcPr>
                <w:p w14:paraId="16E87AC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1010.69</w:t>
                  </w:r>
                </w:p>
              </w:tc>
              <w:tc>
                <w:tcPr>
                  <w:tcW w:w="867" w:type="dxa"/>
                  <w:shd w:val="clear" w:color="auto" w:fill="auto"/>
                  <w:noWrap/>
                  <w:vAlign w:val="center"/>
                </w:tcPr>
                <w:p w14:paraId="7A79C88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4579B38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76.15</w:t>
                  </w:r>
                </w:p>
              </w:tc>
              <w:tc>
                <w:tcPr>
                  <w:tcW w:w="1931" w:type="dxa"/>
                  <w:shd w:val="clear" w:color="auto" w:fill="auto"/>
                  <w:noWrap/>
                  <w:vAlign w:val="center"/>
                </w:tcPr>
                <w:p w14:paraId="7DBEA31B">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1AC45F21">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0832E1B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45.13</w:t>
                  </w:r>
                </w:p>
              </w:tc>
              <w:tc>
                <w:tcPr>
                  <w:tcW w:w="569" w:type="dxa"/>
                  <w:shd w:val="clear" w:color="auto" w:fill="auto"/>
                  <w:noWrap/>
                  <w:vAlign w:val="center"/>
                </w:tcPr>
                <w:p w14:paraId="728BF2D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r w14:paraId="71F02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315103FB">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20</w:t>
                  </w:r>
                </w:p>
              </w:tc>
              <w:tc>
                <w:tcPr>
                  <w:tcW w:w="988" w:type="dxa"/>
                  <w:shd w:val="clear" w:color="auto" w:fill="auto"/>
                  <w:noWrap/>
                  <w:vAlign w:val="center"/>
                </w:tcPr>
                <w:p w14:paraId="3EDF9E9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6F60A4F0">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瓶阀装卸机2</w:t>
                  </w:r>
                </w:p>
              </w:tc>
              <w:tc>
                <w:tcPr>
                  <w:tcW w:w="789" w:type="dxa"/>
                  <w:shd w:val="clear" w:color="auto" w:fill="auto"/>
                  <w:noWrap/>
                  <w:vAlign w:val="center"/>
                </w:tcPr>
                <w:p w14:paraId="7F45CB04">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0E66A1C0">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80</w:t>
                  </w:r>
                </w:p>
              </w:tc>
              <w:tc>
                <w:tcPr>
                  <w:tcW w:w="444" w:type="pct"/>
                  <w:shd w:val="clear" w:color="auto" w:fill="auto"/>
                  <w:noWrap/>
                  <w:vAlign w:val="center"/>
                </w:tcPr>
                <w:p w14:paraId="610C723D">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6B013B52">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54</w:t>
                  </w:r>
                </w:p>
              </w:tc>
              <w:tc>
                <w:tcPr>
                  <w:tcW w:w="588" w:type="dxa"/>
                  <w:shd w:val="clear" w:color="auto" w:fill="auto"/>
                  <w:noWrap/>
                  <w:vAlign w:val="center"/>
                </w:tcPr>
                <w:p w14:paraId="61A8A05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20</w:t>
                  </w:r>
                </w:p>
              </w:tc>
              <w:tc>
                <w:tcPr>
                  <w:tcW w:w="530" w:type="dxa"/>
                  <w:shd w:val="clear" w:color="auto" w:fill="auto"/>
                  <w:noWrap/>
                  <w:vAlign w:val="center"/>
                </w:tcPr>
                <w:p w14:paraId="7188374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1010.69</w:t>
                  </w:r>
                </w:p>
              </w:tc>
              <w:tc>
                <w:tcPr>
                  <w:tcW w:w="867" w:type="dxa"/>
                  <w:shd w:val="clear" w:color="auto" w:fill="auto"/>
                  <w:noWrap/>
                  <w:vAlign w:val="center"/>
                </w:tcPr>
                <w:p w14:paraId="3FA06D77">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17D53E23">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61.15</w:t>
                  </w:r>
                </w:p>
              </w:tc>
              <w:tc>
                <w:tcPr>
                  <w:tcW w:w="1931" w:type="dxa"/>
                  <w:shd w:val="clear" w:color="auto" w:fill="auto"/>
                  <w:noWrap/>
                  <w:vAlign w:val="center"/>
                </w:tcPr>
                <w:p w14:paraId="41522284">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7BB41A92">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7CB4547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30.13</w:t>
                  </w:r>
                </w:p>
              </w:tc>
              <w:tc>
                <w:tcPr>
                  <w:tcW w:w="569" w:type="dxa"/>
                  <w:shd w:val="clear" w:color="auto" w:fill="auto"/>
                  <w:noWrap/>
                  <w:vAlign w:val="center"/>
                </w:tcPr>
                <w:p w14:paraId="5BA09EA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r w14:paraId="24CC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7188AA9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21</w:t>
                  </w:r>
                </w:p>
              </w:tc>
              <w:tc>
                <w:tcPr>
                  <w:tcW w:w="988" w:type="dxa"/>
                  <w:shd w:val="clear" w:color="auto" w:fill="auto"/>
                  <w:noWrap/>
                  <w:vAlign w:val="center"/>
                </w:tcPr>
                <w:p w14:paraId="18A2A6A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17BD8FA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蒸汽发生器（吹扫）</w:t>
                  </w:r>
                </w:p>
              </w:tc>
              <w:tc>
                <w:tcPr>
                  <w:tcW w:w="789" w:type="dxa"/>
                  <w:shd w:val="clear" w:color="auto" w:fill="auto"/>
                  <w:noWrap/>
                  <w:vAlign w:val="center"/>
                </w:tcPr>
                <w:p w14:paraId="27052E0E">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4C00B95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65</w:t>
                  </w:r>
                </w:p>
              </w:tc>
              <w:tc>
                <w:tcPr>
                  <w:tcW w:w="444" w:type="pct"/>
                  <w:shd w:val="clear" w:color="auto" w:fill="auto"/>
                  <w:noWrap/>
                  <w:vAlign w:val="center"/>
                </w:tcPr>
                <w:p w14:paraId="50AC48E3">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6FBE03F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54</w:t>
                  </w:r>
                </w:p>
              </w:tc>
              <w:tc>
                <w:tcPr>
                  <w:tcW w:w="588" w:type="dxa"/>
                  <w:shd w:val="clear" w:color="auto" w:fill="auto"/>
                  <w:noWrap/>
                  <w:vAlign w:val="center"/>
                </w:tcPr>
                <w:p w14:paraId="2107AB4E">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30</w:t>
                  </w:r>
                </w:p>
              </w:tc>
              <w:tc>
                <w:tcPr>
                  <w:tcW w:w="530" w:type="dxa"/>
                  <w:shd w:val="clear" w:color="auto" w:fill="auto"/>
                  <w:noWrap/>
                  <w:vAlign w:val="center"/>
                </w:tcPr>
                <w:p w14:paraId="79D71B7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1010.9</w:t>
                  </w:r>
                </w:p>
              </w:tc>
              <w:tc>
                <w:tcPr>
                  <w:tcW w:w="867" w:type="dxa"/>
                  <w:shd w:val="clear" w:color="auto" w:fill="auto"/>
                  <w:noWrap/>
                  <w:vAlign w:val="center"/>
                </w:tcPr>
                <w:p w14:paraId="4F0D81F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620F806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71.15</w:t>
                  </w:r>
                </w:p>
              </w:tc>
              <w:tc>
                <w:tcPr>
                  <w:tcW w:w="1931" w:type="dxa"/>
                  <w:shd w:val="clear" w:color="auto" w:fill="auto"/>
                  <w:noWrap/>
                  <w:vAlign w:val="center"/>
                </w:tcPr>
                <w:p w14:paraId="6BF5D550">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09F436A0">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2955CD4E">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40.13</w:t>
                  </w:r>
                </w:p>
              </w:tc>
              <w:tc>
                <w:tcPr>
                  <w:tcW w:w="569" w:type="dxa"/>
                  <w:shd w:val="clear" w:color="auto" w:fill="auto"/>
                  <w:noWrap/>
                  <w:vAlign w:val="center"/>
                </w:tcPr>
                <w:p w14:paraId="1568D94A">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r w14:paraId="5484E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80" w:hRule="atLeast"/>
              </w:trPr>
              <w:tc>
                <w:tcPr>
                  <w:tcW w:w="390" w:type="dxa"/>
                  <w:shd w:val="clear" w:color="auto" w:fill="auto"/>
                  <w:noWrap/>
                  <w:vAlign w:val="center"/>
                </w:tcPr>
                <w:p w14:paraId="601CD058">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22</w:t>
                  </w:r>
                </w:p>
              </w:tc>
              <w:tc>
                <w:tcPr>
                  <w:tcW w:w="988" w:type="dxa"/>
                  <w:shd w:val="clear" w:color="auto" w:fill="auto"/>
                  <w:noWrap/>
                  <w:vAlign w:val="center"/>
                </w:tcPr>
                <w:p w14:paraId="639F582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气瓶检验站</w:t>
                  </w:r>
                </w:p>
              </w:tc>
              <w:tc>
                <w:tcPr>
                  <w:tcW w:w="961" w:type="dxa"/>
                  <w:shd w:val="clear" w:color="auto" w:fill="auto"/>
                  <w:noWrap/>
                  <w:vAlign w:val="center"/>
                </w:tcPr>
                <w:p w14:paraId="5B3812AF">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倒瓶机</w:t>
                  </w:r>
                </w:p>
              </w:tc>
              <w:tc>
                <w:tcPr>
                  <w:tcW w:w="789" w:type="dxa"/>
                  <w:shd w:val="clear" w:color="auto" w:fill="auto"/>
                  <w:noWrap/>
                  <w:vAlign w:val="center"/>
                </w:tcPr>
                <w:p w14:paraId="52038C3C">
                  <w:pPr>
                    <w:pStyle w:val="40"/>
                    <w:bidi w:val="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706" w:type="dxa"/>
                  <w:shd w:val="clear" w:color="auto" w:fill="auto"/>
                  <w:noWrap/>
                  <w:vAlign w:val="center"/>
                </w:tcPr>
                <w:p w14:paraId="7C4CEAA0">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75</w:t>
                  </w:r>
                </w:p>
              </w:tc>
              <w:tc>
                <w:tcPr>
                  <w:tcW w:w="444" w:type="pct"/>
                  <w:shd w:val="clear" w:color="auto" w:fill="auto"/>
                  <w:noWrap/>
                  <w:vAlign w:val="center"/>
                </w:tcPr>
                <w:p w14:paraId="1861A6FA">
                  <w:pPr>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减震基础、厂房隔声</w:t>
                  </w:r>
                </w:p>
              </w:tc>
              <w:tc>
                <w:tcPr>
                  <w:tcW w:w="456" w:type="dxa"/>
                  <w:shd w:val="clear" w:color="auto" w:fill="auto"/>
                  <w:noWrap/>
                  <w:vAlign w:val="center"/>
                </w:tcPr>
                <w:p w14:paraId="4F5F0B96">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w:t>
                  </w:r>
                </w:p>
              </w:tc>
              <w:tc>
                <w:tcPr>
                  <w:tcW w:w="588" w:type="dxa"/>
                  <w:shd w:val="clear" w:color="auto" w:fill="auto"/>
                  <w:noWrap/>
                  <w:vAlign w:val="center"/>
                </w:tcPr>
                <w:p w14:paraId="60841A7A">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30</w:t>
                  </w:r>
                </w:p>
              </w:tc>
              <w:tc>
                <w:tcPr>
                  <w:tcW w:w="530" w:type="dxa"/>
                  <w:shd w:val="clear" w:color="auto" w:fill="auto"/>
                  <w:noWrap/>
                  <w:vAlign w:val="center"/>
                </w:tcPr>
                <w:p w14:paraId="06B880E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1011.15</w:t>
                  </w:r>
                </w:p>
              </w:tc>
              <w:tc>
                <w:tcPr>
                  <w:tcW w:w="867" w:type="dxa"/>
                  <w:shd w:val="clear" w:color="auto" w:fill="auto"/>
                  <w:noWrap/>
                  <w:vAlign w:val="center"/>
                </w:tcPr>
                <w:p w14:paraId="5D7A3A0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19.34</w:t>
                  </w:r>
                </w:p>
              </w:tc>
              <w:tc>
                <w:tcPr>
                  <w:tcW w:w="746" w:type="dxa"/>
                  <w:shd w:val="clear" w:color="auto" w:fill="auto"/>
                  <w:noWrap/>
                  <w:vAlign w:val="center"/>
                </w:tcPr>
                <w:p w14:paraId="4A12D25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61.15</w:t>
                  </w:r>
                </w:p>
              </w:tc>
              <w:tc>
                <w:tcPr>
                  <w:tcW w:w="1931" w:type="dxa"/>
                  <w:shd w:val="clear" w:color="auto" w:fill="auto"/>
                  <w:noWrap/>
                  <w:vAlign w:val="center"/>
                </w:tcPr>
                <w:p w14:paraId="7DF9C783">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c>
                <w:tcPr>
                  <w:tcW w:w="1051" w:type="dxa"/>
                  <w:shd w:val="clear" w:color="auto" w:fill="auto"/>
                  <w:noWrap/>
                  <w:vAlign w:val="center"/>
                </w:tcPr>
                <w:p w14:paraId="3A414BA3">
                  <w:pPr>
                    <w:pStyle w:val="40"/>
                    <w:bidi w:val="0"/>
                    <w:ind w:firstLine="0" w:firstLineChars="0"/>
                    <w:jc w:val="center"/>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25</w:t>
                  </w:r>
                </w:p>
              </w:tc>
              <w:tc>
                <w:tcPr>
                  <w:tcW w:w="586" w:type="dxa"/>
                  <w:shd w:val="clear" w:color="auto" w:fill="auto"/>
                  <w:noWrap/>
                  <w:vAlign w:val="center"/>
                </w:tcPr>
                <w:p w14:paraId="205CA3F3">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30.13</w:t>
                  </w:r>
                </w:p>
              </w:tc>
              <w:tc>
                <w:tcPr>
                  <w:tcW w:w="569" w:type="dxa"/>
                  <w:shd w:val="clear" w:color="auto" w:fill="auto"/>
                  <w:noWrap/>
                  <w:vAlign w:val="center"/>
                </w:tcPr>
                <w:p w14:paraId="5661BCF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r>
          </w:tbl>
          <w:p w14:paraId="4E2BA725">
            <w:pPr>
              <w:adjustRightInd w:val="0"/>
              <w:snapToGrid w:val="0"/>
              <w:spacing w:line="360" w:lineRule="auto"/>
              <w:jc w:val="center"/>
              <w:rPr>
                <w:rFonts w:hint="default" w:ascii="Times New Roman" w:hAnsi="Times New Roman" w:cs="Times New Roman"/>
                <w:b/>
                <w:color w:val="0000FF"/>
                <w:kern w:val="0"/>
                <w:sz w:val="24"/>
                <w:szCs w:val="24"/>
                <w:vertAlign w:val="baseline"/>
                <w:lang w:val="en-US" w:eastAsia="zh-CN"/>
              </w:rPr>
            </w:pPr>
          </w:p>
          <w:p w14:paraId="6D2474C6">
            <w:pPr>
              <w:adjustRightInd w:val="0"/>
              <w:snapToGrid w:val="0"/>
              <w:spacing w:line="360" w:lineRule="auto"/>
              <w:jc w:val="center"/>
              <w:rPr>
                <w:rFonts w:hint="default" w:ascii="Times New Roman" w:hAnsi="Times New Roman" w:cs="Times New Roman"/>
                <w:b/>
                <w:color w:val="0000FF"/>
                <w:kern w:val="0"/>
                <w:sz w:val="22"/>
                <w:szCs w:val="22"/>
                <w:vertAlign w:val="baseline"/>
                <w:lang w:val="en-US" w:eastAsia="zh-CN"/>
              </w:rPr>
            </w:pPr>
            <w:r>
              <w:rPr>
                <w:rFonts w:hint="default" w:ascii="Times New Roman" w:hAnsi="Times New Roman" w:cs="Times New Roman"/>
                <w:b/>
                <w:color w:val="0000FF"/>
                <w:kern w:val="0"/>
                <w:sz w:val="22"/>
                <w:szCs w:val="22"/>
                <w:vertAlign w:val="baseline"/>
                <w:lang w:val="en-US" w:eastAsia="zh-CN"/>
              </w:rPr>
              <w:t>表4.8-2      工业企业噪声源强调查清单（室外声源）</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54"/>
              <w:gridCol w:w="1335"/>
              <w:gridCol w:w="757"/>
              <w:gridCol w:w="639"/>
              <w:gridCol w:w="514"/>
              <w:gridCol w:w="1183"/>
              <w:gridCol w:w="1923"/>
              <w:gridCol w:w="1722"/>
              <w:gridCol w:w="3412"/>
            </w:tblGrid>
            <w:tr w14:paraId="4C64F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PrEx>
              <w:trPr>
                <w:trHeight w:val="567" w:hRule="atLeast"/>
              </w:trPr>
              <w:tc>
                <w:tcPr>
                  <w:tcW w:w="308" w:type="pct"/>
                  <w:vMerge w:val="restart"/>
                  <w:shd w:val="clear" w:color="auto" w:fill="auto"/>
                  <w:noWrap/>
                  <w:vAlign w:val="center"/>
                </w:tcPr>
                <w:p w14:paraId="092172F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 xml:space="preserve">序号 </w:t>
                  </w:r>
                </w:p>
              </w:tc>
              <w:tc>
                <w:tcPr>
                  <w:tcW w:w="545" w:type="pct"/>
                  <w:vMerge w:val="restart"/>
                  <w:shd w:val="clear" w:color="auto" w:fill="auto"/>
                  <w:noWrap/>
                  <w:vAlign w:val="center"/>
                </w:tcPr>
                <w:p w14:paraId="5DDBBB8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 xml:space="preserve">声源名称 </w:t>
                  </w:r>
                </w:p>
              </w:tc>
              <w:tc>
                <w:tcPr>
                  <w:tcW w:w="309" w:type="pct"/>
                  <w:vMerge w:val="restart"/>
                  <w:shd w:val="clear" w:color="auto" w:fill="auto"/>
                  <w:noWrap/>
                  <w:vAlign w:val="center"/>
                </w:tcPr>
                <w:p w14:paraId="54DA1CB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 xml:space="preserve">型号 </w:t>
                  </w:r>
                </w:p>
              </w:tc>
              <w:tc>
                <w:tcPr>
                  <w:tcW w:w="954" w:type="pct"/>
                  <w:gridSpan w:val="3"/>
                  <w:shd w:val="clear" w:color="auto" w:fill="auto"/>
                  <w:noWrap/>
                  <w:vAlign w:val="center"/>
                </w:tcPr>
                <w:p w14:paraId="622265B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 xml:space="preserve">空间相对位置/m </w:t>
                  </w:r>
                </w:p>
              </w:tc>
              <w:tc>
                <w:tcPr>
                  <w:tcW w:w="785" w:type="pct"/>
                  <w:vMerge w:val="restart"/>
                  <w:shd w:val="clear" w:color="auto" w:fill="auto"/>
                  <w:noWrap/>
                  <w:vAlign w:val="center"/>
                </w:tcPr>
                <w:p w14:paraId="07EBD93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声功率级/dB(A)</w:t>
                  </w:r>
                </w:p>
              </w:tc>
              <w:tc>
                <w:tcPr>
                  <w:tcW w:w="703" w:type="pct"/>
                  <w:vMerge w:val="restart"/>
                  <w:shd w:val="clear" w:color="auto" w:fill="auto"/>
                  <w:noWrap/>
                  <w:vAlign w:val="center"/>
                </w:tcPr>
                <w:p w14:paraId="4436AEF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 xml:space="preserve">声源控制措施 </w:t>
                  </w:r>
                </w:p>
              </w:tc>
              <w:tc>
                <w:tcPr>
                  <w:tcW w:w="1393" w:type="pct"/>
                  <w:vMerge w:val="restart"/>
                  <w:shd w:val="clear" w:color="auto" w:fill="auto"/>
                  <w:noWrap/>
                  <w:vAlign w:val="center"/>
                </w:tcPr>
                <w:p w14:paraId="6B742F7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运行时段</w:t>
                  </w:r>
                </w:p>
              </w:tc>
            </w:tr>
            <w:tr w14:paraId="5FB1D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8" w:type="pct"/>
                  <w:vMerge w:val="continue"/>
                  <w:shd w:val="clear" w:color="auto" w:fill="auto"/>
                  <w:noWrap/>
                  <w:vAlign w:val="center"/>
                </w:tcPr>
                <w:p w14:paraId="06369544">
                  <w:pPr>
                    <w:pStyle w:val="40"/>
                    <w:bidi w:val="0"/>
                    <w:rPr>
                      <w:rFonts w:hint="default" w:ascii="Times New Roman" w:hAnsi="Times New Roman" w:cs="Times New Roman"/>
                      <w:color w:val="0000FF"/>
                    </w:rPr>
                  </w:pPr>
                </w:p>
              </w:tc>
              <w:tc>
                <w:tcPr>
                  <w:tcW w:w="545" w:type="pct"/>
                  <w:vMerge w:val="continue"/>
                  <w:shd w:val="clear" w:color="auto" w:fill="auto"/>
                  <w:noWrap/>
                  <w:vAlign w:val="center"/>
                </w:tcPr>
                <w:p w14:paraId="6EC0A2CD">
                  <w:pPr>
                    <w:pStyle w:val="40"/>
                    <w:bidi w:val="0"/>
                    <w:rPr>
                      <w:rFonts w:hint="default" w:ascii="Times New Roman" w:hAnsi="Times New Roman" w:cs="Times New Roman"/>
                      <w:color w:val="0000FF"/>
                    </w:rPr>
                  </w:pPr>
                </w:p>
              </w:tc>
              <w:tc>
                <w:tcPr>
                  <w:tcW w:w="309" w:type="pct"/>
                  <w:vMerge w:val="continue"/>
                  <w:shd w:val="clear" w:color="auto" w:fill="auto"/>
                  <w:noWrap/>
                  <w:vAlign w:val="center"/>
                </w:tcPr>
                <w:p w14:paraId="20EC969B">
                  <w:pPr>
                    <w:pStyle w:val="40"/>
                    <w:bidi w:val="0"/>
                    <w:rPr>
                      <w:rFonts w:hint="default" w:ascii="Times New Roman" w:hAnsi="Times New Roman" w:cs="Times New Roman"/>
                      <w:color w:val="0000FF"/>
                    </w:rPr>
                  </w:pPr>
                </w:p>
              </w:tc>
              <w:tc>
                <w:tcPr>
                  <w:tcW w:w="261" w:type="pct"/>
                  <w:shd w:val="clear" w:color="auto" w:fill="auto"/>
                  <w:noWrap/>
                  <w:vAlign w:val="center"/>
                </w:tcPr>
                <w:p w14:paraId="463F770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X</w:t>
                  </w:r>
                </w:p>
              </w:tc>
              <w:tc>
                <w:tcPr>
                  <w:tcW w:w="209" w:type="pct"/>
                  <w:shd w:val="clear" w:color="auto" w:fill="auto"/>
                  <w:noWrap/>
                  <w:vAlign w:val="center"/>
                </w:tcPr>
                <w:p w14:paraId="64000FA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Y</w:t>
                  </w:r>
                </w:p>
              </w:tc>
              <w:tc>
                <w:tcPr>
                  <w:tcW w:w="483" w:type="pct"/>
                  <w:shd w:val="clear" w:color="auto" w:fill="auto"/>
                  <w:noWrap/>
                  <w:vAlign w:val="center"/>
                </w:tcPr>
                <w:p w14:paraId="473634D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Z</w:t>
                  </w:r>
                </w:p>
              </w:tc>
              <w:tc>
                <w:tcPr>
                  <w:tcW w:w="785" w:type="pct"/>
                  <w:vMerge w:val="continue"/>
                  <w:shd w:val="clear" w:color="auto" w:fill="auto"/>
                  <w:noWrap/>
                  <w:vAlign w:val="center"/>
                </w:tcPr>
                <w:p w14:paraId="56BCAA98">
                  <w:pPr>
                    <w:pStyle w:val="40"/>
                    <w:bidi w:val="0"/>
                    <w:rPr>
                      <w:rFonts w:hint="default" w:ascii="Times New Roman" w:hAnsi="Times New Roman" w:cs="Times New Roman"/>
                      <w:color w:val="0000FF"/>
                    </w:rPr>
                  </w:pPr>
                </w:p>
              </w:tc>
              <w:tc>
                <w:tcPr>
                  <w:tcW w:w="703" w:type="pct"/>
                  <w:vMerge w:val="continue"/>
                  <w:shd w:val="clear" w:color="auto" w:fill="auto"/>
                  <w:noWrap/>
                  <w:vAlign w:val="center"/>
                </w:tcPr>
                <w:p w14:paraId="165F3069">
                  <w:pPr>
                    <w:pStyle w:val="40"/>
                    <w:bidi w:val="0"/>
                    <w:rPr>
                      <w:rFonts w:hint="default" w:ascii="Times New Roman" w:hAnsi="Times New Roman" w:cs="Times New Roman"/>
                      <w:color w:val="0000FF"/>
                    </w:rPr>
                  </w:pPr>
                </w:p>
              </w:tc>
              <w:tc>
                <w:tcPr>
                  <w:tcW w:w="1393" w:type="pct"/>
                  <w:vMerge w:val="continue"/>
                  <w:shd w:val="clear" w:color="auto" w:fill="auto"/>
                  <w:noWrap/>
                  <w:vAlign w:val="center"/>
                </w:tcPr>
                <w:p w14:paraId="2130FC3B">
                  <w:pPr>
                    <w:pStyle w:val="40"/>
                    <w:bidi w:val="0"/>
                    <w:rPr>
                      <w:rFonts w:hint="default" w:ascii="Times New Roman" w:hAnsi="Times New Roman" w:cs="Times New Roman"/>
                      <w:color w:val="0000FF"/>
                    </w:rPr>
                  </w:pPr>
                </w:p>
              </w:tc>
            </w:tr>
            <w:tr w14:paraId="242098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8" w:type="pct"/>
                  <w:shd w:val="clear" w:color="auto" w:fill="auto"/>
                  <w:noWrap/>
                  <w:vAlign w:val="center"/>
                </w:tcPr>
                <w:p w14:paraId="5B542C8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c>
                <w:tcPr>
                  <w:tcW w:w="545" w:type="pct"/>
                  <w:shd w:val="clear" w:color="auto" w:fill="auto"/>
                  <w:noWrap/>
                  <w:vAlign w:val="center"/>
                </w:tcPr>
                <w:p w14:paraId="09EF98F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液氧泵</w:t>
                  </w:r>
                </w:p>
              </w:tc>
              <w:tc>
                <w:tcPr>
                  <w:tcW w:w="309" w:type="pct"/>
                  <w:shd w:val="clear" w:color="auto" w:fill="auto"/>
                  <w:noWrap/>
                  <w:vAlign w:val="center"/>
                </w:tcPr>
                <w:p w14:paraId="19D2FC49">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61" w:type="pct"/>
                  <w:shd w:val="clear" w:color="auto" w:fill="auto"/>
                  <w:noWrap/>
                  <w:vAlign w:val="center"/>
                </w:tcPr>
                <w:p w14:paraId="4DDE650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186</w:t>
                  </w:r>
                </w:p>
              </w:tc>
              <w:tc>
                <w:tcPr>
                  <w:tcW w:w="209" w:type="pct"/>
                  <w:shd w:val="clear" w:color="auto" w:fill="auto"/>
                  <w:noWrap/>
                  <w:vAlign w:val="center"/>
                </w:tcPr>
                <w:p w14:paraId="4315B604">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51</w:t>
                  </w:r>
                </w:p>
              </w:tc>
              <w:tc>
                <w:tcPr>
                  <w:tcW w:w="483" w:type="pct"/>
                  <w:shd w:val="clear" w:color="auto" w:fill="auto"/>
                  <w:noWrap/>
                  <w:vAlign w:val="center"/>
                </w:tcPr>
                <w:p w14:paraId="34B9262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0.74</w:t>
                  </w:r>
                </w:p>
              </w:tc>
              <w:tc>
                <w:tcPr>
                  <w:tcW w:w="785" w:type="pct"/>
                  <w:shd w:val="clear" w:color="auto" w:fill="auto"/>
                  <w:noWrap/>
                  <w:vAlign w:val="center"/>
                </w:tcPr>
                <w:p w14:paraId="502E572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703" w:type="pct"/>
                  <w:shd w:val="clear" w:color="auto" w:fill="auto"/>
                  <w:noWrap/>
                  <w:vAlign w:val="center"/>
                </w:tcPr>
                <w:p w14:paraId="161A1CEF">
                  <w:pPr>
                    <w:pStyle w:val="40"/>
                    <w:bidi w:val="0"/>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减震，消音</w:t>
                  </w:r>
                </w:p>
              </w:tc>
              <w:tc>
                <w:tcPr>
                  <w:tcW w:w="1393" w:type="pct"/>
                  <w:shd w:val="clear" w:color="auto" w:fill="auto"/>
                  <w:noWrap/>
                  <w:vAlign w:val="center"/>
                </w:tcPr>
                <w:p w14:paraId="6D7C961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r>
            <w:tr w14:paraId="12325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8" w:type="pct"/>
                  <w:shd w:val="clear" w:color="auto" w:fill="auto"/>
                  <w:noWrap/>
                  <w:vAlign w:val="center"/>
                </w:tcPr>
                <w:p w14:paraId="17E62F9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w:t>
                  </w:r>
                </w:p>
              </w:tc>
              <w:tc>
                <w:tcPr>
                  <w:tcW w:w="545" w:type="pct"/>
                  <w:shd w:val="clear" w:color="auto" w:fill="auto"/>
                  <w:noWrap/>
                  <w:vAlign w:val="center"/>
                </w:tcPr>
                <w:p w14:paraId="1C14607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液氮泵</w:t>
                  </w:r>
                </w:p>
              </w:tc>
              <w:tc>
                <w:tcPr>
                  <w:tcW w:w="309" w:type="pct"/>
                  <w:shd w:val="clear" w:color="auto" w:fill="auto"/>
                  <w:noWrap/>
                  <w:vAlign w:val="center"/>
                </w:tcPr>
                <w:p w14:paraId="3EA2904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61" w:type="pct"/>
                  <w:shd w:val="clear" w:color="auto" w:fill="auto"/>
                  <w:noWrap/>
                  <w:vAlign w:val="center"/>
                </w:tcPr>
                <w:p w14:paraId="2AC0FC8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195</w:t>
                  </w:r>
                </w:p>
              </w:tc>
              <w:tc>
                <w:tcPr>
                  <w:tcW w:w="209" w:type="pct"/>
                  <w:shd w:val="clear" w:color="auto" w:fill="auto"/>
                  <w:noWrap/>
                  <w:vAlign w:val="center"/>
                </w:tcPr>
                <w:p w14:paraId="2BC3DB56">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51</w:t>
                  </w:r>
                </w:p>
              </w:tc>
              <w:tc>
                <w:tcPr>
                  <w:tcW w:w="483" w:type="pct"/>
                  <w:shd w:val="clear" w:color="auto" w:fill="auto"/>
                  <w:noWrap/>
                  <w:vAlign w:val="center"/>
                </w:tcPr>
                <w:p w14:paraId="6441A94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0.78</w:t>
                  </w:r>
                </w:p>
              </w:tc>
              <w:tc>
                <w:tcPr>
                  <w:tcW w:w="785" w:type="pct"/>
                  <w:shd w:val="clear" w:color="auto" w:fill="auto"/>
                  <w:noWrap/>
                  <w:vAlign w:val="center"/>
                </w:tcPr>
                <w:p w14:paraId="6377399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703" w:type="pct"/>
                  <w:shd w:val="clear" w:color="auto" w:fill="auto"/>
                  <w:noWrap/>
                  <w:vAlign w:val="center"/>
                </w:tcPr>
                <w:p w14:paraId="01ECA57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减震，消音</w:t>
                  </w:r>
                </w:p>
              </w:tc>
              <w:tc>
                <w:tcPr>
                  <w:tcW w:w="1393" w:type="pct"/>
                  <w:shd w:val="clear" w:color="auto" w:fill="auto"/>
                  <w:noWrap/>
                  <w:vAlign w:val="center"/>
                </w:tcPr>
                <w:p w14:paraId="50813DC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r>
            <w:tr w14:paraId="09A3BF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8" w:type="pct"/>
                  <w:shd w:val="clear" w:color="auto" w:fill="auto"/>
                  <w:noWrap/>
                  <w:vAlign w:val="center"/>
                </w:tcPr>
                <w:p w14:paraId="1D18ACC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3</w:t>
                  </w:r>
                </w:p>
              </w:tc>
              <w:tc>
                <w:tcPr>
                  <w:tcW w:w="545" w:type="pct"/>
                  <w:shd w:val="clear" w:color="auto" w:fill="auto"/>
                  <w:noWrap/>
                  <w:vAlign w:val="center"/>
                </w:tcPr>
                <w:p w14:paraId="3F897A0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液氩泵</w:t>
                  </w:r>
                </w:p>
              </w:tc>
              <w:tc>
                <w:tcPr>
                  <w:tcW w:w="309" w:type="pct"/>
                  <w:shd w:val="clear" w:color="auto" w:fill="auto"/>
                  <w:noWrap/>
                  <w:vAlign w:val="center"/>
                </w:tcPr>
                <w:p w14:paraId="69A09E6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61" w:type="pct"/>
                  <w:shd w:val="clear" w:color="auto" w:fill="auto"/>
                  <w:noWrap/>
                  <w:vAlign w:val="center"/>
                </w:tcPr>
                <w:p w14:paraId="7DCD3AE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207</w:t>
                  </w:r>
                </w:p>
              </w:tc>
              <w:tc>
                <w:tcPr>
                  <w:tcW w:w="209" w:type="pct"/>
                  <w:shd w:val="clear" w:color="auto" w:fill="auto"/>
                  <w:noWrap/>
                  <w:vAlign w:val="center"/>
                </w:tcPr>
                <w:p w14:paraId="1813C306">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52</w:t>
                  </w:r>
                </w:p>
              </w:tc>
              <w:tc>
                <w:tcPr>
                  <w:tcW w:w="483" w:type="pct"/>
                  <w:shd w:val="clear" w:color="auto" w:fill="auto"/>
                  <w:noWrap/>
                  <w:vAlign w:val="center"/>
                </w:tcPr>
                <w:p w14:paraId="2492CDE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c>
                <w:tcPr>
                  <w:tcW w:w="785" w:type="pct"/>
                  <w:shd w:val="clear" w:color="auto" w:fill="auto"/>
                  <w:noWrap/>
                  <w:vAlign w:val="center"/>
                </w:tcPr>
                <w:p w14:paraId="2E77116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703" w:type="pct"/>
                  <w:shd w:val="clear" w:color="auto" w:fill="auto"/>
                  <w:noWrap/>
                  <w:vAlign w:val="center"/>
                </w:tcPr>
                <w:p w14:paraId="57A4D4C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减震，消音</w:t>
                  </w:r>
                </w:p>
              </w:tc>
              <w:tc>
                <w:tcPr>
                  <w:tcW w:w="1393" w:type="pct"/>
                  <w:shd w:val="clear" w:color="auto" w:fill="auto"/>
                  <w:noWrap/>
                  <w:vAlign w:val="center"/>
                </w:tcPr>
                <w:p w14:paraId="049D2A2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r>
            <w:tr w14:paraId="24AC8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8" w:type="pct"/>
                  <w:shd w:val="clear" w:color="auto" w:fill="auto"/>
                  <w:noWrap/>
                  <w:vAlign w:val="center"/>
                </w:tcPr>
                <w:p w14:paraId="5954715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4</w:t>
                  </w:r>
                </w:p>
              </w:tc>
              <w:tc>
                <w:tcPr>
                  <w:tcW w:w="545" w:type="pct"/>
                  <w:shd w:val="clear" w:color="auto" w:fill="auto"/>
                  <w:noWrap/>
                  <w:vAlign w:val="center"/>
                </w:tcPr>
                <w:p w14:paraId="1581B23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液CO</w:t>
                  </w:r>
                  <w:r>
                    <w:rPr>
                      <w:rFonts w:hint="default" w:ascii="Times New Roman" w:hAnsi="Times New Roman" w:cs="Times New Roman"/>
                      <w:color w:val="0000FF"/>
                      <w:vertAlign w:val="subscript"/>
                      <w:lang w:val="en-US" w:eastAsia="zh-CN"/>
                    </w:rPr>
                    <w:t>2</w:t>
                  </w:r>
                  <w:r>
                    <w:rPr>
                      <w:rFonts w:hint="default" w:ascii="Times New Roman" w:hAnsi="Times New Roman" w:cs="Times New Roman"/>
                      <w:color w:val="0000FF"/>
                      <w:lang w:val="en-US" w:eastAsia="zh-CN"/>
                    </w:rPr>
                    <w:t>泵</w:t>
                  </w:r>
                </w:p>
              </w:tc>
              <w:tc>
                <w:tcPr>
                  <w:tcW w:w="309" w:type="pct"/>
                  <w:shd w:val="clear" w:color="auto" w:fill="auto"/>
                  <w:noWrap/>
                  <w:vAlign w:val="center"/>
                </w:tcPr>
                <w:p w14:paraId="684902B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点源</w:t>
                  </w:r>
                </w:p>
              </w:tc>
              <w:tc>
                <w:tcPr>
                  <w:tcW w:w="261" w:type="pct"/>
                  <w:shd w:val="clear" w:color="auto" w:fill="auto"/>
                  <w:noWrap/>
                  <w:vAlign w:val="center"/>
                </w:tcPr>
                <w:p w14:paraId="3E4D6CA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214</w:t>
                  </w:r>
                </w:p>
              </w:tc>
              <w:tc>
                <w:tcPr>
                  <w:tcW w:w="209" w:type="pct"/>
                  <w:shd w:val="clear" w:color="auto" w:fill="auto"/>
                  <w:noWrap/>
                  <w:vAlign w:val="center"/>
                </w:tcPr>
                <w:p w14:paraId="3E54440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52</w:t>
                  </w:r>
                </w:p>
              </w:tc>
              <w:tc>
                <w:tcPr>
                  <w:tcW w:w="483" w:type="pct"/>
                  <w:shd w:val="clear" w:color="auto" w:fill="auto"/>
                  <w:noWrap/>
                  <w:vAlign w:val="center"/>
                </w:tcPr>
                <w:p w14:paraId="58C1EBD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1</w:t>
                  </w:r>
                </w:p>
              </w:tc>
              <w:tc>
                <w:tcPr>
                  <w:tcW w:w="785" w:type="pct"/>
                  <w:shd w:val="clear" w:color="auto" w:fill="auto"/>
                  <w:noWrap/>
                  <w:vAlign w:val="center"/>
                </w:tcPr>
                <w:p w14:paraId="525BD16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80</w:t>
                  </w:r>
                </w:p>
              </w:tc>
              <w:tc>
                <w:tcPr>
                  <w:tcW w:w="703" w:type="pct"/>
                  <w:shd w:val="clear" w:color="auto" w:fill="auto"/>
                  <w:noWrap/>
                  <w:vAlign w:val="center"/>
                </w:tcPr>
                <w:p w14:paraId="22B6DB5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减震，消音</w:t>
                  </w:r>
                </w:p>
              </w:tc>
              <w:tc>
                <w:tcPr>
                  <w:tcW w:w="1393" w:type="pct"/>
                  <w:shd w:val="clear" w:color="auto" w:fill="auto"/>
                  <w:noWrap/>
                  <w:vAlign w:val="center"/>
                </w:tcPr>
                <w:p w14:paraId="1F4E2837">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变化声源,2个时段，昼夜不同</w:t>
                  </w:r>
                </w:p>
              </w:tc>
            </w:tr>
            <w:tr w14:paraId="1B0125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8" w:type="pct"/>
                  <w:shd w:val="clear" w:color="auto" w:fill="auto"/>
                  <w:noWrap/>
                  <w:vAlign w:val="center"/>
                </w:tcPr>
                <w:p w14:paraId="0993027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5</w:t>
                  </w:r>
                </w:p>
              </w:tc>
              <w:tc>
                <w:tcPr>
                  <w:tcW w:w="545" w:type="pct"/>
                  <w:shd w:val="clear" w:color="auto" w:fill="auto"/>
                  <w:noWrap/>
                  <w:vAlign w:val="center"/>
                </w:tcPr>
                <w:p w14:paraId="183A44B8">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增效剂加注器（泵）</w:t>
                  </w:r>
                </w:p>
              </w:tc>
              <w:tc>
                <w:tcPr>
                  <w:tcW w:w="309" w:type="pct"/>
                  <w:shd w:val="clear" w:color="auto" w:fill="auto"/>
                  <w:noWrap/>
                  <w:vAlign w:val="center"/>
                </w:tcPr>
                <w:p w14:paraId="6B1C5384">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点源</w:t>
                  </w:r>
                </w:p>
              </w:tc>
              <w:tc>
                <w:tcPr>
                  <w:tcW w:w="261" w:type="pct"/>
                  <w:shd w:val="clear" w:color="auto" w:fill="auto"/>
                  <w:noWrap/>
                  <w:vAlign w:val="center"/>
                </w:tcPr>
                <w:p w14:paraId="439155CC">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168</w:t>
                  </w:r>
                </w:p>
              </w:tc>
              <w:tc>
                <w:tcPr>
                  <w:tcW w:w="209" w:type="pct"/>
                  <w:shd w:val="clear" w:color="auto" w:fill="auto"/>
                  <w:noWrap/>
                  <w:vAlign w:val="center"/>
                </w:tcPr>
                <w:p w14:paraId="528B1BAC">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80</w:t>
                  </w:r>
                </w:p>
              </w:tc>
              <w:tc>
                <w:tcPr>
                  <w:tcW w:w="483" w:type="pct"/>
                  <w:shd w:val="clear" w:color="auto" w:fill="auto"/>
                  <w:noWrap/>
                  <w:vAlign w:val="center"/>
                </w:tcPr>
                <w:p w14:paraId="3919EED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c>
                <w:tcPr>
                  <w:tcW w:w="785" w:type="pct"/>
                  <w:shd w:val="clear" w:color="auto" w:fill="auto"/>
                  <w:noWrap/>
                  <w:vAlign w:val="center"/>
                </w:tcPr>
                <w:p w14:paraId="417F8AA6">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80</w:t>
                  </w:r>
                </w:p>
              </w:tc>
              <w:tc>
                <w:tcPr>
                  <w:tcW w:w="703" w:type="pct"/>
                  <w:shd w:val="clear" w:color="auto" w:fill="auto"/>
                  <w:noWrap/>
                  <w:vAlign w:val="center"/>
                </w:tcPr>
                <w:p w14:paraId="138244D9">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减震，消音</w:t>
                  </w:r>
                </w:p>
              </w:tc>
              <w:tc>
                <w:tcPr>
                  <w:tcW w:w="1393" w:type="pct"/>
                  <w:shd w:val="clear" w:color="auto" w:fill="auto"/>
                  <w:noWrap/>
                  <w:vAlign w:val="center"/>
                </w:tcPr>
                <w:p w14:paraId="22E2223E">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r>
            <w:tr w14:paraId="3A81E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8" w:type="pct"/>
                  <w:shd w:val="clear" w:color="auto" w:fill="auto"/>
                  <w:noWrap/>
                  <w:vAlign w:val="center"/>
                </w:tcPr>
                <w:p w14:paraId="65FA3A0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6</w:t>
                  </w:r>
                </w:p>
              </w:tc>
              <w:tc>
                <w:tcPr>
                  <w:tcW w:w="545" w:type="pct"/>
                  <w:shd w:val="clear" w:color="auto" w:fill="auto"/>
                  <w:noWrap/>
                  <w:vAlign w:val="center"/>
                </w:tcPr>
                <w:p w14:paraId="0765351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增效剂混合器（泵）</w:t>
                  </w:r>
                </w:p>
              </w:tc>
              <w:tc>
                <w:tcPr>
                  <w:tcW w:w="309" w:type="pct"/>
                  <w:shd w:val="clear" w:color="auto" w:fill="auto"/>
                  <w:noWrap/>
                  <w:vAlign w:val="center"/>
                </w:tcPr>
                <w:p w14:paraId="4358315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点源</w:t>
                  </w:r>
                </w:p>
              </w:tc>
              <w:tc>
                <w:tcPr>
                  <w:tcW w:w="261" w:type="pct"/>
                  <w:shd w:val="clear" w:color="auto" w:fill="auto"/>
                  <w:noWrap/>
                  <w:vAlign w:val="center"/>
                </w:tcPr>
                <w:p w14:paraId="6DA2734F">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166</w:t>
                  </w:r>
                </w:p>
              </w:tc>
              <w:tc>
                <w:tcPr>
                  <w:tcW w:w="209" w:type="pct"/>
                  <w:shd w:val="clear" w:color="auto" w:fill="auto"/>
                  <w:noWrap/>
                  <w:vAlign w:val="center"/>
                </w:tcPr>
                <w:p w14:paraId="371CDD0F">
                  <w:pPr>
                    <w:pStyle w:val="40"/>
                    <w:bidi w:val="0"/>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78</w:t>
                  </w:r>
                </w:p>
              </w:tc>
              <w:tc>
                <w:tcPr>
                  <w:tcW w:w="483" w:type="pct"/>
                  <w:shd w:val="clear" w:color="auto" w:fill="auto"/>
                  <w:noWrap/>
                  <w:vAlign w:val="center"/>
                </w:tcPr>
                <w:p w14:paraId="4116645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w:t>
                  </w:r>
                </w:p>
              </w:tc>
              <w:tc>
                <w:tcPr>
                  <w:tcW w:w="785" w:type="pct"/>
                  <w:shd w:val="clear" w:color="auto" w:fill="auto"/>
                  <w:noWrap/>
                  <w:vAlign w:val="center"/>
                </w:tcPr>
                <w:p w14:paraId="12D61012">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80</w:t>
                  </w:r>
                </w:p>
              </w:tc>
              <w:tc>
                <w:tcPr>
                  <w:tcW w:w="703" w:type="pct"/>
                  <w:shd w:val="clear" w:color="auto" w:fill="auto"/>
                  <w:noWrap/>
                  <w:vAlign w:val="center"/>
                </w:tcPr>
                <w:p w14:paraId="736C1BFF">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减震，消音</w:t>
                  </w:r>
                </w:p>
              </w:tc>
              <w:tc>
                <w:tcPr>
                  <w:tcW w:w="1393" w:type="pct"/>
                  <w:shd w:val="clear" w:color="auto" w:fill="auto"/>
                  <w:noWrap/>
                  <w:vAlign w:val="center"/>
                </w:tcPr>
                <w:p w14:paraId="40329A13">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变化声源,2个时段，昼夜不同</w:t>
                  </w:r>
                </w:p>
              </w:tc>
            </w:tr>
            <w:tr w14:paraId="4E23B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308" w:type="pct"/>
                  <w:shd w:val="clear" w:color="auto" w:fill="auto"/>
                  <w:noWrap/>
                  <w:vAlign w:val="center"/>
                </w:tcPr>
                <w:p w14:paraId="43E75BC3">
                  <w:pPr>
                    <w:pStyle w:val="40"/>
                    <w:bidi w:val="0"/>
                    <w:rPr>
                      <w:rFonts w:hint="default" w:ascii="Times New Roman" w:hAnsi="Times New Roman" w:cs="Times New Roman"/>
                      <w:color w:val="0000FF"/>
                      <w:lang w:val="en-US" w:eastAsia="zh-CN"/>
                    </w:rPr>
                  </w:pPr>
                  <w:r>
                    <w:rPr>
                      <w:rFonts w:hint="eastAsia" w:cs="Times New Roman"/>
                      <w:color w:val="0000FF"/>
                      <w:lang w:val="en-US" w:eastAsia="zh-CN"/>
                    </w:rPr>
                    <w:t>7</w:t>
                  </w:r>
                </w:p>
              </w:tc>
              <w:tc>
                <w:tcPr>
                  <w:tcW w:w="545" w:type="pct"/>
                  <w:shd w:val="clear" w:color="auto" w:fill="auto"/>
                  <w:noWrap/>
                  <w:vAlign w:val="center"/>
                </w:tcPr>
                <w:p w14:paraId="57E8A042">
                  <w:pPr>
                    <w:pStyle w:val="40"/>
                    <w:bidi w:val="0"/>
                    <w:rPr>
                      <w:rFonts w:hint="default" w:ascii="Times New Roman" w:hAnsi="Times New Roman" w:cs="Times New Roman"/>
                      <w:color w:val="0000FF"/>
                      <w:lang w:val="en-US" w:eastAsia="zh-CN"/>
                    </w:rPr>
                  </w:pPr>
                  <w:r>
                    <w:rPr>
                      <w:rFonts w:hint="eastAsia" w:cs="Times New Roman"/>
                      <w:color w:val="0000FF"/>
                      <w:lang w:val="en-US" w:eastAsia="zh-CN"/>
                    </w:rPr>
                    <w:t>喷淋塔（含泵）</w:t>
                  </w:r>
                </w:p>
              </w:tc>
              <w:tc>
                <w:tcPr>
                  <w:tcW w:w="309" w:type="pct"/>
                  <w:shd w:val="clear" w:color="auto" w:fill="auto"/>
                  <w:noWrap/>
                  <w:vAlign w:val="center"/>
                </w:tcPr>
                <w:p w14:paraId="456D4CD0">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点源</w:t>
                  </w:r>
                </w:p>
              </w:tc>
              <w:tc>
                <w:tcPr>
                  <w:tcW w:w="639" w:type="dxa"/>
                  <w:shd w:val="clear" w:color="auto" w:fill="auto"/>
                  <w:noWrap/>
                  <w:vAlign w:val="center"/>
                </w:tcPr>
                <w:p w14:paraId="4E00316F">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5</w:t>
                  </w:r>
                  <w:r>
                    <w:rPr>
                      <w:rFonts w:hint="eastAsia" w:ascii="Times New Roman" w:hAnsi="Times New Roman" w:cs="Times New Roman"/>
                      <w:color w:val="0000FF"/>
                      <w:lang w:val="en-US" w:eastAsia="zh-CN"/>
                    </w:rPr>
                    <w:t>0</w:t>
                  </w:r>
                </w:p>
              </w:tc>
              <w:tc>
                <w:tcPr>
                  <w:tcW w:w="514" w:type="dxa"/>
                  <w:shd w:val="clear" w:color="auto" w:fill="auto"/>
                  <w:noWrap/>
                  <w:vAlign w:val="center"/>
                </w:tcPr>
                <w:p w14:paraId="75BB55A3">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ascii="Times New Roman" w:hAnsi="Times New Roman" w:cs="Times New Roman"/>
                      <w:color w:val="0000FF"/>
                      <w:lang w:val="en-US" w:eastAsia="zh-CN"/>
                    </w:rPr>
                    <w:t>18</w:t>
                  </w:r>
                </w:p>
              </w:tc>
              <w:tc>
                <w:tcPr>
                  <w:tcW w:w="483" w:type="pct"/>
                  <w:shd w:val="clear" w:color="auto" w:fill="auto"/>
                  <w:noWrap/>
                  <w:vAlign w:val="center"/>
                </w:tcPr>
                <w:p w14:paraId="70231466">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1</w:t>
                  </w:r>
                </w:p>
              </w:tc>
              <w:tc>
                <w:tcPr>
                  <w:tcW w:w="785" w:type="pct"/>
                  <w:shd w:val="clear" w:color="auto" w:fill="auto"/>
                  <w:noWrap/>
                  <w:vAlign w:val="center"/>
                </w:tcPr>
                <w:p w14:paraId="1F8E7785">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ascii="Times New Roman" w:hAnsi="Times New Roman" w:cs="Times New Roman"/>
                      <w:color w:val="0000FF"/>
                      <w:lang w:val="en-US" w:eastAsia="zh-CN"/>
                    </w:rPr>
                    <w:t>85</w:t>
                  </w:r>
                </w:p>
              </w:tc>
              <w:tc>
                <w:tcPr>
                  <w:tcW w:w="703" w:type="pct"/>
                  <w:shd w:val="clear" w:color="auto" w:fill="auto"/>
                  <w:noWrap/>
                  <w:vAlign w:val="center"/>
                </w:tcPr>
                <w:p w14:paraId="59635B22">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减震，消音</w:t>
                  </w:r>
                </w:p>
              </w:tc>
              <w:tc>
                <w:tcPr>
                  <w:tcW w:w="1393" w:type="pct"/>
                  <w:shd w:val="clear" w:color="auto" w:fill="auto"/>
                  <w:noWrap/>
                  <w:vAlign w:val="center"/>
                </w:tcPr>
                <w:p w14:paraId="7B9CA402">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变化声源,2个时段，昼夜不同</w:t>
                  </w:r>
                </w:p>
              </w:tc>
            </w:tr>
          </w:tbl>
          <w:p w14:paraId="276BD92E">
            <w:pPr>
              <w:adjustRightInd w:val="0"/>
              <w:snapToGrid w:val="0"/>
              <w:spacing w:line="360" w:lineRule="auto"/>
              <w:jc w:val="center"/>
              <w:rPr>
                <w:rFonts w:hint="default" w:ascii="Times New Roman" w:hAnsi="Times New Roman" w:cs="Times New Roman"/>
                <w:b/>
                <w:color w:val="auto"/>
                <w:kern w:val="0"/>
                <w:sz w:val="24"/>
                <w:szCs w:val="24"/>
                <w:vertAlign w:val="baseline"/>
                <w:lang w:val="en-US" w:eastAsia="zh-CN"/>
              </w:rPr>
            </w:pPr>
          </w:p>
        </w:tc>
      </w:tr>
    </w:tbl>
    <w:p w14:paraId="37884FAA">
      <w:pPr>
        <w:adjustRightInd w:val="0"/>
        <w:snapToGrid w:val="0"/>
        <w:spacing w:line="360" w:lineRule="auto"/>
        <w:rPr>
          <w:rFonts w:hint="default" w:ascii="Times New Roman" w:hAnsi="Times New Roman" w:cs="Times New Roman"/>
          <w:b/>
          <w:color w:val="auto"/>
          <w:kern w:val="0"/>
          <w:sz w:val="28"/>
          <w:szCs w:val="28"/>
        </w:rPr>
        <w:sectPr>
          <w:pgSz w:w="16840" w:h="11907" w:orient="landscape"/>
          <w:pgMar w:top="1531" w:right="1701" w:bottom="1531" w:left="2127"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8322"/>
      </w:tblGrid>
      <w:tr w14:paraId="19DBC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9" w:type="dxa"/>
          </w:tcPr>
          <w:p w14:paraId="3B77C009">
            <w:pPr>
              <w:adjustRightInd w:val="0"/>
              <w:snapToGrid w:val="0"/>
              <w:spacing w:line="360" w:lineRule="auto"/>
              <w:rPr>
                <w:rFonts w:hint="default" w:ascii="Times New Roman" w:hAnsi="Times New Roman" w:cs="Times New Roman"/>
                <w:b/>
                <w:color w:val="auto"/>
                <w:kern w:val="0"/>
                <w:sz w:val="28"/>
                <w:szCs w:val="28"/>
                <w:vertAlign w:val="baseline"/>
              </w:rPr>
            </w:pPr>
          </w:p>
        </w:tc>
        <w:tc>
          <w:tcPr>
            <w:tcW w:w="8322" w:type="dxa"/>
          </w:tcPr>
          <w:p w14:paraId="76078FA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0000FF"/>
                <w:sz w:val="24"/>
                <w:szCs w:val="24"/>
                <w:highlight w:val="none"/>
              </w:rPr>
            </w:pPr>
            <w:r>
              <w:rPr>
                <w:rFonts w:hint="default" w:ascii="Times New Roman" w:hAnsi="Times New Roman" w:cs="Times New Roman"/>
                <w:b/>
                <w:color w:val="0000FF"/>
                <w:sz w:val="24"/>
                <w:szCs w:val="24"/>
                <w:highlight w:val="none"/>
              </w:rPr>
              <w:t>表</w:t>
            </w:r>
            <w:r>
              <w:rPr>
                <w:rFonts w:hint="default" w:ascii="Times New Roman" w:hAnsi="Times New Roman" w:cs="Times New Roman"/>
                <w:b/>
                <w:color w:val="0000FF"/>
                <w:sz w:val="24"/>
                <w:szCs w:val="24"/>
                <w:highlight w:val="none"/>
                <w:lang w:val="en-US" w:eastAsia="zh-CN"/>
              </w:rPr>
              <w:t xml:space="preserve">4.8-3  </w:t>
            </w:r>
            <w:r>
              <w:rPr>
                <w:rFonts w:hint="default" w:ascii="Times New Roman" w:hAnsi="Times New Roman" w:cs="Times New Roman"/>
                <w:b/>
                <w:color w:val="0000FF"/>
                <w:sz w:val="24"/>
                <w:szCs w:val="24"/>
                <w:highlight w:val="none"/>
              </w:rPr>
              <w:t xml:space="preserve">  厂界噪声预测情况</w:t>
            </w:r>
          </w:p>
          <w:tbl>
            <w:tblPr>
              <w:tblStyle w:val="32"/>
              <w:tblW w:w="8103"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605"/>
              <w:gridCol w:w="906"/>
              <w:gridCol w:w="822"/>
              <w:gridCol w:w="822"/>
              <w:gridCol w:w="822"/>
              <w:gridCol w:w="822"/>
              <w:gridCol w:w="823"/>
              <w:gridCol w:w="823"/>
              <w:gridCol w:w="823"/>
              <w:gridCol w:w="835"/>
            </w:tblGrid>
            <w:tr w14:paraId="7BCCD2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300" w:hRule="atLeast"/>
              </w:trPr>
              <w:tc>
                <w:tcPr>
                  <w:tcW w:w="373" w:type="pct"/>
                  <w:vMerge w:val="restart"/>
                  <w:tcBorders>
                    <w:top w:val="single" w:color="000000" w:sz="4" w:space="0"/>
                    <w:left w:val="single" w:color="000000" w:sz="4" w:space="0"/>
                    <w:right w:val="single" w:color="000000" w:sz="4" w:space="0"/>
                  </w:tcBorders>
                  <w:shd w:val="clear" w:color="auto" w:fill="auto"/>
                  <w:noWrap/>
                  <w:vAlign w:val="center"/>
                </w:tcPr>
                <w:p w14:paraId="35A7CD7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序号</w:t>
                  </w:r>
                </w:p>
              </w:tc>
              <w:tc>
                <w:tcPr>
                  <w:tcW w:w="559" w:type="pct"/>
                  <w:vMerge w:val="restart"/>
                  <w:tcBorders>
                    <w:top w:val="single" w:color="000000" w:sz="4" w:space="0"/>
                    <w:left w:val="single" w:color="000000" w:sz="4" w:space="0"/>
                    <w:right w:val="single" w:color="000000" w:sz="4" w:space="0"/>
                  </w:tcBorders>
                  <w:shd w:val="clear" w:color="auto" w:fill="auto"/>
                  <w:noWrap/>
                  <w:vAlign w:val="center"/>
                </w:tcPr>
                <w:p w14:paraId="3711A71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声环境保护目标名称</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BB32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噪声标准/dB(A)</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F5D29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噪声标准/dB(A)</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3DC4F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噪声贡献值/dB(A)</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4B463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噪声贡献值/dB(A)</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8BD5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超标和达标情况/dB(A)</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10DD1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超标和达标情况/dB(A)</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E219A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超标量/dB(A)</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BA23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超标量/dB(A)</w:t>
                  </w:r>
                </w:p>
              </w:tc>
            </w:tr>
            <w:tr w14:paraId="3FC6FC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73" w:type="pct"/>
                  <w:vMerge w:val="continue"/>
                  <w:tcBorders>
                    <w:left w:val="single" w:color="000000" w:sz="4" w:space="0"/>
                    <w:bottom w:val="single" w:color="000000" w:sz="4" w:space="0"/>
                    <w:right w:val="single" w:color="000000" w:sz="4" w:space="0"/>
                  </w:tcBorders>
                  <w:shd w:val="clear" w:color="auto" w:fill="auto"/>
                  <w:noWrap/>
                  <w:vAlign w:val="center"/>
                </w:tcPr>
                <w:p w14:paraId="620A2D26">
                  <w:pPr>
                    <w:jc w:val="center"/>
                    <w:rPr>
                      <w:rFonts w:hint="default" w:ascii="Times New Roman" w:hAnsi="Times New Roman" w:eastAsia="宋体" w:cs="Times New Roman"/>
                      <w:i w:val="0"/>
                      <w:iCs w:val="0"/>
                      <w:color w:val="0000FF"/>
                      <w:sz w:val="21"/>
                      <w:szCs w:val="21"/>
                      <w:u w:val="none"/>
                    </w:rPr>
                  </w:pPr>
                </w:p>
              </w:tc>
              <w:tc>
                <w:tcPr>
                  <w:tcW w:w="559" w:type="pct"/>
                  <w:vMerge w:val="continue"/>
                  <w:tcBorders>
                    <w:left w:val="single" w:color="000000" w:sz="4" w:space="0"/>
                    <w:bottom w:val="single" w:color="000000" w:sz="4" w:space="0"/>
                    <w:right w:val="single" w:color="000000" w:sz="4" w:space="0"/>
                  </w:tcBorders>
                  <w:shd w:val="clear" w:color="auto" w:fill="auto"/>
                  <w:noWrap/>
                  <w:vAlign w:val="center"/>
                </w:tcPr>
                <w:p w14:paraId="6B88EFF8">
                  <w:pPr>
                    <w:jc w:val="center"/>
                    <w:rPr>
                      <w:rFonts w:hint="default" w:ascii="Times New Roman" w:hAnsi="Times New Roman" w:eastAsia="宋体" w:cs="Times New Roman"/>
                      <w:i w:val="0"/>
                      <w:iCs w:val="0"/>
                      <w:color w:val="0000FF"/>
                      <w:sz w:val="21"/>
                      <w:szCs w:val="21"/>
                      <w:u w:val="none"/>
                    </w:rPr>
                  </w:pP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DF6B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昼间</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3710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夜间</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8958A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昼间</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2BB7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夜间</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AEECA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昼间</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C3761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夜间</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B0724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昼间</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09C62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夜间</w:t>
                  </w:r>
                </w:p>
              </w:tc>
            </w:tr>
            <w:tr w14:paraId="66F1E4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5D4DC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1</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9B9B3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项目北侧</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DA46E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65.00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DAE3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BF9E6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36.16</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3CB0F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36.16</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59CBE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46485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0B85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-28.84</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CD9D11">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-18.84</w:t>
                  </w:r>
                </w:p>
              </w:tc>
            </w:tr>
            <w:tr w14:paraId="611FCE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BBC34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2</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3D65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项目西侧</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A580E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65.00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6D0E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2AC08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42.65</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9D2A9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42.65</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CE375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6627A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03E3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-22.35</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5777D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-12.35</w:t>
                  </w:r>
                </w:p>
              </w:tc>
            </w:tr>
            <w:tr w14:paraId="48BE6E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C36A2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3</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F100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项目南侧</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0BD37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65.00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58E13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7C7FE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38.84</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A480A3">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38.84</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2A8268">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61501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DA2E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-26.16</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D75006">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-16.16</w:t>
                  </w:r>
                </w:p>
              </w:tc>
            </w:tr>
            <w:tr w14:paraId="37967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FAA53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4</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8C4E7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项目东侧</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9CA1F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65.00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0EE4E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CE5AA">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53.67</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84270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53.67</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F66C4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0BAB2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E3C1C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-11.33</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94039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-1.33</w:t>
                  </w:r>
                </w:p>
              </w:tc>
            </w:tr>
            <w:tr w14:paraId="4238BD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C2729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5</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DA007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评价范围(水平网格)</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A1F1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65.00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EC816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D5F5B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49.62</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9B62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49.62</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0FCB54D">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E60FD2">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35B31B">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-15.38</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DC93BC">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-5.38</w:t>
                  </w:r>
                </w:p>
              </w:tc>
            </w:tr>
            <w:tr w14:paraId="702437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300" w:hRule="atLeast"/>
              </w:trPr>
              <w:tc>
                <w:tcPr>
                  <w:tcW w:w="3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688D6F">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6</w:t>
                  </w:r>
                </w:p>
              </w:tc>
              <w:tc>
                <w:tcPr>
                  <w:tcW w:w="5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307A0">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厂界线(曲线)</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0DD2FE">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65.00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52C3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55.00</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D11C4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49.43</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C2DE5">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49.43</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FC9D9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A2CE47">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eastAsia="宋体" w:cs="Times New Roman"/>
                      <w:i w:val="0"/>
                      <w:iCs w:val="0"/>
                      <w:color w:val="0000FF"/>
                      <w:kern w:val="0"/>
                      <w:sz w:val="21"/>
                      <w:szCs w:val="21"/>
                      <w:u w:val="none"/>
                      <w:lang w:val="en-US" w:eastAsia="zh-CN" w:bidi="ar"/>
                    </w:rPr>
                    <w:t>达标</w:t>
                  </w:r>
                </w:p>
              </w:tc>
              <w:tc>
                <w:tcPr>
                  <w:tcW w:w="5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915E4">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-15.57</w:t>
                  </w:r>
                </w:p>
              </w:tc>
              <w:tc>
                <w:tcPr>
                  <w:tcW w:w="51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704A79">
                  <w:pPr>
                    <w:keepNext w:val="0"/>
                    <w:keepLines w:val="0"/>
                    <w:widowControl/>
                    <w:suppressLineNumbers w:val="0"/>
                    <w:jc w:val="center"/>
                    <w:textAlignment w:val="center"/>
                    <w:rPr>
                      <w:rFonts w:hint="default" w:ascii="Times New Roman" w:hAnsi="Times New Roman" w:eastAsia="宋体" w:cs="Times New Roman"/>
                      <w:i w:val="0"/>
                      <w:iCs w:val="0"/>
                      <w:color w:val="0000FF"/>
                      <w:sz w:val="21"/>
                      <w:szCs w:val="21"/>
                      <w:u w:val="none"/>
                    </w:rPr>
                  </w:pPr>
                  <w:r>
                    <w:rPr>
                      <w:rFonts w:hint="default" w:ascii="Times New Roman" w:hAnsi="Times New Roman" w:cs="Times New Roman"/>
                      <w:color w:val="0000FF"/>
                    </w:rPr>
                    <w:t>-5.57</w:t>
                  </w:r>
                </w:p>
              </w:tc>
            </w:tr>
          </w:tbl>
          <w:p w14:paraId="0217145C">
            <w:pPr>
              <w:widowControl w:val="0"/>
              <w:jc w:val="both"/>
              <w:rPr>
                <w:rFonts w:hint="default" w:ascii="Times New Roman" w:hAnsi="Times New Roman" w:eastAsia="宋体" w:cs="Times New Roman"/>
                <w:color w:val="0000FF"/>
                <w:kern w:val="2"/>
                <w:sz w:val="21"/>
                <w:szCs w:val="21"/>
                <w:highlight w:val="yellow"/>
                <w:lang w:val="en-US" w:eastAsia="zh-CN" w:bidi="ar-SA"/>
              </w:rPr>
            </w:pPr>
          </w:p>
          <w:p w14:paraId="123C8F0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aps w:val="0"/>
                <w:color w:val="0000FF"/>
                <w:sz w:val="24"/>
                <w:szCs w:val="24"/>
                <w:highlight w:val="none"/>
                <w:lang w:val="en-US" w:eastAsia="zh-CN"/>
              </w:rPr>
            </w:pPr>
            <w:r>
              <w:rPr>
                <w:rFonts w:hint="default" w:ascii="Times New Roman" w:hAnsi="Times New Roman" w:eastAsia="宋体" w:cs="Times New Roman"/>
                <w:b w:val="0"/>
                <w:bCs/>
                <w:caps w:val="0"/>
                <w:color w:val="0000FF"/>
                <w:sz w:val="24"/>
                <w:szCs w:val="24"/>
                <w:highlight w:val="none"/>
                <w:lang w:val="en-US" w:eastAsia="zh-CN"/>
              </w:rPr>
              <w:t>由上表可知，本项目投产后，厂界噪声最大贡献值为</w:t>
            </w:r>
            <w:r>
              <w:rPr>
                <w:rFonts w:hint="default" w:ascii="Times New Roman" w:hAnsi="Times New Roman" w:cs="Times New Roman"/>
                <w:i w:val="0"/>
                <w:iCs w:val="0"/>
                <w:color w:val="0000FF"/>
                <w:kern w:val="0"/>
                <w:sz w:val="24"/>
                <w:szCs w:val="24"/>
                <w:highlight w:val="none"/>
                <w:u w:val="none"/>
                <w:lang w:val="en-US" w:eastAsia="zh-CN" w:bidi="ar"/>
              </w:rPr>
              <w:t>53.67</w:t>
            </w:r>
            <w:r>
              <w:rPr>
                <w:rFonts w:hint="default" w:ascii="Times New Roman" w:hAnsi="Times New Roman" w:eastAsia="宋体" w:cs="Times New Roman"/>
                <w:b w:val="0"/>
                <w:bCs/>
                <w:caps w:val="0"/>
                <w:color w:val="0000FF"/>
                <w:sz w:val="24"/>
                <w:szCs w:val="24"/>
                <w:highlight w:val="none"/>
                <w:lang w:val="en-US" w:eastAsia="zh-CN"/>
              </w:rPr>
              <w:t>dB(A)，满足《工业企业厂界环境噪声排放标准》（GB12348-2008）中3类标准值要求，厂界环境噪声可达标。</w:t>
            </w:r>
          </w:p>
          <w:p w14:paraId="54AB2A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b w:val="0"/>
                <w:bCs/>
                <w:caps w:val="0"/>
                <w:color w:val="auto"/>
                <w:sz w:val="24"/>
                <w:szCs w:val="24"/>
                <w:highlight w:val="none"/>
                <w:lang w:val="en-US" w:eastAsia="zh-CN"/>
              </w:rPr>
              <w:t>本项目周边50m范围内无声环境敏感点，本项目生产噪声不会对敏感点声环境造成影响。</w:t>
            </w:r>
          </w:p>
          <w:p w14:paraId="6807B8F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caps w:val="0"/>
                <w:color w:val="auto"/>
                <w:sz w:val="24"/>
                <w:szCs w:val="24"/>
                <w:highlight w:val="none"/>
                <w:lang w:val="en-US" w:eastAsia="zh-CN"/>
              </w:rPr>
            </w:pPr>
            <w:r>
              <w:rPr>
                <w:rFonts w:hint="default" w:ascii="Times New Roman" w:hAnsi="Times New Roman" w:eastAsia="宋体" w:cs="Times New Roman"/>
                <w:b w:val="0"/>
                <w:bCs/>
                <w:caps w:val="0"/>
                <w:color w:val="auto"/>
                <w:sz w:val="24"/>
                <w:szCs w:val="24"/>
                <w:highlight w:val="none"/>
              </w:rPr>
              <w:t>根据</w:t>
            </w:r>
            <w:r>
              <w:rPr>
                <w:rFonts w:hint="default" w:ascii="Times New Roman" w:hAnsi="Times New Roman" w:cs="Times New Roman"/>
                <w:color w:val="auto"/>
                <w:sz w:val="24"/>
                <w:szCs w:val="24"/>
                <w:highlight w:val="none"/>
                <w:lang w:val="en-US" w:eastAsia="zh-CN"/>
              </w:rPr>
              <w:t>《排污单位自行监测技术指南  总则》（HJ819—2017）</w:t>
            </w:r>
            <w:r>
              <w:rPr>
                <w:rFonts w:hint="default" w:ascii="Times New Roman" w:hAnsi="Times New Roman" w:eastAsia="宋体" w:cs="Times New Roman"/>
                <w:b w:val="0"/>
                <w:bCs/>
                <w:caps w:val="0"/>
                <w:color w:val="auto"/>
                <w:sz w:val="24"/>
                <w:szCs w:val="24"/>
                <w:highlight w:val="none"/>
              </w:rPr>
              <w:t>要求，建设单位应定期开展厂界噪声监测，具体监测要求见下表</w:t>
            </w:r>
            <w:r>
              <w:rPr>
                <w:rFonts w:hint="default" w:ascii="Times New Roman" w:hAnsi="Times New Roman" w:eastAsia="宋体" w:cs="Times New Roman"/>
                <w:b w:val="0"/>
                <w:bCs/>
                <w:caps w:val="0"/>
                <w:color w:val="auto"/>
                <w:sz w:val="24"/>
                <w:szCs w:val="24"/>
                <w:highlight w:val="none"/>
                <w:lang w:eastAsia="zh-CN"/>
              </w:rPr>
              <w:t>。</w:t>
            </w:r>
          </w:p>
          <w:p w14:paraId="48A9123D">
            <w:pPr>
              <w:keepNext w:val="0"/>
              <w:keepLines w:val="0"/>
              <w:pageBreakBefore w:val="0"/>
              <w:widowControl w:val="0"/>
              <w:kinsoku/>
              <w:wordWrap/>
              <w:overflowPunct/>
              <w:topLinePunct w:val="0"/>
              <w:autoSpaceDE/>
              <w:autoSpaceDN/>
              <w:bidi w:val="0"/>
              <w:adjustRightInd/>
              <w:snapToGrid/>
              <w:spacing w:before="0" w:after="0" w:line="36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lang w:val="en-US" w:bidi="ar-SA"/>
              </w:rPr>
            </w:pPr>
            <w:r>
              <w:rPr>
                <w:rFonts w:hint="default" w:ascii="Times New Roman" w:hAnsi="Times New Roman" w:eastAsia="宋体" w:cs="Times New Roman"/>
                <w:b/>
                <w:bCs/>
                <w:color w:val="auto"/>
                <w:kern w:val="2"/>
                <w:sz w:val="21"/>
                <w:szCs w:val="21"/>
                <w:highlight w:val="none"/>
                <w:lang w:val="en-US" w:bidi="ar-SA"/>
              </w:rPr>
              <w:t>表</w:t>
            </w:r>
            <w:r>
              <w:rPr>
                <w:rFonts w:hint="default" w:ascii="Times New Roman" w:hAnsi="Times New Roman" w:cs="Times New Roman"/>
                <w:b/>
                <w:bCs/>
                <w:color w:val="auto"/>
                <w:kern w:val="2"/>
                <w:sz w:val="21"/>
                <w:szCs w:val="21"/>
                <w:highlight w:val="none"/>
                <w:lang w:val="en-US" w:eastAsia="zh-CN" w:bidi="ar-SA"/>
              </w:rPr>
              <w:t xml:space="preserve">4.8-9   </w:t>
            </w:r>
            <w:r>
              <w:rPr>
                <w:rFonts w:hint="default" w:ascii="Times New Roman" w:hAnsi="Times New Roman" w:eastAsia="宋体" w:cs="Times New Roman"/>
                <w:b/>
                <w:bCs/>
                <w:color w:val="auto"/>
                <w:kern w:val="2"/>
                <w:sz w:val="21"/>
                <w:szCs w:val="21"/>
                <w:highlight w:val="none"/>
                <w:lang w:val="en-US" w:bidi="ar-SA"/>
              </w:rPr>
              <w:t>监测计划表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1061"/>
              <w:gridCol w:w="1088"/>
              <w:gridCol w:w="1197"/>
              <w:gridCol w:w="3759"/>
            </w:tblGrid>
            <w:tr w14:paraId="55806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612" w:type="pct"/>
                  <w:tcBorders>
                    <w:tl2br w:val="nil"/>
                    <w:tr2bl w:val="nil"/>
                  </w:tcBorders>
                  <w:noWrap w:val="0"/>
                  <w:tcMar>
                    <w:left w:w="57" w:type="dxa"/>
                    <w:right w:w="57" w:type="dxa"/>
                  </w:tcMar>
                  <w:vAlign w:val="center"/>
                </w:tcPr>
                <w:p w14:paraId="27F14F4E">
                  <w:pPr>
                    <w:autoSpaceDE/>
                    <w:autoSpaceDN/>
                    <w:spacing w:before="0" w:after="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bidi="ar-SA"/>
                    </w:rPr>
                  </w:pPr>
                  <w:r>
                    <w:rPr>
                      <w:rFonts w:hint="default" w:ascii="Times New Roman" w:hAnsi="Times New Roman" w:eastAsia="宋体" w:cs="Times New Roman"/>
                      <w:b/>
                      <w:color w:val="auto"/>
                      <w:kern w:val="2"/>
                      <w:sz w:val="21"/>
                      <w:szCs w:val="21"/>
                      <w:highlight w:val="none"/>
                      <w:lang w:val="en-US" w:bidi="ar-SA"/>
                    </w:rPr>
                    <w:t>要素</w:t>
                  </w:r>
                </w:p>
              </w:tc>
              <w:tc>
                <w:tcPr>
                  <w:tcW w:w="655" w:type="pct"/>
                  <w:tcBorders>
                    <w:tl2br w:val="nil"/>
                    <w:tr2bl w:val="nil"/>
                  </w:tcBorders>
                  <w:noWrap w:val="0"/>
                  <w:tcMar>
                    <w:left w:w="57" w:type="dxa"/>
                    <w:right w:w="57" w:type="dxa"/>
                  </w:tcMar>
                  <w:vAlign w:val="center"/>
                </w:tcPr>
                <w:p w14:paraId="20B58785">
                  <w:pPr>
                    <w:autoSpaceDE/>
                    <w:autoSpaceDN/>
                    <w:spacing w:before="0" w:after="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bidi="ar-SA"/>
                    </w:rPr>
                  </w:pPr>
                  <w:r>
                    <w:rPr>
                      <w:rFonts w:hint="default" w:ascii="Times New Roman" w:hAnsi="Times New Roman" w:eastAsia="宋体" w:cs="Times New Roman"/>
                      <w:b/>
                      <w:color w:val="auto"/>
                      <w:kern w:val="2"/>
                      <w:sz w:val="21"/>
                      <w:szCs w:val="21"/>
                      <w:highlight w:val="none"/>
                      <w:lang w:val="en-US" w:bidi="ar-SA"/>
                    </w:rPr>
                    <w:t>监测类别</w:t>
                  </w:r>
                </w:p>
              </w:tc>
              <w:tc>
                <w:tcPr>
                  <w:tcW w:w="672" w:type="pct"/>
                  <w:tcBorders>
                    <w:tl2br w:val="nil"/>
                    <w:tr2bl w:val="nil"/>
                  </w:tcBorders>
                  <w:noWrap w:val="0"/>
                  <w:tcMar>
                    <w:left w:w="57" w:type="dxa"/>
                    <w:right w:w="57" w:type="dxa"/>
                  </w:tcMar>
                  <w:vAlign w:val="center"/>
                </w:tcPr>
                <w:p w14:paraId="7165F30D">
                  <w:pPr>
                    <w:autoSpaceDE/>
                    <w:autoSpaceDN/>
                    <w:spacing w:before="0" w:after="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bidi="ar-SA"/>
                    </w:rPr>
                  </w:pPr>
                  <w:r>
                    <w:rPr>
                      <w:rFonts w:hint="default" w:ascii="Times New Roman" w:hAnsi="Times New Roman" w:eastAsia="宋体" w:cs="Times New Roman"/>
                      <w:b/>
                      <w:color w:val="auto"/>
                      <w:kern w:val="2"/>
                      <w:sz w:val="21"/>
                      <w:szCs w:val="21"/>
                      <w:highlight w:val="none"/>
                      <w:lang w:val="en-US" w:bidi="ar-SA"/>
                    </w:rPr>
                    <w:t>污染因子</w:t>
                  </w:r>
                </w:p>
              </w:tc>
              <w:tc>
                <w:tcPr>
                  <w:tcW w:w="739" w:type="pct"/>
                  <w:tcBorders>
                    <w:tl2br w:val="nil"/>
                    <w:tr2bl w:val="nil"/>
                  </w:tcBorders>
                  <w:noWrap w:val="0"/>
                  <w:tcMar>
                    <w:left w:w="57" w:type="dxa"/>
                    <w:right w:w="57" w:type="dxa"/>
                  </w:tcMar>
                  <w:vAlign w:val="center"/>
                </w:tcPr>
                <w:p w14:paraId="2D33E12C">
                  <w:pPr>
                    <w:autoSpaceDE/>
                    <w:autoSpaceDN/>
                    <w:spacing w:before="0" w:after="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bidi="ar-SA"/>
                    </w:rPr>
                  </w:pPr>
                  <w:r>
                    <w:rPr>
                      <w:rFonts w:hint="default" w:ascii="Times New Roman" w:hAnsi="Times New Roman" w:eastAsia="宋体" w:cs="Times New Roman"/>
                      <w:b/>
                      <w:color w:val="auto"/>
                      <w:kern w:val="2"/>
                      <w:sz w:val="21"/>
                      <w:szCs w:val="21"/>
                      <w:highlight w:val="none"/>
                      <w:lang w:val="en-US" w:bidi="ar-SA"/>
                    </w:rPr>
                    <w:t>监测频率</w:t>
                  </w:r>
                </w:p>
              </w:tc>
              <w:tc>
                <w:tcPr>
                  <w:tcW w:w="2321" w:type="pct"/>
                  <w:tcBorders>
                    <w:tl2br w:val="nil"/>
                    <w:tr2bl w:val="nil"/>
                  </w:tcBorders>
                  <w:noWrap w:val="0"/>
                  <w:tcMar>
                    <w:left w:w="57" w:type="dxa"/>
                    <w:right w:w="57" w:type="dxa"/>
                  </w:tcMar>
                  <w:vAlign w:val="center"/>
                </w:tcPr>
                <w:p w14:paraId="0B57CD49">
                  <w:pPr>
                    <w:autoSpaceDE/>
                    <w:autoSpaceDN/>
                    <w:spacing w:before="0" w:after="0" w:line="240" w:lineRule="auto"/>
                    <w:ind w:left="0" w:right="0" w:firstLine="0" w:firstLineChars="0"/>
                    <w:jc w:val="center"/>
                    <w:rPr>
                      <w:rFonts w:hint="default" w:ascii="Times New Roman" w:hAnsi="Times New Roman" w:eastAsia="宋体" w:cs="Times New Roman"/>
                      <w:b/>
                      <w:color w:val="auto"/>
                      <w:kern w:val="2"/>
                      <w:sz w:val="21"/>
                      <w:szCs w:val="21"/>
                      <w:highlight w:val="none"/>
                      <w:lang w:val="en-US" w:bidi="ar-SA"/>
                    </w:rPr>
                  </w:pPr>
                  <w:r>
                    <w:rPr>
                      <w:rFonts w:hint="default" w:ascii="Times New Roman" w:hAnsi="Times New Roman" w:eastAsia="宋体" w:cs="Times New Roman"/>
                      <w:b/>
                      <w:color w:val="auto"/>
                      <w:kern w:val="2"/>
                      <w:sz w:val="21"/>
                      <w:szCs w:val="21"/>
                      <w:highlight w:val="none"/>
                      <w:lang w:val="en-US" w:bidi="ar-SA"/>
                    </w:rPr>
                    <w:t>标准</w:t>
                  </w:r>
                </w:p>
              </w:tc>
            </w:tr>
            <w:tr w14:paraId="27DC5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612" w:type="pct"/>
                  <w:tcBorders>
                    <w:tl2br w:val="nil"/>
                    <w:tr2bl w:val="nil"/>
                  </w:tcBorders>
                  <w:noWrap w:val="0"/>
                  <w:tcMar>
                    <w:left w:w="57" w:type="dxa"/>
                    <w:right w:w="57" w:type="dxa"/>
                  </w:tcMar>
                  <w:vAlign w:val="center"/>
                </w:tcPr>
                <w:p w14:paraId="4F1B4DC3">
                  <w:pPr>
                    <w:autoSpaceDE/>
                    <w:autoSpaceDN/>
                    <w:spacing w:before="0" w:after="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bidi="ar-SA"/>
                    </w:rPr>
                  </w:pPr>
                  <w:r>
                    <w:rPr>
                      <w:rFonts w:hint="default" w:ascii="Times New Roman" w:hAnsi="Times New Roman" w:eastAsia="宋体" w:cs="Times New Roman"/>
                      <w:color w:val="auto"/>
                      <w:kern w:val="2"/>
                      <w:sz w:val="21"/>
                      <w:szCs w:val="21"/>
                      <w:highlight w:val="none"/>
                      <w:lang w:val="en-US" w:bidi="ar-SA"/>
                    </w:rPr>
                    <w:t>噪声</w:t>
                  </w:r>
                </w:p>
              </w:tc>
              <w:tc>
                <w:tcPr>
                  <w:tcW w:w="655" w:type="pct"/>
                  <w:tcBorders>
                    <w:tl2br w:val="nil"/>
                    <w:tr2bl w:val="nil"/>
                  </w:tcBorders>
                  <w:noWrap w:val="0"/>
                  <w:tcMar>
                    <w:left w:w="57" w:type="dxa"/>
                    <w:right w:w="57" w:type="dxa"/>
                  </w:tcMar>
                  <w:vAlign w:val="center"/>
                </w:tcPr>
                <w:p w14:paraId="29FB10F2">
                  <w:pPr>
                    <w:autoSpaceDE/>
                    <w:autoSpaceDN/>
                    <w:spacing w:before="0" w:after="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厂界四周</w:t>
                  </w:r>
                </w:p>
              </w:tc>
              <w:tc>
                <w:tcPr>
                  <w:tcW w:w="672" w:type="pct"/>
                  <w:tcBorders>
                    <w:tl2br w:val="nil"/>
                    <w:tr2bl w:val="nil"/>
                  </w:tcBorders>
                  <w:noWrap w:val="0"/>
                  <w:tcMar>
                    <w:left w:w="57" w:type="dxa"/>
                    <w:right w:w="57" w:type="dxa"/>
                  </w:tcMar>
                  <w:vAlign w:val="center"/>
                </w:tcPr>
                <w:p w14:paraId="19E7C7E2">
                  <w:pPr>
                    <w:autoSpaceDE/>
                    <w:autoSpaceDN/>
                    <w:spacing w:before="0" w:after="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bidi="ar-SA"/>
                    </w:rPr>
                  </w:pPr>
                  <w:r>
                    <w:rPr>
                      <w:rFonts w:hint="default" w:ascii="Times New Roman" w:hAnsi="Times New Roman" w:eastAsia="宋体" w:cs="Times New Roman"/>
                      <w:color w:val="auto"/>
                      <w:kern w:val="2"/>
                      <w:sz w:val="21"/>
                      <w:szCs w:val="21"/>
                      <w:highlight w:val="none"/>
                      <w:lang w:val="en-US" w:bidi="ar-SA"/>
                    </w:rPr>
                    <w:t>连续等效A声级</w:t>
                  </w:r>
                </w:p>
              </w:tc>
              <w:tc>
                <w:tcPr>
                  <w:tcW w:w="739" w:type="pct"/>
                  <w:tcBorders>
                    <w:tl2br w:val="nil"/>
                    <w:tr2bl w:val="nil"/>
                  </w:tcBorders>
                  <w:noWrap w:val="0"/>
                  <w:tcMar>
                    <w:left w:w="57" w:type="dxa"/>
                    <w:right w:w="57" w:type="dxa"/>
                  </w:tcMar>
                  <w:vAlign w:val="center"/>
                </w:tcPr>
                <w:p w14:paraId="3D7BA772">
                  <w:pPr>
                    <w:autoSpaceDE/>
                    <w:autoSpaceDN/>
                    <w:spacing w:before="0" w:after="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bidi="ar-SA"/>
                    </w:rPr>
                    <w:t>每季度1次</w:t>
                  </w:r>
                  <w:r>
                    <w:rPr>
                      <w:rFonts w:hint="default" w:ascii="Times New Roman" w:hAnsi="Times New Roman" w:cs="Times New Roman"/>
                      <w:color w:val="auto"/>
                      <w:kern w:val="2"/>
                      <w:sz w:val="21"/>
                      <w:szCs w:val="21"/>
                      <w:highlight w:val="none"/>
                      <w:lang w:val="en-US" w:eastAsia="zh-CN" w:bidi="ar-SA"/>
                    </w:rPr>
                    <w:t>，昼间、夜间各1次</w:t>
                  </w:r>
                </w:p>
              </w:tc>
              <w:tc>
                <w:tcPr>
                  <w:tcW w:w="2321" w:type="pct"/>
                  <w:tcBorders>
                    <w:tl2br w:val="nil"/>
                    <w:tr2bl w:val="nil"/>
                  </w:tcBorders>
                  <w:noWrap w:val="0"/>
                  <w:tcMar>
                    <w:left w:w="57" w:type="dxa"/>
                    <w:right w:w="57" w:type="dxa"/>
                  </w:tcMar>
                  <w:vAlign w:val="center"/>
                </w:tcPr>
                <w:p w14:paraId="7524BC35">
                  <w:pPr>
                    <w:autoSpaceDE/>
                    <w:autoSpaceDN/>
                    <w:spacing w:before="0" w:after="0" w:line="240" w:lineRule="auto"/>
                    <w:ind w:left="0" w:right="0" w:firstLine="0" w:firstLineChars="0"/>
                    <w:jc w:val="center"/>
                    <w:rPr>
                      <w:rFonts w:hint="default" w:ascii="Times New Roman" w:hAnsi="Times New Roman" w:eastAsia="宋体" w:cs="Times New Roman"/>
                      <w:color w:val="auto"/>
                      <w:kern w:val="2"/>
                      <w:sz w:val="21"/>
                      <w:szCs w:val="21"/>
                      <w:highlight w:val="none"/>
                      <w:lang w:val="en-US" w:bidi="ar-SA"/>
                    </w:rPr>
                  </w:pPr>
                  <w:r>
                    <w:rPr>
                      <w:rFonts w:hint="default" w:ascii="Times New Roman" w:hAnsi="Times New Roman" w:eastAsia="宋体" w:cs="Times New Roman"/>
                      <w:color w:val="auto"/>
                      <w:kern w:val="2"/>
                      <w:sz w:val="21"/>
                      <w:szCs w:val="21"/>
                      <w:highlight w:val="none"/>
                      <w:lang w:val="en-US" w:bidi="ar-SA"/>
                    </w:rPr>
                    <w:t>《工业企业厂界环境噪声排放标准》（GB12348—2008）中</w:t>
                  </w:r>
                  <w:r>
                    <w:rPr>
                      <w:rFonts w:hint="default" w:ascii="Times New Roman" w:hAnsi="Times New Roman" w:cs="Times New Roman"/>
                      <w:color w:val="auto"/>
                      <w:kern w:val="2"/>
                      <w:sz w:val="21"/>
                      <w:szCs w:val="21"/>
                      <w:highlight w:val="none"/>
                      <w:lang w:val="en-US" w:eastAsia="zh-CN" w:bidi="ar-SA"/>
                    </w:rPr>
                    <w:t>3</w:t>
                  </w:r>
                  <w:r>
                    <w:rPr>
                      <w:rFonts w:hint="default" w:ascii="Times New Roman" w:hAnsi="Times New Roman" w:eastAsia="宋体" w:cs="Times New Roman"/>
                      <w:color w:val="auto"/>
                      <w:kern w:val="2"/>
                      <w:sz w:val="21"/>
                      <w:szCs w:val="21"/>
                      <w:highlight w:val="none"/>
                      <w:lang w:val="en-US" w:bidi="ar-SA"/>
                    </w:rPr>
                    <w:t>类标准</w:t>
                  </w:r>
                </w:p>
              </w:tc>
            </w:tr>
          </w:tbl>
          <w:p w14:paraId="3F7E0B6D">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left"/>
              <w:textAlignment w:val="auto"/>
              <w:rPr>
                <w:rFonts w:hint="default" w:ascii="Times New Roman" w:hAnsi="Times New Roman" w:eastAsia="宋体" w:cs="Times New Roman"/>
                <w:b/>
                <w:bCs w:val="0"/>
                <w:caps w:val="0"/>
                <w:color w:val="auto"/>
                <w:sz w:val="24"/>
                <w:szCs w:val="24"/>
                <w:highlight w:val="yellow"/>
              </w:rPr>
            </w:pPr>
            <w:r>
              <w:rPr>
                <w:rFonts w:hint="default" w:ascii="Times New Roman" w:hAnsi="Times New Roman" w:cs="Times New Roman"/>
                <w:color w:val="auto"/>
                <w:sz w:val="24"/>
                <w:szCs w:val="24"/>
                <w:highlight w:val="none"/>
              </w:rPr>
              <w:t>综上所述，本项目运营期</w:t>
            </w:r>
            <w:r>
              <w:rPr>
                <w:rFonts w:hint="default" w:ascii="Times New Roman" w:hAnsi="Times New Roman" w:cs="Times New Roman"/>
                <w:color w:val="auto"/>
                <w:sz w:val="24"/>
                <w:szCs w:val="24"/>
                <w:highlight w:val="none"/>
                <w:lang w:eastAsia="zh-CN"/>
              </w:rPr>
              <w:t>噪声</w:t>
            </w:r>
            <w:r>
              <w:rPr>
                <w:rFonts w:hint="default" w:ascii="Times New Roman" w:hAnsi="Times New Roman" w:cs="Times New Roman"/>
                <w:color w:val="auto"/>
                <w:sz w:val="24"/>
                <w:szCs w:val="24"/>
                <w:highlight w:val="none"/>
              </w:rPr>
              <w:t>不会对周边环境产生显著影响。</w:t>
            </w:r>
          </w:p>
          <w:p w14:paraId="35B08B9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val="0"/>
                <w:caps w:val="0"/>
                <w:color w:val="auto"/>
                <w:sz w:val="24"/>
                <w:szCs w:val="24"/>
              </w:rPr>
            </w:pPr>
            <w:r>
              <w:rPr>
                <w:rFonts w:hint="default" w:ascii="Times New Roman" w:hAnsi="Times New Roman" w:cs="Times New Roman"/>
                <w:b/>
                <w:bCs w:val="0"/>
                <w:caps w:val="0"/>
                <w:color w:val="auto"/>
                <w:sz w:val="24"/>
                <w:szCs w:val="24"/>
                <w:lang w:val="en-US" w:eastAsia="zh-CN"/>
              </w:rPr>
              <w:t>9</w:t>
            </w:r>
            <w:r>
              <w:rPr>
                <w:rFonts w:hint="default" w:ascii="Times New Roman" w:hAnsi="Times New Roman" w:eastAsia="宋体" w:cs="Times New Roman"/>
                <w:b/>
                <w:bCs w:val="0"/>
                <w:caps w:val="0"/>
                <w:color w:val="auto"/>
                <w:sz w:val="24"/>
                <w:szCs w:val="24"/>
                <w:lang w:eastAsia="zh-CN"/>
              </w:rPr>
              <w:t>、</w:t>
            </w:r>
            <w:r>
              <w:rPr>
                <w:rFonts w:hint="default" w:ascii="Times New Roman" w:hAnsi="Times New Roman" w:eastAsia="宋体" w:cs="Times New Roman"/>
                <w:b/>
                <w:bCs w:val="0"/>
                <w:caps w:val="0"/>
                <w:color w:val="auto"/>
                <w:sz w:val="24"/>
                <w:szCs w:val="24"/>
              </w:rPr>
              <w:t>固废</w:t>
            </w:r>
          </w:p>
          <w:p w14:paraId="1098DC58">
            <w:pPr>
              <w:widowControl/>
              <w:suppressAutoHyphens/>
              <w:adjustRightInd w:val="0"/>
              <w:snapToGrid w:val="0"/>
              <w:spacing w:before="60" w:after="0" w:line="360" w:lineRule="auto"/>
              <w:ind w:right="113" w:firstLine="482" w:firstLineChars="200"/>
              <w:jc w:val="both"/>
              <w:textAlignment w:val="center"/>
              <w:rPr>
                <w:rFonts w:hint="default" w:ascii="Times New Roman" w:hAnsi="Times New Roman" w:eastAsia="宋体" w:cs="Times New Roman"/>
                <w:b/>
                <w:bCs w:val="0"/>
                <w:snapToGrid w:val="0"/>
                <w:color w:val="auto"/>
                <w:kern w:val="0"/>
                <w:sz w:val="24"/>
                <w:szCs w:val="21"/>
                <w:lang w:val="en-US" w:eastAsia="zh-CN" w:bidi="ar-SA"/>
              </w:rPr>
            </w:pPr>
            <w:r>
              <w:rPr>
                <w:rFonts w:hint="default" w:ascii="Times New Roman" w:hAnsi="Times New Roman" w:cs="Times New Roman"/>
                <w:b/>
                <w:bCs w:val="0"/>
                <w:snapToGrid w:val="0"/>
                <w:color w:val="auto"/>
                <w:kern w:val="0"/>
                <w:sz w:val="24"/>
                <w:szCs w:val="21"/>
                <w:lang w:val="en-US" w:eastAsia="zh-CN" w:bidi="ar-SA"/>
              </w:rPr>
              <w:t>9</w:t>
            </w:r>
            <w:r>
              <w:rPr>
                <w:rFonts w:hint="default" w:ascii="Times New Roman" w:hAnsi="Times New Roman" w:eastAsia="宋体" w:cs="Times New Roman"/>
                <w:b/>
                <w:bCs w:val="0"/>
                <w:snapToGrid w:val="0"/>
                <w:color w:val="auto"/>
                <w:kern w:val="0"/>
                <w:sz w:val="24"/>
                <w:szCs w:val="21"/>
                <w:lang w:val="en-US" w:eastAsia="zh-CN" w:bidi="ar-SA"/>
              </w:rPr>
              <w:t>.1固废产生情况</w:t>
            </w:r>
          </w:p>
          <w:p w14:paraId="28256457">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bCs/>
                <w:snapToGrid w:val="0"/>
                <w:color w:val="auto"/>
                <w:kern w:val="0"/>
                <w:sz w:val="24"/>
                <w:szCs w:val="24"/>
                <w:lang w:val="en-US" w:eastAsia="zh-CN" w:bidi="ar-SA"/>
              </w:rPr>
            </w:pPr>
            <w:r>
              <w:rPr>
                <w:rFonts w:hint="default" w:ascii="Times New Roman" w:hAnsi="Times New Roman" w:eastAsia="宋体" w:cs="Times New Roman"/>
                <w:bCs/>
                <w:snapToGrid w:val="0"/>
                <w:color w:val="auto"/>
                <w:kern w:val="0"/>
                <w:sz w:val="24"/>
                <w:szCs w:val="21"/>
                <w:lang w:val="en-US" w:eastAsia="zh-CN" w:bidi="ar-SA"/>
              </w:rPr>
              <w:t>本项目固体废物主要包括</w:t>
            </w:r>
            <w:r>
              <w:rPr>
                <w:rFonts w:hint="default" w:ascii="Times New Roman" w:hAnsi="Times New Roman" w:cs="Times New Roman"/>
                <w:bCs/>
                <w:snapToGrid w:val="0"/>
                <w:color w:val="auto"/>
                <w:kern w:val="0"/>
                <w:sz w:val="24"/>
                <w:szCs w:val="21"/>
                <w:lang w:val="en-US" w:eastAsia="zh-CN" w:bidi="ar-SA"/>
              </w:rPr>
              <w:t>一般固体废物和危险废物、生活垃圾等，具体产生量分析如下</w:t>
            </w:r>
            <w:r>
              <w:rPr>
                <w:rFonts w:hint="default" w:ascii="Times New Roman" w:hAnsi="Times New Roman" w:eastAsia="宋体" w:cs="Times New Roman"/>
                <w:bCs/>
                <w:snapToGrid w:val="0"/>
                <w:color w:val="auto"/>
                <w:kern w:val="0"/>
                <w:sz w:val="24"/>
                <w:szCs w:val="21"/>
                <w:lang w:val="en-US" w:eastAsia="zh-CN" w:bidi="ar-SA"/>
              </w:rPr>
              <w:t>。</w:t>
            </w:r>
          </w:p>
          <w:p w14:paraId="28ED129F">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eastAsia" w:cs="Times New Roman"/>
                <w:b w:val="0"/>
                <w:bCs/>
                <w:snapToGrid w:val="0"/>
                <w:color w:val="auto"/>
                <w:kern w:val="0"/>
                <w:sz w:val="24"/>
                <w:szCs w:val="21"/>
                <w:highlight w:val="none"/>
                <w:lang w:val="en-US" w:eastAsia="zh-CN" w:bidi="ar-SA"/>
              </w:rPr>
              <w:t>9.1.1 一般固废</w:t>
            </w:r>
          </w:p>
          <w:p w14:paraId="725C6BDA">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（1）报废钢瓶</w:t>
            </w:r>
          </w:p>
          <w:p w14:paraId="2A4AE260">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钢瓶检验站</w:t>
            </w:r>
            <w:r>
              <w:rPr>
                <w:rFonts w:hint="default" w:ascii="Times New Roman" w:hAnsi="Times New Roman" w:eastAsia="宋体" w:cs="Times New Roman"/>
                <w:b w:val="0"/>
                <w:bCs/>
                <w:snapToGrid w:val="0"/>
                <w:color w:val="auto"/>
                <w:kern w:val="0"/>
                <w:sz w:val="24"/>
                <w:szCs w:val="21"/>
                <w:highlight w:val="none"/>
                <w:lang w:val="en-US" w:eastAsia="zh-CN" w:bidi="ar-SA"/>
              </w:rPr>
              <w:t>生产过程中会产生不合格的废钢瓶，企业每年废旧钢瓶检测量为</w:t>
            </w:r>
            <w:r>
              <w:rPr>
                <w:rFonts w:hint="default" w:ascii="Times New Roman" w:hAnsi="Times New Roman" w:cs="Times New Roman"/>
                <w:b w:val="0"/>
                <w:bCs/>
                <w:snapToGrid w:val="0"/>
                <w:color w:val="auto"/>
                <w:kern w:val="0"/>
                <w:sz w:val="24"/>
                <w:szCs w:val="21"/>
                <w:highlight w:val="none"/>
                <w:lang w:val="en-US" w:eastAsia="zh-CN" w:bidi="ar-SA"/>
              </w:rPr>
              <w:t>7</w:t>
            </w:r>
            <w:r>
              <w:rPr>
                <w:rFonts w:hint="default" w:ascii="Times New Roman" w:hAnsi="Times New Roman" w:eastAsia="宋体" w:cs="Times New Roman"/>
                <w:b w:val="0"/>
                <w:bCs/>
                <w:snapToGrid w:val="0"/>
                <w:color w:val="auto"/>
                <w:kern w:val="0"/>
                <w:sz w:val="24"/>
                <w:szCs w:val="21"/>
                <w:highlight w:val="none"/>
                <w:lang w:val="en-US" w:eastAsia="zh-CN" w:bidi="ar-SA"/>
              </w:rPr>
              <w:t>万只，约产生</w:t>
            </w:r>
            <w:r>
              <w:rPr>
                <w:rFonts w:hint="default" w:ascii="Times New Roman" w:hAnsi="Times New Roman" w:cs="Times New Roman"/>
                <w:b w:val="0"/>
                <w:bCs/>
                <w:snapToGrid w:val="0"/>
                <w:color w:val="auto"/>
                <w:kern w:val="0"/>
                <w:sz w:val="24"/>
                <w:szCs w:val="21"/>
                <w:highlight w:val="none"/>
                <w:lang w:val="en-US" w:eastAsia="zh-CN" w:bidi="ar-SA"/>
              </w:rPr>
              <w:t>7000只</w:t>
            </w:r>
            <w:r>
              <w:rPr>
                <w:rFonts w:hint="default" w:ascii="Times New Roman" w:hAnsi="Times New Roman" w:eastAsia="宋体" w:cs="Times New Roman"/>
                <w:b w:val="0"/>
                <w:bCs/>
                <w:snapToGrid w:val="0"/>
                <w:color w:val="auto"/>
                <w:kern w:val="0"/>
                <w:sz w:val="24"/>
                <w:szCs w:val="21"/>
                <w:highlight w:val="none"/>
                <w:lang w:val="en-US" w:eastAsia="zh-CN" w:bidi="ar-SA"/>
              </w:rPr>
              <w:t>报废钢瓶(重量约15kg/只)，年报废量约为</w:t>
            </w:r>
            <w:r>
              <w:rPr>
                <w:rFonts w:hint="default" w:ascii="Times New Roman" w:hAnsi="Times New Roman" w:cs="Times New Roman"/>
                <w:b w:val="0"/>
                <w:bCs/>
                <w:snapToGrid w:val="0"/>
                <w:color w:val="auto"/>
                <w:kern w:val="0"/>
                <w:sz w:val="24"/>
                <w:szCs w:val="21"/>
                <w:highlight w:val="none"/>
                <w:lang w:val="en-US" w:eastAsia="zh-CN" w:bidi="ar-SA"/>
              </w:rPr>
              <w:t>105</w:t>
            </w:r>
            <w:r>
              <w:rPr>
                <w:rFonts w:hint="default" w:ascii="Times New Roman" w:hAnsi="Times New Roman" w:eastAsia="宋体" w:cs="Times New Roman"/>
                <w:b w:val="0"/>
                <w:bCs/>
                <w:snapToGrid w:val="0"/>
                <w:color w:val="auto"/>
                <w:kern w:val="0"/>
                <w:sz w:val="24"/>
                <w:szCs w:val="21"/>
                <w:highlight w:val="none"/>
                <w:lang w:val="en-US" w:eastAsia="zh-CN" w:bidi="ar-SA"/>
              </w:rPr>
              <w:t>t，收集后交专业</w:t>
            </w:r>
            <w:r>
              <w:rPr>
                <w:rFonts w:hint="default" w:ascii="Times New Roman" w:hAnsi="Times New Roman" w:cs="Times New Roman"/>
                <w:b w:val="0"/>
                <w:bCs/>
                <w:snapToGrid w:val="0"/>
                <w:color w:val="auto"/>
                <w:kern w:val="0"/>
                <w:sz w:val="24"/>
                <w:szCs w:val="21"/>
                <w:highlight w:val="none"/>
                <w:lang w:val="en-US" w:eastAsia="zh-CN" w:bidi="ar-SA"/>
              </w:rPr>
              <w:t>物资回收</w:t>
            </w:r>
            <w:r>
              <w:rPr>
                <w:rFonts w:hint="default" w:ascii="Times New Roman" w:hAnsi="Times New Roman" w:eastAsia="宋体" w:cs="Times New Roman"/>
                <w:b w:val="0"/>
                <w:bCs/>
                <w:snapToGrid w:val="0"/>
                <w:color w:val="auto"/>
                <w:kern w:val="0"/>
                <w:sz w:val="24"/>
                <w:szCs w:val="21"/>
                <w:highlight w:val="none"/>
                <w:lang w:val="en-US" w:eastAsia="zh-CN" w:bidi="ar-SA"/>
              </w:rPr>
              <w:t>公司回收处理。</w:t>
            </w:r>
          </w:p>
          <w:p w14:paraId="398FD385">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（2）焚烧炉渣</w:t>
            </w:r>
          </w:p>
          <w:p w14:paraId="35F23F88">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0000FF"/>
                <w:kern w:val="0"/>
                <w:sz w:val="24"/>
                <w:szCs w:val="21"/>
                <w:highlight w:val="none"/>
                <w:lang w:val="en-US" w:eastAsia="zh-CN" w:bidi="ar-SA"/>
              </w:rPr>
              <w:t>项目废旧钢瓶</w:t>
            </w:r>
            <w:r>
              <w:rPr>
                <w:rFonts w:hint="eastAsia" w:cs="Times New Roman"/>
                <w:b w:val="0"/>
                <w:bCs/>
                <w:snapToGrid w:val="0"/>
                <w:color w:val="0000FF"/>
                <w:kern w:val="0"/>
                <w:sz w:val="24"/>
                <w:szCs w:val="21"/>
                <w:highlight w:val="none"/>
                <w:lang w:val="en-US" w:eastAsia="zh-CN" w:bidi="ar-SA"/>
              </w:rPr>
              <w:t>焚烧</w:t>
            </w:r>
            <w:r>
              <w:rPr>
                <w:rFonts w:hint="default" w:ascii="Times New Roman" w:hAnsi="Times New Roman" w:eastAsia="宋体" w:cs="Times New Roman"/>
                <w:b w:val="0"/>
                <w:bCs/>
                <w:snapToGrid w:val="0"/>
                <w:color w:val="0000FF"/>
                <w:kern w:val="0"/>
                <w:sz w:val="24"/>
                <w:szCs w:val="21"/>
                <w:highlight w:val="none"/>
                <w:lang w:val="en-US" w:eastAsia="zh-CN" w:bidi="ar-SA"/>
              </w:rPr>
              <w:t>过程中，除一部分以烟尘形式随燃烧废气带走，另有部分较大颗粒，以灰渣形式落入</w:t>
            </w:r>
            <w:r>
              <w:rPr>
                <w:rFonts w:hint="eastAsia" w:cs="Times New Roman"/>
                <w:b w:val="0"/>
                <w:bCs/>
                <w:snapToGrid w:val="0"/>
                <w:color w:val="0000FF"/>
                <w:kern w:val="0"/>
                <w:sz w:val="24"/>
                <w:szCs w:val="21"/>
                <w:highlight w:val="none"/>
                <w:lang w:val="en-US" w:eastAsia="zh-CN" w:bidi="ar-SA"/>
              </w:rPr>
              <w:t>焚烧</w:t>
            </w:r>
            <w:r>
              <w:rPr>
                <w:rFonts w:hint="default" w:ascii="Times New Roman" w:hAnsi="Times New Roman" w:eastAsia="宋体" w:cs="Times New Roman"/>
                <w:b w:val="0"/>
                <w:bCs/>
                <w:snapToGrid w:val="0"/>
                <w:color w:val="0000FF"/>
                <w:kern w:val="0"/>
                <w:sz w:val="24"/>
                <w:szCs w:val="21"/>
                <w:highlight w:val="none"/>
                <w:lang w:val="en-US" w:eastAsia="zh-CN" w:bidi="ar-SA"/>
              </w:rPr>
              <w:t>炉底部，形成废渣。类比同类型项目，此部分废渣产生量约</w:t>
            </w:r>
            <w:r>
              <w:rPr>
                <w:rFonts w:hint="eastAsia" w:cs="Times New Roman"/>
                <w:b w:val="0"/>
                <w:bCs/>
                <w:snapToGrid w:val="0"/>
                <w:color w:val="0000FF"/>
                <w:kern w:val="0"/>
                <w:sz w:val="24"/>
                <w:szCs w:val="21"/>
                <w:highlight w:val="none"/>
                <w:lang w:val="en-US" w:eastAsia="zh-CN" w:bidi="ar-SA"/>
              </w:rPr>
              <w:t>3kg</w:t>
            </w:r>
            <w:r>
              <w:rPr>
                <w:rFonts w:hint="default" w:ascii="Times New Roman" w:hAnsi="Times New Roman" w:eastAsia="宋体" w:cs="Times New Roman"/>
                <w:b w:val="0"/>
                <w:bCs/>
                <w:snapToGrid w:val="0"/>
                <w:color w:val="0000FF"/>
                <w:kern w:val="0"/>
                <w:sz w:val="24"/>
                <w:szCs w:val="21"/>
                <w:highlight w:val="none"/>
                <w:lang w:val="en-US" w:eastAsia="zh-CN" w:bidi="ar-SA"/>
              </w:rPr>
              <w:t>/只，则项目</w:t>
            </w:r>
            <w:r>
              <w:rPr>
                <w:rFonts w:hint="eastAsia" w:cs="Times New Roman"/>
                <w:b w:val="0"/>
                <w:bCs/>
                <w:snapToGrid w:val="0"/>
                <w:color w:val="0000FF"/>
                <w:kern w:val="0"/>
                <w:sz w:val="24"/>
                <w:szCs w:val="21"/>
                <w:highlight w:val="none"/>
                <w:lang w:val="en-US" w:eastAsia="zh-CN" w:bidi="ar-SA"/>
              </w:rPr>
              <w:t>焚烧</w:t>
            </w:r>
            <w:r>
              <w:rPr>
                <w:rFonts w:hint="default" w:ascii="Times New Roman" w:hAnsi="Times New Roman" w:eastAsia="宋体" w:cs="Times New Roman"/>
                <w:b w:val="0"/>
                <w:bCs/>
                <w:snapToGrid w:val="0"/>
                <w:color w:val="0000FF"/>
                <w:kern w:val="0"/>
                <w:sz w:val="24"/>
                <w:szCs w:val="21"/>
                <w:highlight w:val="none"/>
                <w:lang w:val="en-US" w:eastAsia="zh-CN" w:bidi="ar-SA"/>
              </w:rPr>
              <w:t>废渣产生量为</w:t>
            </w:r>
            <w:r>
              <w:rPr>
                <w:rFonts w:hint="eastAsia" w:cs="Times New Roman"/>
                <w:b w:val="0"/>
                <w:bCs/>
                <w:snapToGrid w:val="0"/>
                <w:color w:val="0000FF"/>
                <w:kern w:val="0"/>
                <w:sz w:val="24"/>
                <w:szCs w:val="21"/>
                <w:highlight w:val="none"/>
                <w:lang w:val="en-US" w:eastAsia="zh-CN" w:bidi="ar-SA"/>
              </w:rPr>
              <w:t>0.18</w:t>
            </w:r>
            <w:r>
              <w:rPr>
                <w:rFonts w:hint="default" w:ascii="Times New Roman" w:hAnsi="Times New Roman" w:eastAsia="宋体" w:cs="Times New Roman"/>
                <w:b w:val="0"/>
                <w:bCs/>
                <w:snapToGrid w:val="0"/>
                <w:color w:val="0000FF"/>
                <w:kern w:val="0"/>
                <w:sz w:val="24"/>
                <w:szCs w:val="21"/>
                <w:highlight w:val="none"/>
                <w:lang w:val="en-US" w:eastAsia="zh-CN" w:bidi="ar-SA"/>
              </w:rPr>
              <w:t>t/a。</w:t>
            </w:r>
          </w:p>
          <w:p w14:paraId="6E7C6CE6">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（3）喷淋塔污泥</w:t>
            </w:r>
          </w:p>
          <w:p w14:paraId="107E04E8">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项目</w:t>
            </w:r>
            <w:r>
              <w:rPr>
                <w:rFonts w:hint="eastAsia" w:cs="Times New Roman"/>
                <w:b w:val="0"/>
                <w:bCs/>
                <w:snapToGrid w:val="0"/>
                <w:color w:val="auto"/>
                <w:kern w:val="0"/>
                <w:sz w:val="24"/>
                <w:szCs w:val="21"/>
                <w:highlight w:val="none"/>
                <w:lang w:val="en-US" w:eastAsia="zh-CN" w:bidi="ar-SA"/>
              </w:rPr>
              <w:t>焚烧</w:t>
            </w:r>
            <w:r>
              <w:rPr>
                <w:rFonts w:hint="default" w:ascii="Times New Roman" w:hAnsi="Times New Roman" w:eastAsia="宋体" w:cs="Times New Roman"/>
                <w:b w:val="0"/>
                <w:bCs/>
                <w:snapToGrid w:val="0"/>
                <w:color w:val="auto"/>
                <w:kern w:val="0"/>
                <w:sz w:val="24"/>
                <w:szCs w:val="21"/>
                <w:highlight w:val="none"/>
                <w:lang w:val="en-US" w:eastAsia="zh-CN" w:bidi="ar-SA"/>
              </w:rPr>
              <w:t>废气接入水喷淋处理，可去除30%的颗粒物，根据工程分析核算，项目污泥产生量约为0.09t/a，经沉淀后捞出作为一般固废外委回收处理。</w:t>
            </w:r>
          </w:p>
          <w:p w14:paraId="5DB92D64">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（4）</w:t>
            </w:r>
            <w:r>
              <w:rPr>
                <w:rFonts w:hint="default" w:ascii="Times New Roman" w:hAnsi="Times New Roman" w:eastAsia="宋体" w:cs="Times New Roman"/>
                <w:b w:val="0"/>
                <w:bCs/>
                <w:snapToGrid w:val="0"/>
                <w:color w:val="auto"/>
                <w:kern w:val="0"/>
                <w:sz w:val="24"/>
                <w:szCs w:val="21"/>
                <w:highlight w:val="none"/>
                <w:lang w:val="en-US" w:eastAsia="zh-CN" w:bidi="ar-SA"/>
              </w:rPr>
              <w:t>废钢丸</w:t>
            </w:r>
          </w:p>
          <w:p w14:paraId="18794EA6">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项目抛丸过程使用的钢丸需定期更换，每2个月更换一次，废钢丸产生量为</w:t>
            </w:r>
            <w:r>
              <w:rPr>
                <w:rFonts w:hint="default" w:ascii="Times New Roman" w:hAnsi="Times New Roman" w:cs="Times New Roman"/>
                <w:b w:val="0"/>
                <w:bCs/>
                <w:snapToGrid w:val="0"/>
                <w:color w:val="auto"/>
                <w:kern w:val="0"/>
                <w:sz w:val="24"/>
                <w:szCs w:val="21"/>
                <w:highlight w:val="none"/>
                <w:lang w:val="en-US" w:eastAsia="zh-CN" w:bidi="ar-SA"/>
              </w:rPr>
              <w:t>5</w:t>
            </w:r>
            <w:r>
              <w:rPr>
                <w:rFonts w:hint="default" w:ascii="Times New Roman" w:hAnsi="Times New Roman" w:eastAsia="宋体" w:cs="Times New Roman"/>
                <w:b w:val="0"/>
                <w:bCs/>
                <w:snapToGrid w:val="0"/>
                <w:color w:val="auto"/>
                <w:kern w:val="0"/>
                <w:sz w:val="24"/>
                <w:szCs w:val="21"/>
                <w:highlight w:val="none"/>
                <w:lang w:val="en-US" w:eastAsia="zh-CN" w:bidi="ar-SA"/>
              </w:rPr>
              <w:t>t</w:t>
            </w:r>
            <w:r>
              <w:rPr>
                <w:rFonts w:hint="default" w:ascii="Times New Roman" w:hAnsi="Times New Roman" w:cs="Times New Roman"/>
                <w:b w:val="0"/>
                <w:bCs/>
                <w:snapToGrid w:val="0"/>
                <w:color w:val="auto"/>
                <w:kern w:val="0"/>
                <w:sz w:val="24"/>
                <w:szCs w:val="21"/>
                <w:highlight w:val="none"/>
                <w:lang w:val="en-US" w:eastAsia="zh-CN" w:bidi="ar-SA"/>
              </w:rPr>
              <w:t>/</w:t>
            </w:r>
            <w:r>
              <w:rPr>
                <w:rFonts w:hint="default" w:ascii="Times New Roman" w:hAnsi="Times New Roman" w:eastAsia="宋体" w:cs="Times New Roman"/>
                <w:b w:val="0"/>
                <w:bCs/>
                <w:snapToGrid w:val="0"/>
                <w:color w:val="auto"/>
                <w:kern w:val="0"/>
                <w:sz w:val="24"/>
                <w:szCs w:val="21"/>
                <w:highlight w:val="none"/>
                <w:lang w:val="en-US" w:eastAsia="zh-CN" w:bidi="ar-SA"/>
              </w:rPr>
              <w:t>a，收集后交专业公司回收处理。</w:t>
            </w:r>
          </w:p>
          <w:p w14:paraId="29A9634D">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（5）抛丸除尘灰</w:t>
            </w:r>
          </w:p>
          <w:p w14:paraId="6C1BAF5E">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根据项目废抛丸灰工程分析核算得出，项目废抛丸灰产生量为2.</w:t>
            </w:r>
            <w:r>
              <w:rPr>
                <w:rFonts w:hint="eastAsia" w:cs="Times New Roman"/>
                <w:b w:val="0"/>
                <w:bCs/>
                <w:snapToGrid w:val="0"/>
                <w:color w:val="auto"/>
                <w:kern w:val="0"/>
                <w:sz w:val="24"/>
                <w:szCs w:val="21"/>
                <w:highlight w:val="none"/>
                <w:lang w:val="en-US" w:eastAsia="zh-CN" w:bidi="ar-SA"/>
              </w:rPr>
              <w:t>2</w:t>
            </w:r>
            <w:r>
              <w:rPr>
                <w:rFonts w:hint="default" w:ascii="Times New Roman" w:hAnsi="Times New Roman" w:eastAsia="宋体" w:cs="Times New Roman"/>
                <w:b w:val="0"/>
                <w:bCs/>
                <w:snapToGrid w:val="0"/>
                <w:color w:val="auto"/>
                <w:kern w:val="0"/>
                <w:sz w:val="24"/>
                <w:szCs w:val="21"/>
                <w:highlight w:val="none"/>
                <w:lang w:val="en-US" w:eastAsia="zh-CN" w:bidi="ar-SA"/>
              </w:rPr>
              <w:t>8t/a，收集后交专业公司回收处理。</w:t>
            </w:r>
          </w:p>
          <w:p w14:paraId="0FD50862">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（6）废布袋</w:t>
            </w:r>
          </w:p>
          <w:p w14:paraId="1C2256C9">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抛丸废气布袋除尘器定期更换布袋，更换的废布袋产生量为0.05t/a，收集后交专业公司回收处理。</w:t>
            </w:r>
          </w:p>
          <w:p w14:paraId="1C4F5772">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（7）废角阀</w:t>
            </w:r>
          </w:p>
          <w:p w14:paraId="67E8FAC0">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项目卸阀工序会产生废角阀，根据工艺说明分析，约产生废角阀约</w:t>
            </w:r>
            <w:r>
              <w:rPr>
                <w:rFonts w:hint="default" w:ascii="Times New Roman" w:hAnsi="Times New Roman" w:cs="Times New Roman"/>
                <w:b w:val="0"/>
                <w:bCs/>
                <w:snapToGrid w:val="0"/>
                <w:color w:val="auto"/>
                <w:kern w:val="0"/>
                <w:sz w:val="24"/>
                <w:szCs w:val="21"/>
                <w:highlight w:val="none"/>
                <w:lang w:val="en-US" w:eastAsia="zh-CN" w:bidi="ar-SA"/>
              </w:rPr>
              <w:t>7</w:t>
            </w:r>
            <w:r>
              <w:rPr>
                <w:rFonts w:hint="default" w:ascii="Times New Roman" w:hAnsi="Times New Roman" w:eastAsia="宋体" w:cs="Times New Roman"/>
                <w:b w:val="0"/>
                <w:bCs/>
                <w:snapToGrid w:val="0"/>
                <w:color w:val="auto"/>
                <w:kern w:val="0"/>
                <w:sz w:val="24"/>
                <w:szCs w:val="21"/>
                <w:highlight w:val="none"/>
                <w:lang w:val="en-US" w:eastAsia="zh-CN" w:bidi="ar-SA"/>
              </w:rPr>
              <w:t>万只</w:t>
            </w:r>
            <w:r>
              <w:rPr>
                <w:rFonts w:hint="default" w:ascii="Times New Roman" w:hAnsi="Times New Roman" w:cs="Times New Roman"/>
                <w:b w:val="0"/>
                <w:bCs/>
                <w:snapToGrid w:val="0"/>
                <w:color w:val="auto"/>
                <w:kern w:val="0"/>
                <w:sz w:val="24"/>
                <w:szCs w:val="21"/>
                <w:highlight w:val="none"/>
                <w:lang w:val="en-US" w:eastAsia="zh-CN" w:bidi="ar-SA"/>
              </w:rPr>
              <w:t>（</w:t>
            </w:r>
            <w:r>
              <w:rPr>
                <w:rFonts w:hint="default" w:ascii="Times New Roman" w:hAnsi="Times New Roman" w:eastAsia="宋体" w:cs="Times New Roman"/>
                <w:b w:val="0"/>
                <w:bCs/>
                <w:snapToGrid w:val="0"/>
                <w:color w:val="auto"/>
                <w:kern w:val="0"/>
                <w:sz w:val="24"/>
                <w:szCs w:val="21"/>
                <w:highlight w:val="none"/>
                <w:lang w:val="en-US" w:eastAsia="zh-CN" w:bidi="ar-SA"/>
              </w:rPr>
              <w:t>重量约0.5kg/只</w:t>
            </w:r>
            <w:r>
              <w:rPr>
                <w:rFonts w:hint="default" w:ascii="Times New Roman" w:hAnsi="Times New Roman" w:cs="Times New Roman"/>
                <w:b w:val="0"/>
                <w:bCs/>
                <w:snapToGrid w:val="0"/>
                <w:color w:val="auto"/>
                <w:kern w:val="0"/>
                <w:sz w:val="24"/>
                <w:szCs w:val="21"/>
                <w:highlight w:val="none"/>
                <w:lang w:val="en-US" w:eastAsia="zh-CN" w:bidi="ar-SA"/>
              </w:rPr>
              <w:t>）</w:t>
            </w:r>
            <w:r>
              <w:rPr>
                <w:rFonts w:hint="default" w:ascii="Times New Roman" w:hAnsi="Times New Roman" w:eastAsia="宋体" w:cs="Times New Roman"/>
                <w:b w:val="0"/>
                <w:bCs/>
                <w:snapToGrid w:val="0"/>
                <w:color w:val="auto"/>
                <w:kern w:val="0"/>
                <w:sz w:val="24"/>
                <w:szCs w:val="21"/>
                <w:highlight w:val="none"/>
                <w:lang w:val="en-US" w:eastAsia="zh-CN" w:bidi="ar-SA"/>
              </w:rPr>
              <w:t>，年报废量约为</w:t>
            </w:r>
            <w:r>
              <w:rPr>
                <w:rFonts w:hint="default" w:ascii="Times New Roman" w:hAnsi="Times New Roman" w:cs="Times New Roman"/>
                <w:b w:val="0"/>
                <w:bCs/>
                <w:snapToGrid w:val="0"/>
                <w:color w:val="auto"/>
                <w:kern w:val="0"/>
                <w:sz w:val="24"/>
                <w:szCs w:val="21"/>
                <w:highlight w:val="none"/>
                <w:lang w:val="en-US" w:eastAsia="zh-CN" w:bidi="ar-SA"/>
              </w:rPr>
              <w:t>35</w:t>
            </w:r>
            <w:r>
              <w:rPr>
                <w:rFonts w:hint="default" w:ascii="Times New Roman" w:hAnsi="Times New Roman" w:eastAsia="宋体" w:cs="Times New Roman"/>
                <w:b w:val="0"/>
                <w:bCs/>
                <w:snapToGrid w:val="0"/>
                <w:color w:val="auto"/>
                <w:kern w:val="0"/>
                <w:sz w:val="24"/>
                <w:szCs w:val="21"/>
                <w:highlight w:val="none"/>
                <w:lang w:val="en-US" w:eastAsia="zh-CN" w:bidi="ar-SA"/>
              </w:rPr>
              <w:t>t，收集后交专业公司回收处理。</w:t>
            </w:r>
          </w:p>
          <w:p w14:paraId="12ECDB1E">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（8）塑粉回收废滤芯</w:t>
            </w:r>
          </w:p>
          <w:p w14:paraId="73359E90">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项目喷塑塑粉回收设备维护过程时滤芯需要更换半年一次，废滤芯产生量为0.03t</w:t>
            </w:r>
            <w:r>
              <w:rPr>
                <w:rFonts w:hint="default" w:ascii="Times New Roman" w:hAnsi="Times New Roman" w:cs="Times New Roman"/>
                <w:b w:val="0"/>
                <w:bCs/>
                <w:snapToGrid w:val="0"/>
                <w:color w:val="auto"/>
                <w:kern w:val="0"/>
                <w:sz w:val="24"/>
                <w:szCs w:val="21"/>
                <w:highlight w:val="none"/>
                <w:lang w:val="en-US" w:eastAsia="zh-CN" w:bidi="ar-SA"/>
              </w:rPr>
              <w:t>/</w:t>
            </w:r>
            <w:r>
              <w:rPr>
                <w:rFonts w:hint="default" w:ascii="Times New Roman" w:hAnsi="Times New Roman" w:eastAsia="宋体" w:cs="Times New Roman"/>
                <w:b w:val="0"/>
                <w:bCs/>
                <w:snapToGrid w:val="0"/>
                <w:color w:val="auto"/>
                <w:kern w:val="0"/>
                <w:sz w:val="24"/>
                <w:szCs w:val="21"/>
                <w:highlight w:val="none"/>
                <w:lang w:val="en-US" w:eastAsia="zh-CN" w:bidi="ar-SA"/>
              </w:rPr>
              <w:t>a，收集后交专业公司回收处理。</w:t>
            </w:r>
          </w:p>
          <w:p w14:paraId="4C3CDD1D">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（9）回收塑粉</w:t>
            </w:r>
          </w:p>
          <w:p w14:paraId="5C625DA6">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喷塑工序产生塑粉粉尘经布袋回用后利用，根据</w:t>
            </w:r>
            <w:r>
              <w:rPr>
                <w:rFonts w:hint="default" w:ascii="Times New Roman" w:hAnsi="Times New Roman" w:cs="Times New Roman"/>
                <w:b w:val="0"/>
                <w:bCs/>
                <w:snapToGrid w:val="0"/>
                <w:color w:val="auto"/>
                <w:kern w:val="0"/>
                <w:sz w:val="24"/>
                <w:szCs w:val="21"/>
                <w:highlight w:val="none"/>
                <w:lang w:val="en-US" w:eastAsia="zh-CN" w:bidi="ar-SA"/>
              </w:rPr>
              <w:t>工程分析计算</w:t>
            </w:r>
            <w:r>
              <w:rPr>
                <w:rFonts w:hint="default" w:ascii="Times New Roman" w:hAnsi="Times New Roman" w:eastAsia="宋体" w:cs="Times New Roman"/>
                <w:b w:val="0"/>
                <w:bCs/>
                <w:snapToGrid w:val="0"/>
                <w:color w:val="auto"/>
                <w:kern w:val="0"/>
                <w:sz w:val="24"/>
                <w:szCs w:val="21"/>
                <w:highlight w:val="none"/>
                <w:lang w:val="en-US" w:eastAsia="zh-CN" w:bidi="ar-SA"/>
              </w:rPr>
              <w:t>，废塑粉产生量为</w:t>
            </w:r>
            <w:r>
              <w:rPr>
                <w:rFonts w:hint="default" w:ascii="Times New Roman" w:hAnsi="Times New Roman" w:cs="Times New Roman"/>
                <w:b w:val="0"/>
                <w:bCs/>
                <w:snapToGrid w:val="0"/>
                <w:color w:val="auto"/>
                <w:kern w:val="0"/>
                <w:sz w:val="24"/>
                <w:szCs w:val="21"/>
                <w:highlight w:val="none"/>
                <w:lang w:val="en-US" w:eastAsia="zh-CN" w:bidi="ar-SA"/>
              </w:rPr>
              <w:t>2.04</w:t>
            </w:r>
            <w:r>
              <w:rPr>
                <w:rFonts w:hint="default" w:ascii="Times New Roman" w:hAnsi="Times New Roman" w:eastAsia="宋体" w:cs="Times New Roman"/>
                <w:b w:val="0"/>
                <w:bCs/>
                <w:snapToGrid w:val="0"/>
                <w:color w:val="auto"/>
                <w:kern w:val="0"/>
                <w:sz w:val="24"/>
                <w:szCs w:val="21"/>
                <w:highlight w:val="none"/>
                <w:lang w:val="en-US" w:eastAsia="zh-CN" w:bidi="ar-SA"/>
              </w:rPr>
              <w:t>t/a，收集后回用，不作为固废管理。</w:t>
            </w:r>
          </w:p>
          <w:p w14:paraId="5D96DE95">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（1</w:t>
            </w:r>
            <w:r>
              <w:rPr>
                <w:rFonts w:hint="eastAsia" w:cs="Times New Roman"/>
                <w:b w:val="0"/>
                <w:bCs/>
                <w:snapToGrid w:val="0"/>
                <w:color w:val="auto"/>
                <w:kern w:val="0"/>
                <w:sz w:val="24"/>
                <w:szCs w:val="21"/>
                <w:highlight w:val="none"/>
                <w:lang w:val="en-US" w:eastAsia="zh-CN" w:bidi="ar-SA"/>
              </w:rPr>
              <w:t>0</w:t>
            </w:r>
            <w:r>
              <w:rPr>
                <w:rFonts w:hint="default" w:ascii="Times New Roman" w:hAnsi="Times New Roman" w:cs="Times New Roman"/>
                <w:b w:val="0"/>
                <w:bCs/>
                <w:snapToGrid w:val="0"/>
                <w:color w:val="auto"/>
                <w:kern w:val="0"/>
                <w:sz w:val="24"/>
                <w:szCs w:val="21"/>
                <w:highlight w:val="none"/>
                <w:lang w:val="en-US" w:eastAsia="zh-CN" w:bidi="ar-SA"/>
              </w:rPr>
              <w:t>）其他废包装物</w:t>
            </w:r>
          </w:p>
          <w:p w14:paraId="47FCC2AE">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本项目其他原辅料废包装产生量约为0.5t/a，收集后定期外售处理。</w:t>
            </w:r>
          </w:p>
          <w:p w14:paraId="40AADB08">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eastAsia" w:cs="Times New Roman"/>
                <w:b w:val="0"/>
                <w:bCs/>
                <w:snapToGrid w:val="0"/>
                <w:color w:val="auto"/>
                <w:kern w:val="0"/>
                <w:sz w:val="24"/>
                <w:szCs w:val="21"/>
                <w:highlight w:val="none"/>
                <w:lang w:val="en-US" w:eastAsia="zh-CN" w:bidi="ar-SA"/>
              </w:rPr>
              <w:t>9.1.2 危废</w:t>
            </w:r>
          </w:p>
          <w:p w14:paraId="679FF707">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（1</w:t>
            </w:r>
            <w:r>
              <w:rPr>
                <w:rFonts w:hint="eastAsia" w:cs="Times New Roman"/>
                <w:b w:val="0"/>
                <w:bCs/>
                <w:snapToGrid w:val="0"/>
                <w:color w:val="auto"/>
                <w:kern w:val="0"/>
                <w:sz w:val="24"/>
                <w:szCs w:val="21"/>
                <w:highlight w:val="none"/>
                <w:lang w:val="en-US" w:eastAsia="zh-CN" w:bidi="ar-SA"/>
              </w:rPr>
              <w:t>1</w:t>
            </w:r>
            <w:r>
              <w:rPr>
                <w:rFonts w:hint="default" w:ascii="Times New Roman" w:hAnsi="Times New Roman" w:cs="Times New Roman"/>
                <w:b w:val="0"/>
                <w:bCs/>
                <w:snapToGrid w:val="0"/>
                <w:color w:val="auto"/>
                <w:kern w:val="0"/>
                <w:sz w:val="24"/>
                <w:szCs w:val="21"/>
                <w:highlight w:val="none"/>
                <w:lang w:val="en-US" w:eastAsia="zh-CN" w:bidi="ar-SA"/>
              </w:rPr>
              <w:t>）</w:t>
            </w:r>
            <w:r>
              <w:rPr>
                <w:rFonts w:hint="default" w:ascii="Times New Roman" w:hAnsi="Times New Roman" w:eastAsia="宋体" w:cs="Times New Roman"/>
                <w:b w:val="0"/>
                <w:bCs/>
                <w:snapToGrid w:val="0"/>
                <w:color w:val="auto"/>
                <w:kern w:val="0"/>
                <w:sz w:val="24"/>
                <w:szCs w:val="21"/>
                <w:highlight w:val="none"/>
                <w:lang w:val="en-US" w:eastAsia="zh-CN" w:bidi="ar-SA"/>
              </w:rPr>
              <w:t>废抹布</w:t>
            </w:r>
          </w:p>
          <w:p w14:paraId="552BEB53">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项目印字机采用湿抹布进行擦拭清洁，该过程会产生废抹布。项目湿抹布均</w:t>
            </w:r>
            <w:r>
              <w:rPr>
                <w:rFonts w:hint="default" w:ascii="Times New Roman" w:hAnsi="Times New Roman" w:cs="Times New Roman"/>
                <w:b w:val="0"/>
                <w:bCs/>
                <w:snapToGrid w:val="0"/>
                <w:color w:val="auto"/>
                <w:kern w:val="0"/>
                <w:sz w:val="24"/>
                <w:szCs w:val="21"/>
                <w:highlight w:val="none"/>
                <w:lang w:val="en-US" w:eastAsia="zh-CN" w:bidi="ar-SA"/>
              </w:rPr>
              <w:t>一</w:t>
            </w:r>
            <w:r>
              <w:rPr>
                <w:rFonts w:hint="default" w:ascii="Times New Roman" w:hAnsi="Times New Roman" w:eastAsia="宋体" w:cs="Times New Roman"/>
                <w:b w:val="0"/>
                <w:bCs/>
                <w:snapToGrid w:val="0"/>
                <w:color w:val="auto"/>
                <w:kern w:val="0"/>
                <w:sz w:val="24"/>
                <w:szCs w:val="21"/>
                <w:highlight w:val="none"/>
                <w:lang w:val="en-US" w:eastAsia="zh-CN" w:bidi="ar-SA"/>
              </w:rPr>
              <w:t>次性使用，年产生量约为0.0</w:t>
            </w:r>
            <w:r>
              <w:rPr>
                <w:rFonts w:hint="default" w:ascii="Times New Roman" w:hAnsi="Times New Roman" w:cs="Times New Roman"/>
                <w:b w:val="0"/>
                <w:bCs/>
                <w:snapToGrid w:val="0"/>
                <w:color w:val="auto"/>
                <w:kern w:val="0"/>
                <w:sz w:val="24"/>
                <w:szCs w:val="21"/>
                <w:highlight w:val="none"/>
                <w:lang w:val="en-US" w:eastAsia="zh-CN" w:bidi="ar-SA"/>
              </w:rPr>
              <w:t>1</w:t>
            </w:r>
            <w:r>
              <w:rPr>
                <w:rFonts w:hint="default" w:ascii="Times New Roman" w:hAnsi="Times New Roman" w:eastAsia="宋体" w:cs="Times New Roman"/>
                <w:b w:val="0"/>
                <w:bCs/>
                <w:snapToGrid w:val="0"/>
                <w:color w:val="auto"/>
                <w:kern w:val="0"/>
                <w:sz w:val="24"/>
                <w:szCs w:val="21"/>
                <w:highlight w:val="none"/>
                <w:lang w:val="en-US" w:eastAsia="zh-CN" w:bidi="ar-SA"/>
              </w:rPr>
              <w:t>t</w:t>
            </w:r>
            <w:r>
              <w:rPr>
                <w:rFonts w:hint="default" w:ascii="Times New Roman" w:hAnsi="Times New Roman" w:cs="Times New Roman"/>
                <w:b w:val="0"/>
                <w:bCs/>
                <w:snapToGrid w:val="0"/>
                <w:color w:val="auto"/>
                <w:kern w:val="0"/>
                <w:sz w:val="24"/>
                <w:szCs w:val="21"/>
                <w:highlight w:val="none"/>
                <w:lang w:val="en-US" w:eastAsia="zh-CN" w:bidi="ar-SA"/>
              </w:rPr>
              <w:t>/</w:t>
            </w:r>
            <w:r>
              <w:rPr>
                <w:rFonts w:hint="default" w:ascii="Times New Roman" w:hAnsi="Times New Roman" w:eastAsia="宋体" w:cs="Times New Roman"/>
                <w:b w:val="0"/>
                <w:bCs/>
                <w:snapToGrid w:val="0"/>
                <w:color w:val="auto"/>
                <w:kern w:val="0"/>
                <w:sz w:val="24"/>
                <w:szCs w:val="21"/>
                <w:highlight w:val="none"/>
                <w:lang w:val="en-US" w:eastAsia="zh-CN" w:bidi="ar-SA"/>
              </w:rPr>
              <w:t>a，根据《国家危险废物名录（2025年版）》，</w:t>
            </w:r>
            <w:r>
              <w:rPr>
                <w:rFonts w:hint="default" w:ascii="Times New Roman" w:hAnsi="Times New Roman" w:cs="Times New Roman"/>
                <w:b w:val="0"/>
                <w:bCs/>
                <w:snapToGrid w:val="0"/>
                <w:color w:val="auto"/>
                <w:kern w:val="0"/>
                <w:sz w:val="24"/>
                <w:szCs w:val="21"/>
                <w:highlight w:val="none"/>
                <w:lang w:val="en-US" w:eastAsia="zh-CN" w:bidi="ar-SA"/>
              </w:rPr>
              <w:t>废抹布为危险废物</w:t>
            </w:r>
            <w:r>
              <w:rPr>
                <w:rFonts w:hint="default" w:ascii="Times New Roman" w:hAnsi="Times New Roman" w:eastAsia="宋体" w:cs="Times New Roman"/>
                <w:b w:val="0"/>
                <w:bCs/>
                <w:snapToGrid w:val="0"/>
                <w:color w:val="auto"/>
                <w:kern w:val="0"/>
                <w:sz w:val="24"/>
                <w:szCs w:val="21"/>
                <w:highlight w:val="none"/>
                <w:lang w:val="en-US" w:eastAsia="zh-CN" w:bidi="ar-SA"/>
              </w:rPr>
              <w:t>类别为HW12染料、涂料废物-非特定行业，废物代码900-253-12。收集后委托有资质单位代为处置。</w:t>
            </w:r>
          </w:p>
          <w:p w14:paraId="75B80620">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（11）</w:t>
            </w:r>
            <w:r>
              <w:rPr>
                <w:rFonts w:hint="default" w:ascii="Times New Roman" w:hAnsi="Times New Roman" w:eastAsia="宋体" w:cs="Times New Roman"/>
                <w:b w:val="0"/>
                <w:bCs/>
                <w:snapToGrid w:val="0"/>
                <w:color w:val="auto"/>
                <w:kern w:val="0"/>
                <w:sz w:val="24"/>
                <w:szCs w:val="21"/>
                <w:highlight w:val="none"/>
                <w:lang w:val="en-US" w:eastAsia="zh-CN" w:bidi="ar-SA"/>
              </w:rPr>
              <w:t>废油墨桶</w:t>
            </w:r>
          </w:p>
          <w:p w14:paraId="1CD1D2BD">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项目丝印工序产生废油墨桶，项目年产生废油墨桶</w:t>
            </w:r>
            <w:r>
              <w:rPr>
                <w:rFonts w:hint="default" w:ascii="Times New Roman" w:hAnsi="Times New Roman" w:cs="Times New Roman"/>
                <w:b w:val="0"/>
                <w:bCs/>
                <w:snapToGrid w:val="0"/>
                <w:color w:val="auto"/>
                <w:kern w:val="0"/>
                <w:sz w:val="24"/>
                <w:szCs w:val="21"/>
                <w:highlight w:val="none"/>
                <w:lang w:val="en-US" w:eastAsia="zh-CN" w:bidi="ar-SA"/>
              </w:rPr>
              <w:t>6</w:t>
            </w:r>
            <w:r>
              <w:rPr>
                <w:rFonts w:hint="default" w:ascii="Times New Roman" w:hAnsi="Times New Roman" w:eastAsia="宋体" w:cs="Times New Roman"/>
                <w:b w:val="0"/>
                <w:bCs/>
                <w:snapToGrid w:val="0"/>
                <w:color w:val="auto"/>
                <w:kern w:val="0"/>
                <w:sz w:val="24"/>
                <w:szCs w:val="21"/>
                <w:highlight w:val="none"/>
                <w:lang w:val="en-US" w:eastAsia="zh-CN" w:bidi="ar-SA"/>
              </w:rPr>
              <w:t>只(重量约</w:t>
            </w:r>
            <w:r>
              <w:rPr>
                <w:rFonts w:hint="default" w:ascii="Times New Roman" w:hAnsi="Times New Roman" w:cs="Times New Roman"/>
                <w:b w:val="0"/>
                <w:bCs/>
                <w:snapToGrid w:val="0"/>
                <w:color w:val="auto"/>
                <w:kern w:val="0"/>
                <w:sz w:val="24"/>
                <w:szCs w:val="21"/>
                <w:highlight w:val="none"/>
                <w:lang w:val="en-US" w:eastAsia="zh-CN" w:bidi="ar-SA"/>
              </w:rPr>
              <w:t>1kg/</w:t>
            </w:r>
            <w:r>
              <w:rPr>
                <w:rFonts w:hint="default" w:ascii="Times New Roman" w:hAnsi="Times New Roman" w:eastAsia="宋体" w:cs="Times New Roman"/>
                <w:b w:val="0"/>
                <w:bCs/>
                <w:snapToGrid w:val="0"/>
                <w:color w:val="auto"/>
                <w:kern w:val="0"/>
                <w:sz w:val="24"/>
                <w:szCs w:val="21"/>
                <w:highlight w:val="none"/>
                <w:lang w:val="en-US" w:eastAsia="zh-CN" w:bidi="ar-SA"/>
              </w:rPr>
              <w:t>只)</w:t>
            </w:r>
            <w:r>
              <w:rPr>
                <w:rFonts w:hint="default" w:ascii="Times New Roman" w:hAnsi="Times New Roman" w:cs="Times New Roman"/>
                <w:b w:val="0"/>
                <w:bCs/>
                <w:snapToGrid w:val="0"/>
                <w:color w:val="auto"/>
                <w:kern w:val="0"/>
                <w:sz w:val="24"/>
                <w:szCs w:val="21"/>
                <w:highlight w:val="none"/>
                <w:lang w:val="en-US" w:eastAsia="zh-CN" w:bidi="ar-SA"/>
              </w:rPr>
              <w:t>，</w:t>
            </w:r>
            <w:r>
              <w:rPr>
                <w:rFonts w:hint="default" w:ascii="Times New Roman" w:hAnsi="Times New Roman" w:eastAsia="宋体" w:cs="Times New Roman"/>
                <w:b w:val="0"/>
                <w:bCs/>
                <w:snapToGrid w:val="0"/>
                <w:color w:val="auto"/>
                <w:kern w:val="0"/>
                <w:sz w:val="24"/>
                <w:szCs w:val="21"/>
                <w:highlight w:val="none"/>
                <w:lang w:val="en-US" w:eastAsia="zh-CN" w:bidi="ar-SA"/>
              </w:rPr>
              <w:t>年产生量约为</w:t>
            </w:r>
            <w:r>
              <w:rPr>
                <w:rFonts w:hint="default" w:ascii="Times New Roman" w:hAnsi="Times New Roman" w:cs="Times New Roman"/>
                <w:b w:val="0"/>
                <w:bCs/>
                <w:snapToGrid w:val="0"/>
                <w:color w:val="auto"/>
                <w:kern w:val="0"/>
                <w:sz w:val="24"/>
                <w:szCs w:val="21"/>
                <w:highlight w:val="none"/>
                <w:lang w:val="en-US" w:eastAsia="zh-CN" w:bidi="ar-SA"/>
              </w:rPr>
              <w:t>0.006</w:t>
            </w:r>
            <w:r>
              <w:rPr>
                <w:rFonts w:hint="default" w:ascii="Times New Roman" w:hAnsi="Times New Roman" w:eastAsia="宋体" w:cs="Times New Roman"/>
                <w:b w:val="0"/>
                <w:bCs/>
                <w:snapToGrid w:val="0"/>
                <w:color w:val="auto"/>
                <w:kern w:val="0"/>
                <w:sz w:val="24"/>
                <w:szCs w:val="21"/>
                <w:highlight w:val="none"/>
                <w:lang w:val="en-US" w:eastAsia="zh-CN" w:bidi="ar-SA"/>
              </w:rPr>
              <w:t>t/a，根据《国家危险废物名录（2025年版）》，</w:t>
            </w:r>
            <w:r>
              <w:rPr>
                <w:rFonts w:hint="default" w:ascii="Times New Roman" w:hAnsi="Times New Roman" w:cs="Times New Roman"/>
                <w:b w:val="0"/>
                <w:bCs/>
                <w:snapToGrid w:val="0"/>
                <w:color w:val="auto"/>
                <w:kern w:val="0"/>
                <w:sz w:val="24"/>
                <w:szCs w:val="21"/>
                <w:highlight w:val="none"/>
                <w:lang w:val="en-US" w:eastAsia="zh-CN" w:bidi="ar-SA"/>
              </w:rPr>
              <w:t>废油墨桶为危险废物</w:t>
            </w:r>
            <w:r>
              <w:rPr>
                <w:rFonts w:hint="default" w:ascii="Times New Roman" w:hAnsi="Times New Roman" w:eastAsia="宋体" w:cs="Times New Roman"/>
                <w:b w:val="0"/>
                <w:bCs/>
                <w:snapToGrid w:val="0"/>
                <w:color w:val="auto"/>
                <w:kern w:val="0"/>
                <w:sz w:val="24"/>
                <w:szCs w:val="21"/>
                <w:highlight w:val="none"/>
                <w:lang w:val="en-US" w:eastAsia="zh-CN" w:bidi="ar-SA"/>
              </w:rPr>
              <w:t>，类别为HW12染料、涂料废物-非特定行业，废物代码900-253-12。收集后委托有资质单位代为处置。</w:t>
            </w:r>
          </w:p>
          <w:p w14:paraId="2F27A093">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（12）</w:t>
            </w:r>
            <w:r>
              <w:rPr>
                <w:rFonts w:hint="default" w:ascii="Times New Roman" w:hAnsi="Times New Roman" w:eastAsia="宋体" w:cs="Times New Roman"/>
                <w:b w:val="0"/>
                <w:bCs/>
                <w:snapToGrid w:val="0"/>
                <w:color w:val="auto"/>
                <w:kern w:val="0"/>
                <w:sz w:val="24"/>
                <w:szCs w:val="21"/>
                <w:highlight w:val="none"/>
                <w:lang w:val="en-US" w:eastAsia="zh-CN" w:bidi="ar-SA"/>
              </w:rPr>
              <w:t>废丝印版</w:t>
            </w:r>
          </w:p>
          <w:p w14:paraId="12183AC2">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项目年使用印刷版10块，根据企业提供资料，单块印刷版重约</w:t>
            </w:r>
            <w:r>
              <w:rPr>
                <w:rFonts w:hint="default" w:ascii="Times New Roman" w:hAnsi="Times New Roman" w:cs="Times New Roman"/>
                <w:b w:val="0"/>
                <w:bCs/>
                <w:snapToGrid w:val="0"/>
                <w:color w:val="auto"/>
                <w:kern w:val="0"/>
                <w:sz w:val="24"/>
                <w:szCs w:val="21"/>
                <w:highlight w:val="none"/>
                <w:lang w:val="en-US" w:eastAsia="zh-CN" w:bidi="ar-SA"/>
              </w:rPr>
              <w:t>0.001t，则废印刷版产生量为0.01t/a。</w:t>
            </w:r>
            <w:r>
              <w:rPr>
                <w:rFonts w:hint="default" w:ascii="Times New Roman" w:hAnsi="Times New Roman" w:eastAsia="宋体" w:cs="Times New Roman"/>
                <w:b w:val="0"/>
                <w:bCs/>
                <w:snapToGrid w:val="0"/>
                <w:color w:val="auto"/>
                <w:kern w:val="0"/>
                <w:sz w:val="24"/>
                <w:szCs w:val="21"/>
                <w:highlight w:val="none"/>
                <w:lang w:val="en-US" w:eastAsia="zh-CN" w:bidi="ar-SA"/>
              </w:rPr>
              <w:t>根据《国家危险废物名录（2025年版）》，废丝印版</w:t>
            </w:r>
            <w:r>
              <w:rPr>
                <w:rFonts w:hint="default" w:ascii="Times New Roman" w:hAnsi="Times New Roman" w:cs="Times New Roman"/>
                <w:b w:val="0"/>
                <w:bCs/>
                <w:snapToGrid w:val="0"/>
                <w:color w:val="auto"/>
                <w:kern w:val="0"/>
                <w:sz w:val="24"/>
                <w:szCs w:val="21"/>
                <w:highlight w:val="none"/>
                <w:lang w:val="en-US" w:eastAsia="zh-CN" w:bidi="ar-SA"/>
              </w:rPr>
              <w:t>为危险废物</w:t>
            </w:r>
            <w:r>
              <w:rPr>
                <w:rFonts w:hint="default" w:ascii="Times New Roman" w:hAnsi="Times New Roman" w:eastAsia="宋体" w:cs="Times New Roman"/>
                <w:b w:val="0"/>
                <w:bCs/>
                <w:snapToGrid w:val="0"/>
                <w:color w:val="auto"/>
                <w:kern w:val="0"/>
                <w:sz w:val="24"/>
                <w:szCs w:val="21"/>
                <w:highlight w:val="none"/>
                <w:lang w:val="en-US" w:eastAsia="zh-CN" w:bidi="ar-SA"/>
              </w:rPr>
              <w:t>，类别为HW12染料、涂料废物-非特定行业，废物代码900-253-12。收集后委托有资质单位代为处置。</w:t>
            </w:r>
          </w:p>
          <w:p w14:paraId="593911E3">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auto"/>
                <w:kern w:val="0"/>
                <w:sz w:val="24"/>
                <w:szCs w:val="21"/>
                <w:highlight w:val="none"/>
                <w:lang w:val="en-US" w:eastAsia="zh-CN" w:bidi="ar-SA"/>
              </w:rPr>
            </w:pPr>
            <w:r>
              <w:rPr>
                <w:rFonts w:hint="default" w:ascii="Times New Roman" w:hAnsi="Times New Roman" w:eastAsia="宋体" w:cs="Times New Roman"/>
                <w:b w:val="0"/>
                <w:bCs/>
                <w:snapToGrid w:val="0"/>
                <w:color w:val="auto"/>
                <w:kern w:val="0"/>
                <w:sz w:val="24"/>
                <w:szCs w:val="21"/>
                <w:highlight w:val="none"/>
                <w:lang w:val="en-US" w:eastAsia="zh-CN" w:bidi="ar-SA"/>
              </w:rPr>
              <w:t>（1</w:t>
            </w:r>
            <w:r>
              <w:rPr>
                <w:rFonts w:hint="default" w:ascii="Times New Roman" w:hAnsi="Times New Roman" w:cs="Times New Roman"/>
                <w:b w:val="0"/>
                <w:bCs/>
                <w:snapToGrid w:val="0"/>
                <w:color w:val="auto"/>
                <w:kern w:val="0"/>
                <w:sz w:val="24"/>
                <w:szCs w:val="21"/>
                <w:highlight w:val="none"/>
                <w:lang w:val="en-US" w:eastAsia="zh-CN" w:bidi="ar-SA"/>
              </w:rPr>
              <w:t>3</w:t>
            </w:r>
            <w:r>
              <w:rPr>
                <w:rFonts w:hint="default" w:ascii="Times New Roman" w:hAnsi="Times New Roman" w:eastAsia="宋体" w:cs="Times New Roman"/>
                <w:b w:val="0"/>
                <w:bCs/>
                <w:snapToGrid w:val="0"/>
                <w:color w:val="auto"/>
                <w:kern w:val="0"/>
                <w:sz w:val="24"/>
                <w:szCs w:val="21"/>
                <w:highlight w:val="none"/>
                <w:lang w:val="en-US" w:eastAsia="zh-CN" w:bidi="ar-SA"/>
              </w:rPr>
              <w:t>）残液</w:t>
            </w:r>
          </w:p>
          <w:p w14:paraId="549502AD">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auto"/>
                <w:kern w:val="0"/>
                <w:sz w:val="24"/>
                <w:szCs w:val="21"/>
                <w:highlight w:val="none"/>
                <w:lang w:val="en-US" w:eastAsia="zh-CN" w:bidi="ar-SA"/>
              </w:rPr>
            </w:pPr>
            <w:r>
              <w:rPr>
                <w:rFonts w:hint="default" w:ascii="Times New Roman" w:hAnsi="Times New Roman" w:cs="Times New Roman"/>
                <w:b w:val="0"/>
                <w:bCs/>
                <w:snapToGrid w:val="0"/>
                <w:color w:val="auto"/>
                <w:kern w:val="0"/>
                <w:sz w:val="24"/>
                <w:szCs w:val="21"/>
                <w:highlight w:val="none"/>
                <w:lang w:val="en-US" w:eastAsia="zh-CN" w:bidi="ar-SA"/>
              </w:rPr>
              <w:t>液化石油气灌装过程中产生残液，气瓶检验站抽残过程产生残液。</w:t>
            </w:r>
          </w:p>
          <w:p w14:paraId="55A89737">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0000FF"/>
                <w:kern w:val="0"/>
                <w:sz w:val="24"/>
                <w:szCs w:val="21"/>
                <w:highlight w:val="none"/>
                <w:lang w:val="en-US" w:eastAsia="zh-CN" w:bidi="ar-SA"/>
              </w:rPr>
            </w:pPr>
            <w:r>
              <w:rPr>
                <w:rFonts w:hint="default" w:ascii="Times New Roman" w:hAnsi="Times New Roman" w:cs="Times New Roman"/>
                <w:b w:val="0"/>
                <w:bCs/>
                <w:snapToGrid w:val="0"/>
                <w:color w:val="0000FF"/>
                <w:kern w:val="0"/>
                <w:sz w:val="24"/>
                <w:szCs w:val="21"/>
                <w:highlight w:val="none"/>
                <w:lang w:val="en-US" w:eastAsia="zh-CN" w:bidi="ar-SA"/>
              </w:rPr>
              <w:t>1）灌装过程残液</w:t>
            </w:r>
          </w:p>
          <w:p w14:paraId="48FE83BB">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snapToGrid w:val="0"/>
                <w:color w:val="0000FF"/>
                <w:kern w:val="0"/>
                <w:sz w:val="24"/>
                <w:szCs w:val="21"/>
                <w:vertAlign w:val="baseline"/>
                <w:lang w:val="en-US" w:eastAsia="zh-CN" w:bidi="ar-SA"/>
              </w:rPr>
            </w:pPr>
            <w:r>
              <w:rPr>
                <w:rFonts w:hint="default" w:ascii="Times New Roman" w:hAnsi="Times New Roman" w:eastAsia="宋体" w:cs="Times New Roman"/>
                <w:b w:val="0"/>
                <w:bCs/>
                <w:snapToGrid w:val="0"/>
                <w:color w:val="0000FF"/>
                <w:kern w:val="0"/>
                <w:sz w:val="24"/>
                <w:szCs w:val="21"/>
                <w:highlight w:val="none"/>
                <w:lang w:val="en-US" w:eastAsia="zh-CN" w:bidi="ar-SA"/>
              </w:rPr>
              <w:t>液化石油气是石油在提炼汽油、煤油、柴油、重油等油品过程中剩下的一种石油尾气，主要组分为丙烷、丙烯、丁烧、丁烯（可以是一种或几种经的混合物），并含有少量戊烯、戊烯和微撇硫化物杂质。在储罐内呈液态状，一旦流出会汽化成比原体积大约二百五十倍的可燃气体。但戊烷、硫化物和水共滞留在瓶底同形成了残液。</w:t>
            </w:r>
            <w:r>
              <w:rPr>
                <w:rFonts w:hint="default" w:ascii="Times New Roman" w:hAnsi="Times New Roman" w:cs="Times New Roman"/>
                <w:snapToGrid w:val="0"/>
                <w:color w:val="0000FF"/>
                <w:kern w:val="0"/>
                <w:sz w:val="24"/>
                <w:szCs w:val="21"/>
                <w:vertAlign w:val="baseline"/>
                <w:lang w:val="en-US" w:eastAsia="zh-CN" w:bidi="ar-SA"/>
              </w:rPr>
              <w:t>LPG钢瓶抽残过程中产生的残液量约为0.01kg/瓶，本项目LPG灌装量为3300t/a，钢瓶容量统一按照15kg/瓶计，则装瓶量为220000只/a，气瓶抽残产生残液量为2.20t/a。</w:t>
            </w:r>
          </w:p>
          <w:p w14:paraId="43D3FCEF">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cs="Times New Roman"/>
                <w:b w:val="0"/>
                <w:bCs/>
                <w:snapToGrid w:val="0"/>
                <w:color w:val="0000FF"/>
                <w:kern w:val="0"/>
                <w:sz w:val="24"/>
                <w:szCs w:val="21"/>
                <w:highlight w:val="none"/>
                <w:lang w:val="en-US" w:eastAsia="zh-CN" w:bidi="ar-SA"/>
              </w:rPr>
            </w:pPr>
            <w:r>
              <w:rPr>
                <w:rFonts w:hint="default" w:ascii="Times New Roman" w:hAnsi="Times New Roman" w:cs="Times New Roman"/>
                <w:b w:val="0"/>
                <w:bCs/>
                <w:snapToGrid w:val="0"/>
                <w:color w:val="0000FF"/>
                <w:kern w:val="0"/>
                <w:sz w:val="24"/>
                <w:szCs w:val="21"/>
                <w:highlight w:val="none"/>
                <w:lang w:val="en-US" w:eastAsia="zh-CN" w:bidi="ar-SA"/>
              </w:rPr>
              <w:t>2）气瓶检验抽残工序残液</w:t>
            </w:r>
          </w:p>
          <w:p w14:paraId="407794E2">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snapToGrid w:val="0"/>
                <w:color w:val="0000FF"/>
                <w:kern w:val="0"/>
                <w:sz w:val="24"/>
                <w:szCs w:val="21"/>
                <w:vertAlign w:val="baseline"/>
                <w:lang w:val="en-US" w:eastAsia="zh-CN" w:bidi="ar-SA"/>
              </w:rPr>
            </w:pPr>
            <w:r>
              <w:rPr>
                <w:rFonts w:hint="default" w:ascii="Times New Roman" w:hAnsi="Times New Roman" w:cs="Times New Roman"/>
                <w:snapToGrid w:val="0"/>
                <w:color w:val="0000FF"/>
                <w:kern w:val="0"/>
                <w:sz w:val="24"/>
                <w:szCs w:val="21"/>
                <w:vertAlign w:val="baseline"/>
                <w:lang w:val="en-US" w:eastAsia="zh-CN" w:bidi="ar-SA"/>
              </w:rPr>
              <w:t>根据类比同类型项目，钢瓶抽残过程中产生的残液量为0.01kg/瓶，本项目钢瓶检验数量为60000只/a，保守估计全部按照LPG钢瓶考虑，则</w:t>
            </w:r>
            <w:r>
              <w:rPr>
                <w:rFonts w:hint="default" w:ascii="Times New Roman" w:hAnsi="Times New Roman" w:eastAsia="宋体" w:cs="Times New Roman"/>
                <w:snapToGrid w:val="0"/>
                <w:color w:val="0000FF"/>
                <w:kern w:val="0"/>
                <w:sz w:val="24"/>
                <w:szCs w:val="21"/>
                <w:lang w:val="en-US" w:eastAsia="zh-CN" w:bidi="ar-SA"/>
              </w:rPr>
              <w:t>液化石油气残液量为</w:t>
            </w:r>
            <w:r>
              <w:rPr>
                <w:rFonts w:hint="default" w:ascii="Times New Roman" w:hAnsi="Times New Roman" w:cs="Times New Roman"/>
                <w:snapToGrid w:val="0"/>
                <w:color w:val="0000FF"/>
                <w:kern w:val="0"/>
                <w:sz w:val="24"/>
                <w:szCs w:val="21"/>
                <w:lang w:val="en-US" w:eastAsia="zh-CN" w:bidi="ar-SA"/>
              </w:rPr>
              <w:t>0.6</w:t>
            </w:r>
            <w:r>
              <w:rPr>
                <w:rFonts w:hint="default" w:ascii="Times New Roman" w:hAnsi="Times New Roman" w:eastAsia="宋体" w:cs="Times New Roman"/>
                <w:snapToGrid w:val="0"/>
                <w:color w:val="0000FF"/>
                <w:kern w:val="0"/>
                <w:sz w:val="24"/>
                <w:szCs w:val="21"/>
                <w:lang w:val="en-US" w:eastAsia="zh-CN" w:bidi="ar-SA"/>
              </w:rPr>
              <w:t>t</w:t>
            </w:r>
            <w:r>
              <w:rPr>
                <w:rFonts w:hint="default" w:ascii="Times New Roman" w:hAnsi="Times New Roman" w:eastAsia="宋体" w:cs="Times New Roman"/>
                <w:snapToGrid w:val="0"/>
                <w:color w:val="0000FF"/>
                <w:kern w:val="0"/>
                <w:sz w:val="24"/>
                <w:szCs w:val="21"/>
                <w:vertAlign w:val="baseline"/>
                <w:lang w:val="en-US" w:eastAsia="zh-CN" w:bidi="ar-SA"/>
              </w:rPr>
              <w:t>/a。</w:t>
            </w:r>
          </w:p>
          <w:p w14:paraId="1B8AB8F8">
            <w:pPr>
              <w:keepNext w:val="0"/>
              <w:keepLines w:val="0"/>
              <w:pageBreakBefore w:val="0"/>
              <w:widowControl/>
              <w:suppressAutoHyphens/>
              <w:kinsoku/>
              <w:wordWrap/>
              <w:overflowPunct/>
              <w:topLinePunct w:val="0"/>
              <w:autoSpaceDE/>
              <w:autoSpaceDN/>
              <w:bidi w:val="0"/>
              <w:adjustRightInd w:val="0"/>
              <w:snapToGrid w:val="0"/>
              <w:spacing w:after="0" w:line="360" w:lineRule="auto"/>
              <w:ind w:right="0" w:firstLine="480" w:firstLineChars="200"/>
              <w:jc w:val="both"/>
              <w:textAlignment w:val="center"/>
              <w:rPr>
                <w:rFonts w:hint="default" w:ascii="Times New Roman" w:hAnsi="Times New Roman" w:eastAsia="宋体" w:cs="Times New Roman"/>
                <w:b w:val="0"/>
                <w:bCs/>
                <w:snapToGrid w:val="0"/>
                <w:color w:val="0000FF"/>
                <w:kern w:val="0"/>
                <w:sz w:val="24"/>
                <w:szCs w:val="21"/>
                <w:highlight w:val="none"/>
                <w:lang w:val="en-US" w:eastAsia="zh-CN" w:bidi="ar-SA"/>
              </w:rPr>
            </w:pPr>
            <w:r>
              <w:rPr>
                <w:rFonts w:hint="default" w:ascii="Times New Roman" w:hAnsi="Times New Roman" w:cs="Times New Roman"/>
                <w:b w:val="0"/>
                <w:bCs/>
                <w:snapToGrid w:val="0"/>
                <w:color w:val="0000FF"/>
                <w:kern w:val="0"/>
                <w:sz w:val="24"/>
                <w:szCs w:val="21"/>
                <w:highlight w:val="none"/>
                <w:lang w:val="en-US" w:eastAsia="zh-CN" w:bidi="ar-SA"/>
              </w:rPr>
              <w:t>以上合计，全厂</w:t>
            </w:r>
            <w:r>
              <w:rPr>
                <w:rFonts w:hint="default" w:ascii="Times New Roman" w:hAnsi="Times New Roman" w:eastAsia="宋体" w:cs="Times New Roman"/>
                <w:snapToGrid w:val="0"/>
                <w:color w:val="0000FF"/>
                <w:kern w:val="0"/>
                <w:sz w:val="24"/>
                <w:szCs w:val="21"/>
                <w:lang w:val="en-US" w:eastAsia="zh-CN" w:bidi="ar-SA"/>
              </w:rPr>
              <w:t>液化石油气残液量为</w:t>
            </w:r>
            <w:r>
              <w:rPr>
                <w:rFonts w:hint="default" w:ascii="Times New Roman" w:hAnsi="Times New Roman" w:cs="Times New Roman"/>
                <w:snapToGrid w:val="0"/>
                <w:color w:val="0000FF"/>
                <w:kern w:val="0"/>
                <w:sz w:val="24"/>
                <w:szCs w:val="21"/>
                <w:lang w:val="en-US" w:eastAsia="zh-CN" w:bidi="ar-SA"/>
              </w:rPr>
              <w:t>2.80</w:t>
            </w:r>
            <w:r>
              <w:rPr>
                <w:rFonts w:hint="default" w:ascii="Times New Roman" w:hAnsi="Times New Roman" w:eastAsia="宋体" w:cs="Times New Roman"/>
                <w:snapToGrid w:val="0"/>
                <w:color w:val="0000FF"/>
                <w:kern w:val="0"/>
                <w:sz w:val="24"/>
                <w:szCs w:val="21"/>
                <w:lang w:val="en-US" w:eastAsia="zh-CN" w:bidi="ar-SA"/>
              </w:rPr>
              <w:t>t</w:t>
            </w:r>
            <w:r>
              <w:rPr>
                <w:rFonts w:hint="default" w:ascii="Times New Roman" w:hAnsi="Times New Roman" w:eastAsia="宋体" w:cs="Times New Roman"/>
                <w:snapToGrid w:val="0"/>
                <w:color w:val="0000FF"/>
                <w:kern w:val="0"/>
                <w:sz w:val="24"/>
                <w:szCs w:val="21"/>
                <w:vertAlign w:val="baseline"/>
                <w:lang w:val="en-US" w:eastAsia="zh-CN" w:bidi="ar-SA"/>
              </w:rPr>
              <w:t>/a。</w:t>
            </w:r>
            <w:r>
              <w:rPr>
                <w:rFonts w:hint="default" w:ascii="Times New Roman" w:hAnsi="Times New Roman" w:eastAsia="宋体" w:cs="Times New Roman"/>
                <w:b w:val="0"/>
                <w:bCs/>
                <w:snapToGrid w:val="0"/>
                <w:color w:val="0000FF"/>
                <w:kern w:val="0"/>
                <w:sz w:val="24"/>
                <w:szCs w:val="21"/>
                <w:highlight w:val="none"/>
                <w:lang w:val="en-US" w:eastAsia="zh-CN" w:bidi="ar-SA"/>
              </w:rPr>
              <w:t>液化石油气具有易燃性，根据《国家危险废物名录（2025年版）》，产生的残液属危险废物，类别为“HW09 油/水、烃/水混合物或乳化液”，废物代码900-007-09。</w:t>
            </w:r>
            <w:r>
              <w:rPr>
                <w:rFonts w:hint="default" w:ascii="Times New Roman" w:hAnsi="Times New Roman" w:eastAsia="宋体" w:cs="Times New Roman"/>
                <w:snapToGrid w:val="0"/>
                <w:color w:val="0000FF"/>
                <w:kern w:val="0"/>
                <w:sz w:val="24"/>
                <w:szCs w:val="24"/>
                <w:lang w:val="en-US" w:eastAsia="zh-CN" w:bidi="ar-SA"/>
              </w:rPr>
              <w:t>残液排至</w:t>
            </w:r>
            <w:r>
              <w:rPr>
                <w:rFonts w:hint="default" w:ascii="Times New Roman" w:hAnsi="Times New Roman" w:eastAsia="宋体" w:cs="Times New Roman"/>
                <w:b w:val="0"/>
                <w:bCs/>
                <w:snapToGrid w:val="0"/>
                <w:color w:val="0000FF"/>
                <w:kern w:val="0"/>
                <w:sz w:val="24"/>
                <w:szCs w:val="21"/>
                <w:highlight w:val="none"/>
                <w:lang w:val="en-US" w:eastAsia="zh-CN" w:bidi="ar-SA"/>
              </w:rPr>
              <w:t>残液罐中暂存</w:t>
            </w:r>
            <w:r>
              <w:rPr>
                <w:rFonts w:hint="eastAsia" w:cs="Times New Roman"/>
                <w:b w:val="0"/>
                <w:bCs/>
                <w:snapToGrid w:val="0"/>
                <w:color w:val="0000FF"/>
                <w:kern w:val="0"/>
                <w:sz w:val="24"/>
                <w:szCs w:val="21"/>
                <w:highlight w:val="none"/>
                <w:lang w:val="en-US" w:eastAsia="zh-CN" w:bidi="ar-SA"/>
              </w:rPr>
              <w:t>于危废暂存间</w:t>
            </w:r>
            <w:r>
              <w:rPr>
                <w:rFonts w:hint="default" w:ascii="Times New Roman" w:hAnsi="Times New Roman" w:eastAsia="宋体" w:cs="Times New Roman"/>
                <w:b w:val="0"/>
                <w:bCs/>
                <w:snapToGrid w:val="0"/>
                <w:color w:val="0000FF"/>
                <w:kern w:val="0"/>
                <w:sz w:val="24"/>
                <w:szCs w:val="21"/>
                <w:highlight w:val="none"/>
                <w:lang w:val="en-US" w:eastAsia="zh-CN" w:bidi="ar-SA"/>
              </w:rPr>
              <w:t>，储罐</w:t>
            </w:r>
            <w:r>
              <w:rPr>
                <w:rFonts w:hint="default" w:ascii="Times New Roman" w:hAnsi="Times New Roman" w:eastAsia="宋体" w:cs="Times New Roman"/>
                <w:snapToGrid w:val="0"/>
                <w:color w:val="0000FF"/>
                <w:kern w:val="0"/>
                <w:sz w:val="24"/>
                <w:szCs w:val="24"/>
                <w:lang w:val="en-US" w:eastAsia="zh-CN" w:bidi="ar-SA"/>
              </w:rPr>
              <w:t>每年清理1次，</w:t>
            </w:r>
            <w:r>
              <w:rPr>
                <w:rFonts w:hint="default" w:ascii="Times New Roman" w:hAnsi="Times New Roman" w:eastAsia="宋体" w:cs="Times New Roman"/>
                <w:b w:val="0"/>
                <w:bCs/>
                <w:snapToGrid w:val="0"/>
                <w:color w:val="0000FF"/>
                <w:kern w:val="0"/>
                <w:sz w:val="24"/>
                <w:szCs w:val="21"/>
                <w:highlight w:val="none"/>
                <w:lang w:val="en-US" w:eastAsia="zh-CN" w:bidi="ar-SA"/>
              </w:rPr>
              <w:t>委托有资质的单位定期回收后处理。</w:t>
            </w:r>
          </w:p>
          <w:p w14:paraId="5377EE9F">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b w:val="0"/>
                <w:bCs/>
                <w:snapToGrid w:val="0"/>
                <w:color w:val="auto"/>
                <w:kern w:val="0"/>
                <w:sz w:val="24"/>
                <w:szCs w:val="21"/>
                <w:lang w:val="en-US" w:eastAsia="zh-CN" w:bidi="ar-SA"/>
              </w:rPr>
            </w:pPr>
            <w:r>
              <w:rPr>
                <w:rFonts w:hint="default" w:ascii="Times New Roman" w:hAnsi="Times New Roman" w:eastAsia="宋体" w:cs="Times New Roman"/>
                <w:b w:val="0"/>
                <w:bCs/>
                <w:snapToGrid w:val="0"/>
                <w:color w:val="auto"/>
                <w:kern w:val="0"/>
                <w:sz w:val="24"/>
                <w:szCs w:val="21"/>
                <w:lang w:val="en-US" w:eastAsia="zh-CN" w:bidi="ar-SA"/>
              </w:rPr>
              <w:t>（</w:t>
            </w:r>
            <w:r>
              <w:rPr>
                <w:rFonts w:hint="default" w:ascii="Times New Roman" w:hAnsi="Times New Roman" w:cs="Times New Roman"/>
                <w:b w:val="0"/>
                <w:bCs/>
                <w:snapToGrid w:val="0"/>
                <w:color w:val="auto"/>
                <w:kern w:val="0"/>
                <w:sz w:val="24"/>
                <w:szCs w:val="21"/>
                <w:lang w:val="en-US" w:eastAsia="zh-CN" w:bidi="ar-SA"/>
              </w:rPr>
              <w:t>14</w:t>
            </w:r>
            <w:r>
              <w:rPr>
                <w:rFonts w:hint="default" w:ascii="Times New Roman" w:hAnsi="Times New Roman" w:eastAsia="宋体" w:cs="Times New Roman"/>
                <w:b w:val="0"/>
                <w:bCs/>
                <w:snapToGrid w:val="0"/>
                <w:color w:val="auto"/>
                <w:kern w:val="0"/>
                <w:sz w:val="24"/>
                <w:szCs w:val="21"/>
                <w:lang w:val="en-US" w:eastAsia="zh-CN" w:bidi="ar-SA"/>
              </w:rPr>
              <w:t>）废矿物油</w:t>
            </w:r>
          </w:p>
          <w:p w14:paraId="1033BF8A">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机械设备维修检修过程产生</w:t>
            </w:r>
            <w:r>
              <w:rPr>
                <w:rFonts w:hint="default" w:ascii="Times New Roman" w:hAnsi="Times New Roman" w:eastAsia="宋体" w:cs="Times New Roman"/>
                <w:b w:val="0"/>
                <w:bCs/>
                <w:snapToGrid w:val="0"/>
                <w:color w:val="auto"/>
                <w:kern w:val="0"/>
                <w:sz w:val="24"/>
                <w:szCs w:val="21"/>
                <w:lang w:val="en-US" w:eastAsia="zh-CN" w:bidi="ar-SA"/>
              </w:rPr>
              <w:t>废润滑油</w:t>
            </w:r>
            <w:r>
              <w:rPr>
                <w:rFonts w:hint="default" w:ascii="Times New Roman" w:hAnsi="Times New Roman" w:eastAsia="宋体" w:cs="Times New Roman"/>
                <w:snapToGrid w:val="0"/>
                <w:color w:val="auto"/>
                <w:kern w:val="0"/>
                <w:sz w:val="24"/>
                <w:szCs w:val="24"/>
                <w:lang w:val="en-US" w:eastAsia="zh-CN" w:bidi="ar-SA"/>
              </w:rPr>
              <w:t>，产生量约0.1t/a，根据《国家危险废物名录（2025年版）》，废矿物油属于危险废物，废物类别为“HW08 其他生产、销售、使用过程中产生的废矿物油及沾染矿物油的废弃包装物”，废物代码 900-249-08。产生的废矿物油经收集至厂区危废暂存间暂存，危废暂存间建筑面积为</w:t>
            </w:r>
            <w:r>
              <w:rPr>
                <w:rFonts w:hint="default" w:ascii="Times New Roman" w:hAnsi="Times New Roman" w:cs="Times New Roman"/>
                <w:snapToGrid w:val="0"/>
                <w:color w:val="auto"/>
                <w:kern w:val="0"/>
                <w:sz w:val="24"/>
                <w:szCs w:val="24"/>
                <w:lang w:val="en-US" w:eastAsia="zh-CN" w:bidi="ar-SA"/>
              </w:rPr>
              <w:t>9</w:t>
            </w:r>
            <w:r>
              <w:rPr>
                <w:rFonts w:hint="default" w:ascii="Times New Roman" w:hAnsi="Times New Roman" w:eastAsia="宋体" w:cs="Times New Roman"/>
                <w:snapToGrid w:val="0"/>
                <w:color w:val="auto"/>
                <w:kern w:val="0"/>
                <w:sz w:val="24"/>
                <w:szCs w:val="24"/>
                <w:lang w:val="en-US" w:eastAsia="zh-CN" w:bidi="ar-SA"/>
              </w:rPr>
              <w:t>m</w:t>
            </w:r>
            <w:r>
              <w:rPr>
                <w:rFonts w:hint="default" w:ascii="Times New Roman" w:hAnsi="Times New Roman" w:eastAsia="宋体" w:cs="Times New Roman"/>
                <w:snapToGrid w:val="0"/>
                <w:color w:val="auto"/>
                <w:kern w:val="0"/>
                <w:sz w:val="24"/>
                <w:szCs w:val="24"/>
                <w:vertAlign w:val="superscript"/>
                <w:lang w:val="en-US" w:eastAsia="zh-CN" w:bidi="ar-SA"/>
              </w:rPr>
              <w:t>2</w:t>
            </w:r>
            <w:r>
              <w:rPr>
                <w:rFonts w:hint="default" w:ascii="Times New Roman" w:hAnsi="Times New Roman" w:eastAsia="宋体" w:cs="Times New Roman"/>
                <w:snapToGrid w:val="0"/>
                <w:color w:val="auto"/>
                <w:kern w:val="0"/>
                <w:sz w:val="24"/>
                <w:szCs w:val="24"/>
                <w:lang w:val="en-US" w:eastAsia="zh-CN" w:bidi="ar-SA"/>
              </w:rPr>
              <w:t>，定期委托有资质单位回收处理。</w:t>
            </w:r>
          </w:p>
          <w:p w14:paraId="1665D710">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b w:val="0"/>
                <w:bCs/>
                <w:snapToGrid w:val="0"/>
                <w:color w:val="auto"/>
                <w:kern w:val="0"/>
                <w:sz w:val="24"/>
                <w:szCs w:val="21"/>
                <w:lang w:val="en-US" w:eastAsia="zh-CN" w:bidi="ar-SA"/>
              </w:rPr>
            </w:pPr>
            <w:r>
              <w:rPr>
                <w:rFonts w:hint="default" w:ascii="Times New Roman" w:hAnsi="Times New Roman" w:eastAsia="宋体" w:cs="Times New Roman"/>
                <w:b w:val="0"/>
                <w:bCs/>
                <w:snapToGrid w:val="0"/>
                <w:color w:val="auto"/>
                <w:kern w:val="0"/>
                <w:sz w:val="24"/>
                <w:szCs w:val="21"/>
                <w:lang w:val="en-US" w:eastAsia="zh-CN" w:bidi="ar-SA"/>
              </w:rPr>
              <w:t>（</w:t>
            </w:r>
            <w:r>
              <w:rPr>
                <w:rFonts w:hint="default" w:ascii="Times New Roman" w:hAnsi="Times New Roman" w:cs="Times New Roman"/>
                <w:b w:val="0"/>
                <w:bCs/>
                <w:snapToGrid w:val="0"/>
                <w:color w:val="auto"/>
                <w:kern w:val="0"/>
                <w:sz w:val="24"/>
                <w:szCs w:val="21"/>
                <w:lang w:val="en-US" w:eastAsia="zh-CN" w:bidi="ar-SA"/>
              </w:rPr>
              <w:t>15</w:t>
            </w:r>
            <w:r>
              <w:rPr>
                <w:rFonts w:hint="default" w:ascii="Times New Roman" w:hAnsi="Times New Roman" w:eastAsia="宋体" w:cs="Times New Roman"/>
                <w:b w:val="0"/>
                <w:bCs/>
                <w:snapToGrid w:val="0"/>
                <w:color w:val="auto"/>
                <w:kern w:val="0"/>
                <w:sz w:val="24"/>
                <w:szCs w:val="21"/>
                <w:lang w:val="en-US" w:eastAsia="zh-CN" w:bidi="ar-SA"/>
              </w:rPr>
              <w:t>）废油桶</w:t>
            </w:r>
          </w:p>
          <w:p w14:paraId="13501F9D">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更换矿物油过程中产生废油桶，产生量约为0.03t/a，《国家危险废物名录（2025年版）》，废油桶属于危险废物，废物类别为“HW08 其他生产、销售、使用过程中产生的废矿物油及沾染矿物油的废弃包装物”，废物代码 900-249-08。产生的废油桶暂存至厂区危废暂存间暂存，危废暂存间建筑面积为</w:t>
            </w:r>
            <w:r>
              <w:rPr>
                <w:rFonts w:hint="default" w:ascii="Times New Roman" w:hAnsi="Times New Roman" w:cs="Times New Roman"/>
                <w:snapToGrid w:val="0"/>
                <w:color w:val="auto"/>
                <w:kern w:val="0"/>
                <w:sz w:val="24"/>
                <w:szCs w:val="24"/>
                <w:lang w:val="en-US" w:eastAsia="zh-CN" w:bidi="ar-SA"/>
              </w:rPr>
              <w:t>9</w:t>
            </w:r>
            <w:r>
              <w:rPr>
                <w:rFonts w:hint="default" w:ascii="Times New Roman" w:hAnsi="Times New Roman" w:eastAsia="宋体" w:cs="Times New Roman"/>
                <w:snapToGrid w:val="0"/>
                <w:color w:val="auto"/>
                <w:kern w:val="0"/>
                <w:sz w:val="24"/>
                <w:szCs w:val="24"/>
                <w:lang w:val="en-US" w:eastAsia="zh-CN" w:bidi="ar-SA"/>
              </w:rPr>
              <w:t>m</w:t>
            </w:r>
            <w:r>
              <w:rPr>
                <w:rFonts w:hint="default" w:ascii="Times New Roman" w:hAnsi="Times New Roman" w:eastAsia="宋体" w:cs="Times New Roman"/>
                <w:snapToGrid w:val="0"/>
                <w:color w:val="auto"/>
                <w:kern w:val="0"/>
                <w:sz w:val="24"/>
                <w:szCs w:val="24"/>
                <w:vertAlign w:val="superscript"/>
                <w:lang w:val="en-US" w:eastAsia="zh-CN" w:bidi="ar-SA"/>
              </w:rPr>
              <w:t>2</w:t>
            </w:r>
            <w:r>
              <w:rPr>
                <w:rFonts w:hint="default" w:ascii="Times New Roman" w:hAnsi="Times New Roman" w:eastAsia="宋体" w:cs="Times New Roman"/>
                <w:snapToGrid w:val="0"/>
                <w:color w:val="auto"/>
                <w:kern w:val="0"/>
                <w:sz w:val="24"/>
                <w:szCs w:val="24"/>
                <w:lang w:val="en-US" w:eastAsia="zh-CN" w:bidi="ar-SA"/>
              </w:rPr>
              <w:t>，定期委托有资质单位回收处理。</w:t>
            </w:r>
          </w:p>
          <w:p w14:paraId="25F07AD2">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snapToGrid w:val="0"/>
                <w:color w:val="auto"/>
                <w:kern w:val="0"/>
                <w:sz w:val="24"/>
                <w:szCs w:val="24"/>
                <w:lang w:val="en-US" w:eastAsia="zh-CN" w:bidi="ar-SA"/>
              </w:rPr>
            </w:pPr>
            <w:r>
              <w:rPr>
                <w:rFonts w:hint="eastAsia" w:cs="Times New Roman"/>
                <w:snapToGrid w:val="0"/>
                <w:color w:val="auto"/>
                <w:kern w:val="0"/>
                <w:sz w:val="24"/>
                <w:szCs w:val="24"/>
                <w:lang w:val="en-US" w:eastAsia="zh-CN" w:bidi="ar-SA"/>
              </w:rPr>
              <w:t>9.1.3 生活垃圾</w:t>
            </w:r>
          </w:p>
          <w:p w14:paraId="0D1373AD">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生活垃圾产生量按每人每天0.5kg计，本项目劳动定员</w:t>
            </w:r>
            <w:r>
              <w:rPr>
                <w:rFonts w:hint="default" w:ascii="Times New Roman" w:hAnsi="Times New Roman" w:cs="Times New Roman"/>
                <w:bCs/>
                <w:snapToGrid w:val="0"/>
                <w:color w:val="auto"/>
                <w:kern w:val="0"/>
                <w:sz w:val="24"/>
                <w:szCs w:val="21"/>
                <w:lang w:val="en-US" w:eastAsia="zh-CN" w:bidi="ar-SA"/>
              </w:rPr>
              <w:t>30</w:t>
            </w:r>
            <w:r>
              <w:rPr>
                <w:rFonts w:hint="default" w:ascii="Times New Roman" w:hAnsi="Times New Roman" w:eastAsia="宋体" w:cs="Times New Roman"/>
                <w:bCs/>
                <w:snapToGrid w:val="0"/>
                <w:color w:val="auto"/>
                <w:kern w:val="0"/>
                <w:sz w:val="24"/>
                <w:szCs w:val="21"/>
                <w:lang w:val="en-US" w:eastAsia="zh-CN" w:bidi="ar-SA"/>
              </w:rPr>
              <w:t>人，则生活垃圾产生总量为</w:t>
            </w:r>
            <w:r>
              <w:rPr>
                <w:rFonts w:hint="default" w:ascii="Times New Roman" w:hAnsi="Times New Roman" w:cs="Times New Roman"/>
                <w:bCs/>
                <w:snapToGrid w:val="0"/>
                <w:color w:val="auto"/>
                <w:kern w:val="0"/>
                <w:sz w:val="24"/>
                <w:szCs w:val="21"/>
                <w:lang w:val="en-US" w:eastAsia="zh-CN" w:bidi="ar-SA"/>
              </w:rPr>
              <w:t>4.74</w:t>
            </w:r>
            <w:r>
              <w:rPr>
                <w:rFonts w:hint="default" w:ascii="Times New Roman" w:hAnsi="Times New Roman" w:eastAsia="宋体" w:cs="Times New Roman"/>
                <w:bCs/>
                <w:snapToGrid w:val="0"/>
                <w:color w:val="auto"/>
                <w:kern w:val="0"/>
                <w:sz w:val="24"/>
                <w:szCs w:val="21"/>
                <w:lang w:val="en-US" w:eastAsia="zh-CN" w:bidi="ar-SA"/>
              </w:rPr>
              <w:t>t/a，委托环卫部门清运。</w:t>
            </w:r>
          </w:p>
          <w:p w14:paraId="5F8D62B0">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snapToGrid w:val="0"/>
                <w:color w:val="auto"/>
                <w:kern w:val="0"/>
                <w:sz w:val="24"/>
                <w:szCs w:val="24"/>
                <w:lang w:val="en-US" w:eastAsia="zh-CN" w:bidi="ar-SA"/>
              </w:rPr>
            </w:pPr>
            <w:r>
              <w:rPr>
                <w:rFonts w:hint="default" w:ascii="Times New Roman" w:hAnsi="Times New Roman" w:eastAsia="宋体" w:cs="Times New Roman"/>
                <w:snapToGrid w:val="0"/>
                <w:color w:val="auto"/>
                <w:kern w:val="0"/>
                <w:sz w:val="24"/>
                <w:szCs w:val="24"/>
                <w:lang w:val="en-US" w:eastAsia="zh-CN" w:bidi="ar-SA"/>
              </w:rPr>
              <w:t>根据环境保护部2017年第43号公告《建设项目危险废物环境影响评价指南》，针对危险废物列明危险废物的名称、数量、类别、形态、危险特性和污染防治措施等内容，本建成后危险废物汇总见下表。</w:t>
            </w:r>
          </w:p>
          <w:p w14:paraId="65F93CD6">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aps w:val="0"/>
                <w:color w:val="auto"/>
                <w:kern w:val="0"/>
                <w:sz w:val="24"/>
                <w:szCs w:val="24"/>
                <w:lang w:val="en-US" w:eastAsia="zh-CN" w:bidi="ar-SA"/>
              </w:rPr>
            </w:pPr>
            <w:r>
              <w:rPr>
                <w:rFonts w:hint="default" w:ascii="Times New Roman" w:hAnsi="Times New Roman" w:eastAsia="宋体" w:cs="Times New Roman"/>
                <w:b/>
                <w:bCs/>
                <w:caps w:val="0"/>
                <w:color w:val="auto"/>
                <w:kern w:val="0"/>
                <w:sz w:val="24"/>
                <w:szCs w:val="24"/>
                <w:lang w:val="en-US" w:eastAsia="zh-CN" w:bidi="ar-SA"/>
              </w:rPr>
              <w:t>表</w:t>
            </w:r>
            <w:r>
              <w:rPr>
                <w:rFonts w:hint="default" w:ascii="Times New Roman" w:hAnsi="Times New Roman" w:cs="Times New Roman"/>
                <w:b/>
                <w:bCs/>
                <w:caps w:val="0"/>
                <w:color w:val="auto"/>
                <w:kern w:val="0"/>
                <w:sz w:val="24"/>
                <w:szCs w:val="24"/>
                <w:lang w:val="en-US" w:eastAsia="zh-CN" w:bidi="ar-SA"/>
              </w:rPr>
              <w:t>4.9-1</w:t>
            </w:r>
            <w:r>
              <w:rPr>
                <w:rFonts w:hint="default" w:ascii="Times New Roman" w:hAnsi="Times New Roman" w:eastAsia="宋体" w:cs="Times New Roman"/>
                <w:b/>
                <w:bCs/>
                <w:caps w:val="0"/>
                <w:color w:val="auto"/>
                <w:kern w:val="0"/>
                <w:sz w:val="24"/>
                <w:szCs w:val="24"/>
                <w:lang w:val="en-US" w:eastAsia="zh-CN" w:bidi="ar-SA"/>
              </w:rPr>
              <w:t xml:space="preserve">  </w:t>
            </w:r>
            <w:r>
              <w:rPr>
                <w:rFonts w:hint="default" w:ascii="Times New Roman" w:hAnsi="Times New Roman" w:cs="Times New Roman"/>
                <w:b/>
                <w:bCs/>
                <w:caps w:val="0"/>
                <w:color w:val="auto"/>
                <w:kern w:val="0"/>
                <w:sz w:val="24"/>
                <w:szCs w:val="24"/>
                <w:lang w:val="en-US" w:eastAsia="zh-CN" w:bidi="ar-SA"/>
              </w:rPr>
              <w:t xml:space="preserve"> </w:t>
            </w:r>
            <w:r>
              <w:rPr>
                <w:rFonts w:hint="default" w:ascii="Times New Roman" w:hAnsi="Times New Roman" w:eastAsia="宋体" w:cs="Times New Roman"/>
                <w:b/>
                <w:bCs/>
                <w:caps w:val="0"/>
                <w:color w:val="auto"/>
                <w:kern w:val="0"/>
                <w:sz w:val="24"/>
                <w:szCs w:val="24"/>
                <w:lang w:val="en-US" w:eastAsia="zh-CN" w:bidi="ar-SA"/>
              </w:rPr>
              <w:t>本项目危险废物产生情况</w:t>
            </w:r>
          </w:p>
          <w:tbl>
            <w:tblPr>
              <w:tblStyle w:val="33"/>
              <w:tblW w:w="81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08"/>
              <w:gridCol w:w="549"/>
              <w:gridCol w:w="618"/>
              <w:gridCol w:w="990"/>
              <w:gridCol w:w="535"/>
              <w:gridCol w:w="679"/>
              <w:gridCol w:w="398"/>
              <w:gridCol w:w="611"/>
              <w:gridCol w:w="602"/>
              <w:gridCol w:w="481"/>
              <w:gridCol w:w="480"/>
              <w:gridCol w:w="1781"/>
            </w:tblGrid>
            <w:tr w14:paraId="42F26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08" w:type="dxa"/>
                  <w:noWrap w:val="0"/>
                  <w:vAlign w:val="center"/>
                </w:tcPr>
                <w:p w14:paraId="5F39EF8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序号</w:t>
                  </w:r>
                </w:p>
              </w:tc>
              <w:tc>
                <w:tcPr>
                  <w:tcW w:w="549" w:type="dxa"/>
                  <w:noWrap w:val="0"/>
                  <w:vAlign w:val="center"/>
                </w:tcPr>
                <w:p w14:paraId="0F49DF2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危险废物名称</w:t>
                  </w:r>
                </w:p>
              </w:tc>
              <w:tc>
                <w:tcPr>
                  <w:tcW w:w="618" w:type="dxa"/>
                  <w:noWrap w:val="0"/>
                  <w:vAlign w:val="center"/>
                </w:tcPr>
                <w:p w14:paraId="2CF2384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危险废物类别</w:t>
                  </w:r>
                </w:p>
              </w:tc>
              <w:tc>
                <w:tcPr>
                  <w:tcW w:w="990" w:type="dxa"/>
                  <w:noWrap w:val="0"/>
                  <w:vAlign w:val="center"/>
                </w:tcPr>
                <w:p w14:paraId="1FB2B31F">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危险废物代码</w:t>
                  </w:r>
                </w:p>
              </w:tc>
              <w:tc>
                <w:tcPr>
                  <w:tcW w:w="535" w:type="dxa"/>
                  <w:noWrap w:val="0"/>
                  <w:vAlign w:val="center"/>
                </w:tcPr>
                <w:p w14:paraId="11CD61A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产生量（t/a）</w:t>
                  </w:r>
                </w:p>
              </w:tc>
              <w:tc>
                <w:tcPr>
                  <w:tcW w:w="679" w:type="dxa"/>
                  <w:noWrap w:val="0"/>
                  <w:vAlign w:val="center"/>
                </w:tcPr>
                <w:p w14:paraId="6545B960">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产生工序及装置</w:t>
                  </w:r>
                </w:p>
              </w:tc>
              <w:tc>
                <w:tcPr>
                  <w:tcW w:w="398" w:type="dxa"/>
                  <w:noWrap w:val="0"/>
                  <w:vAlign w:val="center"/>
                </w:tcPr>
                <w:p w14:paraId="392C7ABE">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形态</w:t>
                  </w:r>
                </w:p>
              </w:tc>
              <w:tc>
                <w:tcPr>
                  <w:tcW w:w="611" w:type="dxa"/>
                  <w:noWrap w:val="0"/>
                  <w:vAlign w:val="center"/>
                </w:tcPr>
                <w:p w14:paraId="7B2F1AA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主要成分</w:t>
                  </w:r>
                </w:p>
              </w:tc>
              <w:tc>
                <w:tcPr>
                  <w:tcW w:w="602" w:type="dxa"/>
                  <w:noWrap w:val="0"/>
                  <w:vAlign w:val="center"/>
                </w:tcPr>
                <w:p w14:paraId="33248D5E">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有害成分</w:t>
                  </w:r>
                </w:p>
              </w:tc>
              <w:tc>
                <w:tcPr>
                  <w:tcW w:w="481" w:type="dxa"/>
                  <w:noWrap w:val="0"/>
                  <w:vAlign w:val="center"/>
                </w:tcPr>
                <w:p w14:paraId="121637C1">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产生周期</w:t>
                  </w:r>
                </w:p>
              </w:tc>
              <w:tc>
                <w:tcPr>
                  <w:tcW w:w="480" w:type="dxa"/>
                  <w:noWrap w:val="0"/>
                  <w:vAlign w:val="center"/>
                </w:tcPr>
                <w:p w14:paraId="27634C90">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危险特性</w:t>
                  </w:r>
                </w:p>
              </w:tc>
              <w:tc>
                <w:tcPr>
                  <w:tcW w:w="1781" w:type="dxa"/>
                  <w:noWrap w:val="0"/>
                  <w:vAlign w:val="center"/>
                </w:tcPr>
                <w:p w14:paraId="5C19DF11">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污染防治措施</w:t>
                  </w:r>
                </w:p>
              </w:tc>
            </w:tr>
            <w:tr w14:paraId="5D8F4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08" w:type="dxa"/>
                  <w:shd w:val="clear" w:color="auto" w:fill="auto"/>
                  <w:noWrap w:val="0"/>
                  <w:vAlign w:val="center"/>
                </w:tcPr>
                <w:p w14:paraId="37FB89B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w:t>
                  </w:r>
                </w:p>
              </w:tc>
              <w:tc>
                <w:tcPr>
                  <w:tcW w:w="549" w:type="dxa"/>
                  <w:noWrap w:val="0"/>
                  <w:vAlign w:val="center"/>
                </w:tcPr>
                <w:p w14:paraId="30FF317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废抹布</w:t>
                  </w:r>
                </w:p>
              </w:tc>
              <w:tc>
                <w:tcPr>
                  <w:tcW w:w="618" w:type="dxa"/>
                  <w:noWrap w:val="0"/>
                  <w:vAlign w:val="center"/>
                </w:tcPr>
                <w:p w14:paraId="6D7080AE">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HW12</w:t>
                  </w:r>
                </w:p>
              </w:tc>
              <w:tc>
                <w:tcPr>
                  <w:tcW w:w="990" w:type="dxa"/>
                  <w:noWrap w:val="0"/>
                  <w:vAlign w:val="center"/>
                </w:tcPr>
                <w:p w14:paraId="37A3879E">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900-253-12</w:t>
                  </w:r>
                </w:p>
              </w:tc>
              <w:tc>
                <w:tcPr>
                  <w:tcW w:w="535" w:type="dxa"/>
                  <w:noWrap w:val="0"/>
                  <w:vAlign w:val="center"/>
                </w:tcPr>
                <w:p w14:paraId="10C93D21">
                  <w:pPr>
                    <w:widowControl w:val="0"/>
                    <w:overflowPunct w:val="0"/>
                    <w:topLinePunct/>
                    <w:bidi w:val="0"/>
                    <w:spacing w:line="240" w:lineRule="auto"/>
                    <w:ind w:firstLine="0" w:firstLineChars="0"/>
                    <w:jc w:val="cente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0.01</w:t>
                  </w:r>
                </w:p>
              </w:tc>
              <w:tc>
                <w:tcPr>
                  <w:tcW w:w="679" w:type="dxa"/>
                  <w:noWrap w:val="0"/>
                  <w:vAlign w:val="center"/>
                </w:tcPr>
                <w:p w14:paraId="11EF60ED">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丝印</w:t>
                  </w:r>
                </w:p>
              </w:tc>
              <w:tc>
                <w:tcPr>
                  <w:tcW w:w="398" w:type="dxa"/>
                  <w:noWrap w:val="0"/>
                  <w:vAlign w:val="center"/>
                </w:tcPr>
                <w:p w14:paraId="517F3D6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固态</w:t>
                  </w:r>
                </w:p>
              </w:tc>
              <w:tc>
                <w:tcPr>
                  <w:tcW w:w="611" w:type="dxa"/>
                  <w:noWrap w:val="0"/>
                  <w:vAlign w:val="center"/>
                </w:tcPr>
                <w:p w14:paraId="08EEDD6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纺织品</w:t>
                  </w:r>
                </w:p>
              </w:tc>
              <w:tc>
                <w:tcPr>
                  <w:tcW w:w="602" w:type="dxa"/>
                  <w:noWrap w:val="0"/>
                  <w:vAlign w:val="center"/>
                </w:tcPr>
                <w:p w14:paraId="0492B69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油墨</w:t>
                  </w:r>
                </w:p>
              </w:tc>
              <w:tc>
                <w:tcPr>
                  <w:tcW w:w="481" w:type="dxa"/>
                  <w:noWrap w:val="0"/>
                  <w:vAlign w:val="center"/>
                </w:tcPr>
                <w:p w14:paraId="6756DB9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1a</w:t>
                  </w:r>
                </w:p>
              </w:tc>
              <w:tc>
                <w:tcPr>
                  <w:tcW w:w="480" w:type="dxa"/>
                  <w:noWrap w:val="0"/>
                  <w:vAlign w:val="center"/>
                </w:tcPr>
                <w:p w14:paraId="7F78E18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T、I</w:t>
                  </w:r>
                </w:p>
              </w:tc>
              <w:tc>
                <w:tcPr>
                  <w:tcW w:w="1781" w:type="dxa"/>
                  <w:noWrap w:val="0"/>
                  <w:vAlign w:val="center"/>
                </w:tcPr>
                <w:p w14:paraId="3BAE58A1">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危废暂存间，委托委托有资质单位回收处理</w:t>
                  </w:r>
                </w:p>
              </w:tc>
            </w:tr>
            <w:tr w14:paraId="184F5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08" w:type="dxa"/>
                  <w:shd w:val="clear" w:color="auto" w:fill="auto"/>
                  <w:noWrap w:val="0"/>
                  <w:vAlign w:val="center"/>
                </w:tcPr>
                <w:p w14:paraId="5823F5C9">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2</w:t>
                  </w:r>
                </w:p>
              </w:tc>
              <w:tc>
                <w:tcPr>
                  <w:tcW w:w="549" w:type="dxa"/>
                  <w:noWrap w:val="0"/>
                  <w:vAlign w:val="center"/>
                </w:tcPr>
                <w:p w14:paraId="5B3A0EBF">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废油墨桶</w:t>
                  </w:r>
                </w:p>
              </w:tc>
              <w:tc>
                <w:tcPr>
                  <w:tcW w:w="618" w:type="dxa"/>
                  <w:shd w:val="clear" w:color="auto" w:fill="auto"/>
                  <w:noWrap w:val="0"/>
                  <w:vAlign w:val="center"/>
                </w:tcPr>
                <w:p w14:paraId="282A373F">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HW12</w:t>
                  </w:r>
                </w:p>
              </w:tc>
              <w:tc>
                <w:tcPr>
                  <w:tcW w:w="990" w:type="dxa"/>
                  <w:shd w:val="clear" w:color="auto" w:fill="auto"/>
                  <w:noWrap w:val="0"/>
                  <w:vAlign w:val="center"/>
                </w:tcPr>
                <w:p w14:paraId="5FA75499">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900-253-12</w:t>
                  </w:r>
                </w:p>
              </w:tc>
              <w:tc>
                <w:tcPr>
                  <w:tcW w:w="535" w:type="dxa"/>
                  <w:shd w:val="clear" w:color="auto" w:fill="auto"/>
                  <w:noWrap w:val="0"/>
                  <w:vAlign w:val="center"/>
                </w:tcPr>
                <w:p w14:paraId="72D99E50">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0.006</w:t>
                  </w:r>
                </w:p>
              </w:tc>
              <w:tc>
                <w:tcPr>
                  <w:tcW w:w="679" w:type="dxa"/>
                  <w:shd w:val="clear" w:color="auto" w:fill="auto"/>
                  <w:noWrap w:val="0"/>
                  <w:vAlign w:val="center"/>
                </w:tcPr>
                <w:p w14:paraId="34FB8641">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丝印</w:t>
                  </w:r>
                </w:p>
              </w:tc>
              <w:tc>
                <w:tcPr>
                  <w:tcW w:w="398" w:type="dxa"/>
                  <w:shd w:val="clear" w:color="auto" w:fill="auto"/>
                  <w:noWrap w:val="0"/>
                  <w:vAlign w:val="center"/>
                </w:tcPr>
                <w:p w14:paraId="3CAE388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固态</w:t>
                  </w:r>
                </w:p>
              </w:tc>
              <w:tc>
                <w:tcPr>
                  <w:tcW w:w="611" w:type="dxa"/>
                  <w:shd w:val="clear" w:color="auto" w:fill="auto"/>
                  <w:noWrap w:val="0"/>
                  <w:vAlign w:val="center"/>
                </w:tcPr>
                <w:p w14:paraId="74EA164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金属</w:t>
                  </w:r>
                </w:p>
              </w:tc>
              <w:tc>
                <w:tcPr>
                  <w:tcW w:w="602" w:type="dxa"/>
                  <w:shd w:val="clear" w:color="auto" w:fill="auto"/>
                  <w:noWrap w:val="0"/>
                  <w:vAlign w:val="center"/>
                </w:tcPr>
                <w:p w14:paraId="1351450F">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油墨</w:t>
                  </w:r>
                </w:p>
              </w:tc>
              <w:tc>
                <w:tcPr>
                  <w:tcW w:w="481" w:type="dxa"/>
                  <w:shd w:val="clear" w:color="auto" w:fill="auto"/>
                  <w:noWrap w:val="0"/>
                  <w:vAlign w:val="center"/>
                </w:tcPr>
                <w:p w14:paraId="46A1B97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1a</w:t>
                  </w:r>
                </w:p>
              </w:tc>
              <w:tc>
                <w:tcPr>
                  <w:tcW w:w="480" w:type="dxa"/>
                  <w:shd w:val="clear" w:color="auto" w:fill="auto"/>
                  <w:noWrap w:val="0"/>
                  <w:vAlign w:val="center"/>
                </w:tcPr>
                <w:p w14:paraId="194B56C1">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T、I</w:t>
                  </w:r>
                </w:p>
              </w:tc>
              <w:tc>
                <w:tcPr>
                  <w:tcW w:w="1781" w:type="dxa"/>
                  <w:noWrap w:val="0"/>
                  <w:vAlign w:val="center"/>
                </w:tcPr>
                <w:p w14:paraId="50E9E972">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危废暂存间，委托委托有资质单位回收处理</w:t>
                  </w:r>
                </w:p>
              </w:tc>
            </w:tr>
            <w:tr w14:paraId="6E471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08" w:type="dxa"/>
                  <w:shd w:val="clear" w:color="auto" w:fill="auto"/>
                  <w:noWrap w:val="0"/>
                  <w:vAlign w:val="center"/>
                </w:tcPr>
                <w:p w14:paraId="4285727E">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3</w:t>
                  </w:r>
                </w:p>
              </w:tc>
              <w:tc>
                <w:tcPr>
                  <w:tcW w:w="549" w:type="dxa"/>
                  <w:noWrap w:val="0"/>
                  <w:vAlign w:val="center"/>
                </w:tcPr>
                <w:p w14:paraId="21CBA357">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废丝印版</w:t>
                  </w:r>
                </w:p>
              </w:tc>
              <w:tc>
                <w:tcPr>
                  <w:tcW w:w="618" w:type="dxa"/>
                  <w:shd w:val="clear" w:color="auto" w:fill="auto"/>
                  <w:noWrap w:val="0"/>
                  <w:vAlign w:val="center"/>
                </w:tcPr>
                <w:p w14:paraId="2E67E22B">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HW12</w:t>
                  </w:r>
                </w:p>
              </w:tc>
              <w:tc>
                <w:tcPr>
                  <w:tcW w:w="990" w:type="dxa"/>
                  <w:shd w:val="clear" w:color="auto" w:fill="auto"/>
                  <w:noWrap w:val="0"/>
                  <w:vAlign w:val="center"/>
                </w:tcPr>
                <w:p w14:paraId="217A73E9">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900-253-12</w:t>
                  </w:r>
                </w:p>
              </w:tc>
              <w:tc>
                <w:tcPr>
                  <w:tcW w:w="535" w:type="dxa"/>
                  <w:shd w:val="clear" w:color="auto" w:fill="auto"/>
                  <w:noWrap w:val="0"/>
                  <w:vAlign w:val="center"/>
                </w:tcPr>
                <w:p w14:paraId="5C0946F2">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0.01</w:t>
                  </w:r>
                </w:p>
              </w:tc>
              <w:tc>
                <w:tcPr>
                  <w:tcW w:w="679" w:type="dxa"/>
                  <w:shd w:val="clear" w:color="auto" w:fill="auto"/>
                  <w:noWrap w:val="0"/>
                  <w:vAlign w:val="center"/>
                </w:tcPr>
                <w:p w14:paraId="5DE8D8B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丝印</w:t>
                  </w:r>
                </w:p>
              </w:tc>
              <w:tc>
                <w:tcPr>
                  <w:tcW w:w="398" w:type="dxa"/>
                  <w:shd w:val="clear" w:color="auto" w:fill="auto"/>
                  <w:noWrap w:val="0"/>
                  <w:vAlign w:val="center"/>
                </w:tcPr>
                <w:p w14:paraId="6E4D60A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固态</w:t>
                  </w:r>
                </w:p>
              </w:tc>
              <w:tc>
                <w:tcPr>
                  <w:tcW w:w="611" w:type="dxa"/>
                  <w:shd w:val="clear" w:color="auto" w:fill="auto"/>
                  <w:noWrap w:val="0"/>
                  <w:vAlign w:val="center"/>
                </w:tcPr>
                <w:p w14:paraId="4986006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金属</w:t>
                  </w:r>
                </w:p>
              </w:tc>
              <w:tc>
                <w:tcPr>
                  <w:tcW w:w="602" w:type="dxa"/>
                  <w:shd w:val="clear" w:color="auto" w:fill="auto"/>
                  <w:noWrap w:val="0"/>
                  <w:vAlign w:val="center"/>
                </w:tcPr>
                <w:p w14:paraId="3385A37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油墨</w:t>
                  </w:r>
                </w:p>
              </w:tc>
              <w:tc>
                <w:tcPr>
                  <w:tcW w:w="481" w:type="dxa"/>
                  <w:shd w:val="clear" w:color="auto" w:fill="auto"/>
                  <w:noWrap w:val="0"/>
                  <w:vAlign w:val="center"/>
                </w:tcPr>
                <w:p w14:paraId="36331EC6">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1a</w:t>
                  </w:r>
                </w:p>
              </w:tc>
              <w:tc>
                <w:tcPr>
                  <w:tcW w:w="480" w:type="dxa"/>
                  <w:shd w:val="clear" w:color="auto" w:fill="auto"/>
                  <w:noWrap w:val="0"/>
                  <w:vAlign w:val="center"/>
                </w:tcPr>
                <w:p w14:paraId="566272FB">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T、I</w:t>
                  </w:r>
                </w:p>
              </w:tc>
              <w:tc>
                <w:tcPr>
                  <w:tcW w:w="1781" w:type="dxa"/>
                  <w:noWrap w:val="0"/>
                  <w:vAlign w:val="center"/>
                </w:tcPr>
                <w:p w14:paraId="5FB93420">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危废暂存间，委托委托有资质单位回收处理</w:t>
                  </w:r>
                </w:p>
              </w:tc>
            </w:tr>
            <w:tr w14:paraId="75FDCF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08" w:type="dxa"/>
                  <w:shd w:val="clear" w:color="auto" w:fill="auto"/>
                  <w:noWrap w:val="0"/>
                  <w:vAlign w:val="center"/>
                </w:tcPr>
                <w:p w14:paraId="6DFC503F">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4</w:t>
                  </w:r>
                </w:p>
              </w:tc>
              <w:tc>
                <w:tcPr>
                  <w:tcW w:w="549" w:type="dxa"/>
                  <w:noWrap w:val="0"/>
                  <w:vAlign w:val="center"/>
                </w:tcPr>
                <w:p w14:paraId="6997C64F">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液化石油气残液</w:t>
                  </w:r>
                </w:p>
              </w:tc>
              <w:tc>
                <w:tcPr>
                  <w:tcW w:w="618" w:type="dxa"/>
                  <w:noWrap w:val="0"/>
                  <w:vAlign w:val="center"/>
                </w:tcPr>
                <w:p w14:paraId="3BA8F872">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HW09</w:t>
                  </w:r>
                </w:p>
              </w:tc>
              <w:tc>
                <w:tcPr>
                  <w:tcW w:w="990" w:type="dxa"/>
                  <w:noWrap w:val="0"/>
                  <w:vAlign w:val="center"/>
                </w:tcPr>
                <w:p w14:paraId="560F48C7">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900-007- 09</w:t>
                  </w:r>
                </w:p>
              </w:tc>
              <w:tc>
                <w:tcPr>
                  <w:tcW w:w="535" w:type="dxa"/>
                  <w:noWrap w:val="0"/>
                  <w:vAlign w:val="center"/>
                </w:tcPr>
                <w:p w14:paraId="056F7C48">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kern w:val="2"/>
                      <w:sz w:val="21"/>
                      <w:szCs w:val="21"/>
                      <w:lang w:val="en-US" w:eastAsia="zh-CN" w:bidi="ar-SA"/>
                    </w:rPr>
                    <w:t>2.80</w:t>
                  </w:r>
                </w:p>
              </w:tc>
              <w:tc>
                <w:tcPr>
                  <w:tcW w:w="679" w:type="dxa"/>
                  <w:noWrap w:val="0"/>
                  <w:vAlign w:val="center"/>
                </w:tcPr>
                <w:p w14:paraId="5D2F379E">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液化石油气</w:t>
                  </w:r>
                  <w:r>
                    <w:rPr>
                      <w:rFonts w:hint="eastAsia" w:cs="Times New Roman"/>
                      <w:color w:val="0000FF"/>
                      <w:kern w:val="2"/>
                      <w:sz w:val="21"/>
                      <w:szCs w:val="21"/>
                      <w:lang w:val="en-US" w:eastAsia="zh-CN" w:bidi="ar-SA"/>
                    </w:rPr>
                    <w:t>瓶抽残</w:t>
                  </w:r>
                </w:p>
              </w:tc>
              <w:tc>
                <w:tcPr>
                  <w:tcW w:w="398" w:type="dxa"/>
                  <w:noWrap w:val="0"/>
                  <w:vAlign w:val="center"/>
                </w:tcPr>
                <w:p w14:paraId="77858A4E">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液态</w:t>
                  </w:r>
                </w:p>
              </w:tc>
              <w:tc>
                <w:tcPr>
                  <w:tcW w:w="611" w:type="dxa"/>
                  <w:noWrap w:val="0"/>
                  <w:vAlign w:val="center"/>
                </w:tcPr>
                <w:p w14:paraId="543829FF">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烃类物质</w:t>
                  </w:r>
                </w:p>
              </w:tc>
              <w:tc>
                <w:tcPr>
                  <w:tcW w:w="602" w:type="dxa"/>
                  <w:noWrap w:val="0"/>
                  <w:vAlign w:val="center"/>
                </w:tcPr>
                <w:p w14:paraId="6CE5DA67">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烃类物质</w:t>
                  </w:r>
                </w:p>
              </w:tc>
              <w:tc>
                <w:tcPr>
                  <w:tcW w:w="481" w:type="dxa"/>
                  <w:noWrap w:val="0"/>
                  <w:vAlign w:val="center"/>
                </w:tcPr>
                <w:p w14:paraId="308D33DA">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1a</w:t>
                  </w:r>
                </w:p>
              </w:tc>
              <w:tc>
                <w:tcPr>
                  <w:tcW w:w="480" w:type="dxa"/>
                  <w:noWrap w:val="0"/>
                  <w:vAlign w:val="center"/>
                </w:tcPr>
                <w:p w14:paraId="464E63B9">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T</w:t>
                  </w:r>
                </w:p>
              </w:tc>
              <w:tc>
                <w:tcPr>
                  <w:tcW w:w="1781" w:type="dxa"/>
                  <w:noWrap w:val="0"/>
                  <w:vAlign w:val="center"/>
                </w:tcPr>
                <w:p w14:paraId="3B0D23FF">
                  <w:pPr>
                    <w:widowControl w:val="0"/>
                    <w:overflowPunct w:val="0"/>
                    <w:topLinePunct/>
                    <w:bidi w:val="0"/>
                    <w:spacing w:line="240" w:lineRule="auto"/>
                    <w:ind w:firstLine="0" w:firstLineChars="0"/>
                    <w:jc w:val="center"/>
                    <w:rPr>
                      <w:rFonts w:hint="default" w:ascii="Times New Roman" w:hAnsi="Times New Roman" w:eastAsia="宋体" w:cs="Times New Roman"/>
                      <w:color w:val="0000FF"/>
                      <w:kern w:val="2"/>
                      <w:sz w:val="21"/>
                      <w:szCs w:val="21"/>
                      <w:lang w:val="en-US" w:eastAsia="zh-CN" w:bidi="ar-SA"/>
                    </w:rPr>
                  </w:pPr>
                  <w:r>
                    <w:rPr>
                      <w:rFonts w:hint="eastAsia" w:cs="Times New Roman"/>
                      <w:color w:val="0000FF"/>
                      <w:kern w:val="2"/>
                      <w:sz w:val="21"/>
                      <w:szCs w:val="21"/>
                      <w:lang w:val="en-US" w:eastAsia="zh-CN" w:bidi="ar-SA"/>
                    </w:rPr>
                    <w:t>危废间</w:t>
                  </w:r>
                  <w:r>
                    <w:rPr>
                      <w:rFonts w:hint="default" w:ascii="Times New Roman" w:hAnsi="Times New Roman" w:eastAsia="宋体" w:cs="Times New Roman"/>
                      <w:color w:val="0000FF"/>
                      <w:kern w:val="2"/>
                      <w:sz w:val="21"/>
                      <w:szCs w:val="21"/>
                      <w:lang w:val="en-US" w:eastAsia="zh-CN" w:bidi="ar-SA"/>
                    </w:rPr>
                    <w:t>暂存，委托有资质的单位定期回收</w:t>
                  </w:r>
                </w:p>
              </w:tc>
            </w:tr>
            <w:tr w14:paraId="79978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08" w:type="dxa"/>
                  <w:noWrap w:val="0"/>
                  <w:vAlign w:val="center"/>
                </w:tcPr>
                <w:p w14:paraId="610F756A">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5</w:t>
                  </w:r>
                </w:p>
              </w:tc>
              <w:tc>
                <w:tcPr>
                  <w:tcW w:w="549" w:type="dxa"/>
                  <w:shd w:val="clear" w:color="auto" w:fill="auto"/>
                  <w:noWrap w:val="0"/>
                  <w:vAlign w:val="center"/>
                </w:tcPr>
                <w:p w14:paraId="5B05A4D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废矿物油</w:t>
                  </w:r>
                </w:p>
              </w:tc>
              <w:tc>
                <w:tcPr>
                  <w:tcW w:w="618" w:type="dxa"/>
                  <w:shd w:val="clear" w:color="auto" w:fill="auto"/>
                  <w:noWrap w:val="0"/>
                  <w:vAlign w:val="center"/>
                </w:tcPr>
                <w:p w14:paraId="4EF591CB">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HW08</w:t>
                  </w:r>
                </w:p>
              </w:tc>
              <w:tc>
                <w:tcPr>
                  <w:tcW w:w="990" w:type="dxa"/>
                  <w:shd w:val="clear" w:color="auto" w:fill="auto"/>
                  <w:noWrap w:val="0"/>
                  <w:vAlign w:val="center"/>
                </w:tcPr>
                <w:p w14:paraId="69BED6E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900-249-08</w:t>
                  </w:r>
                </w:p>
              </w:tc>
              <w:tc>
                <w:tcPr>
                  <w:tcW w:w="535" w:type="dxa"/>
                  <w:shd w:val="clear" w:color="auto" w:fill="auto"/>
                  <w:noWrap w:val="0"/>
                  <w:vAlign w:val="center"/>
                </w:tcPr>
                <w:p w14:paraId="0DFCCF72">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0.1</w:t>
                  </w:r>
                </w:p>
              </w:tc>
              <w:tc>
                <w:tcPr>
                  <w:tcW w:w="679" w:type="dxa"/>
                  <w:shd w:val="clear" w:color="auto" w:fill="auto"/>
                  <w:noWrap w:val="0"/>
                  <w:vAlign w:val="center"/>
                </w:tcPr>
                <w:p w14:paraId="38119C1D">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设备维修检修过程</w:t>
                  </w:r>
                </w:p>
              </w:tc>
              <w:tc>
                <w:tcPr>
                  <w:tcW w:w="398" w:type="dxa"/>
                  <w:shd w:val="clear" w:color="auto" w:fill="auto"/>
                  <w:noWrap w:val="0"/>
                  <w:vAlign w:val="center"/>
                </w:tcPr>
                <w:p w14:paraId="75613A42">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液态</w:t>
                  </w:r>
                </w:p>
              </w:tc>
              <w:tc>
                <w:tcPr>
                  <w:tcW w:w="611" w:type="dxa"/>
                  <w:shd w:val="clear" w:color="auto" w:fill="auto"/>
                  <w:noWrap w:val="0"/>
                  <w:vAlign w:val="center"/>
                </w:tcPr>
                <w:p w14:paraId="25E8A5EA">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矿物油</w:t>
                  </w:r>
                </w:p>
              </w:tc>
              <w:tc>
                <w:tcPr>
                  <w:tcW w:w="602" w:type="dxa"/>
                  <w:shd w:val="clear" w:color="auto" w:fill="auto"/>
                  <w:noWrap w:val="0"/>
                  <w:vAlign w:val="center"/>
                </w:tcPr>
                <w:p w14:paraId="51DC93BA">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矿物油</w:t>
                  </w:r>
                </w:p>
              </w:tc>
              <w:tc>
                <w:tcPr>
                  <w:tcW w:w="481" w:type="dxa"/>
                  <w:shd w:val="clear" w:color="auto" w:fill="auto"/>
                  <w:noWrap w:val="0"/>
                  <w:vAlign w:val="center"/>
                </w:tcPr>
                <w:p w14:paraId="7556A61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1a</w:t>
                  </w:r>
                </w:p>
              </w:tc>
              <w:tc>
                <w:tcPr>
                  <w:tcW w:w="480" w:type="dxa"/>
                  <w:shd w:val="clear" w:color="auto" w:fill="auto"/>
                  <w:noWrap w:val="0"/>
                  <w:vAlign w:val="center"/>
                </w:tcPr>
                <w:p w14:paraId="247DE020">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T，I</w:t>
                  </w:r>
                </w:p>
              </w:tc>
              <w:tc>
                <w:tcPr>
                  <w:tcW w:w="1781" w:type="dxa"/>
                  <w:shd w:val="clear" w:color="auto" w:fill="auto"/>
                  <w:noWrap w:val="0"/>
                  <w:vAlign w:val="center"/>
                </w:tcPr>
                <w:p w14:paraId="50B6012D">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危废暂存间，委托委托有资质单位回收处理</w:t>
                  </w:r>
                </w:p>
              </w:tc>
            </w:tr>
            <w:tr w14:paraId="2067E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408" w:type="dxa"/>
                  <w:noWrap w:val="0"/>
                  <w:vAlign w:val="center"/>
                </w:tcPr>
                <w:p w14:paraId="46549049">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6</w:t>
                  </w:r>
                </w:p>
              </w:tc>
              <w:tc>
                <w:tcPr>
                  <w:tcW w:w="549" w:type="dxa"/>
                  <w:shd w:val="clear" w:color="auto" w:fill="auto"/>
                  <w:noWrap w:val="0"/>
                  <w:vAlign w:val="center"/>
                </w:tcPr>
                <w:p w14:paraId="0FEA360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废油桶</w:t>
                  </w:r>
                </w:p>
              </w:tc>
              <w:tc>
                <w:tcPr>
                  <w:tcW w:w="618" w:type="dxa"/>
                  <w:shd w:val="clear" w:color="auto" w:fill="auto"/>
                  <w:noWrap w:val="0"/>
                  <w:vAlign w:val="center"/>
                </w:tcPr>
                <w:p w14:paraId="5363B719">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HW08</w:t>
                  </w:r>
                </w:p>
              </w:tc>
              <w:tc>
                <w:tcPr>
                  <w:tcW w:w="990" w:type="dxa"/>
                  <w:shd w:val="clear" w:color="auto" w:fill="auto"/>
                  <w:noWrap w:val="0"/>
                  <w:vAlign w:val="center"/>
                </w:tcPr>
                <w:p w14:paraId="39613E96">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900-249-08</w:t>
                  </w:r>
                </w:p>
              </w:tc>
              <w:tc>
                <w:tcPr>
                  <w:tcW w:w="535" w:type="dxa"/>
                  <w:shd w:val="clear" w:color="auto" w:fill="auto"/>
                  <w:noWrap w:val="0"/>
                  <w:vAlign w:val="center"/>
                </w:tcPr>
                <w:p w14:paraId="37E6648B">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0.03</w:t>
                  </w:r>
                </w:p>
              </w:tc>
              <w:tc>
                <w:tcPr>
                  <w:tcW w:w="679" w:type="dxa"/>
                  <w:shd w:val="clear" w:color="auto" w:fill="auto"/>
                  <w:noWrap w:val="0"/>
                  <w:vAlign w:val="center"/>
                </w:tcPr>
                <w:p w14:paraId="5D83FC00">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更换矿物油</w:t>
                  </w:r>
                </w:p>
              </w:tc>
              <w:tc>
                <w:tcPr>
                  <w:tcW w:w="398" w:type="dxa"/>
                  <w:shd w:val="clear" w:color="auto" w:fill="auto"/>
                  <w:noWrap w:val="0"/>
                  <w:vAlign w:val="center"/>
                </w:tcPr>
                <w:p w14:paraId="07AB77D0">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固态</w:t>
                  </w:r>
                </w:p>
              </w:tc>
              <w:tc>
                <w:tcPr>
                  <w:tcW w:w="611" w:type="dxa"/>
                  <w:shd w:val="clear" w:color="auto" w:fill="auto"/>
                  <w:noWrap w:val="0"/>
                  <w:vAlign w:val="center"/>
                </w:tcPr>
                <w:p w14:paraId="25DB310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矿物油</w:t>
                  </w:r>
                </w:p>
              </w:tc>
              <w:tc>
                <w:tcPr>
                  <w:tcW w:w="602" w:type="dxa"/>
                  <w:shd w:val="clear" w:color="auto" w:fill="auto"/>
                  <w:noWrap w:val="0"/>
                  <w:vAlign w:val="center"/>
                </w:tcPr>
                <w:p w14:paraId="5D48B05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矿物油</w:t>
                  </w:r>
                </w:p>
              </w:tc>
              <w:tc>
                <w:tcPr>
                  <w:tcW w:w="481" w:type="dxa"/>
                  <w:shd w:val="clear" w:color="auto" w:fill="auto"/>
                  <w:noWrap w:val="0"/>
                  <w:vAlign w:val="center"/>
                </w:tcPr>
                <w:p w14:paraId="2BA1CE77">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1a</w:t>
                  </w:r>
                </w:p>
              </w:tc>
              <w:tc>
                <w:tcPr>
                  <w:tcW w:w="480" w:type="dxa"/>
                  <w:shd w:val="clear" w:color="auto" w:fill="auto"/>
                  <w:noWrap w:val="0"/>
                  <w:vAlign w:val="center"/>
                </w:tcPr>
                <w:p w14:paraId="4157D04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T，I</w:t>
                  </w:r>
                </w:p>
              </w:tc>
              <w:tc>
                <w:tcPr>
                  <w:tcW w:w="1781" w:type="dxa"/>
                  <w:shd w:val="clear" w:color="auto" w:fill="auto"/>
                  <w:noWrap w:val="0"/>
                  <w:vAlign w:val="center"/>
                </w:tcPr>
                <w:p w14:paraId="7AE381A6">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危废暂存间，委托委托有资质单位回收处理</w:t>
                  </w:r>
                </w:p>
              </w:tc>
            </w:tr>
          </w:tbl>
          <w:p w14:paraId="38131639">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bCs/>
                <w:snapToGrid w:val="0"/>
                <w:color w:val="auto"/>
                <w:kern w:val="0"/>
                <w:sz w:val="24"/>
                <w:szCs w:val="21"/>
                <w:lang w:val="en-US" w:eastAsia="zh-CN" w:bidi="ar-SA"/>
              </w:rPr>
            </w:pPr>
          </w:p>
          <w:p w14:paraId="2B0C76B9">
            <w:pPr>
              <w:widowControl/>
              <w:suppressAutoHyphens/>
              <w:adjustRightInd w:val="0"/>
              <w:snapToGrid w:val="0"/>
              <w:spacing w:before="60" w:after="0" w:line="360" w:lineRule="auto"/>
              <w:ind w:right="113" w:firstLine="480" w:firstLineChars="200"/>
              <w:jc w:val="both"/>
              <w:textAlignment w:val="center"/>
              <w:rPr>
                <w:rFonts w:hint="default" w:ascii="Times New Roman" w:hAnsi="Times New Roman" w:eastAsia="宋体" w:cs="Times New Roman"/>
                <w:bCs/>
                <w:snapToGrid w:val="0"/>
                <w:color w:val="auto"/>
                <w:kern w:val="0"/>
                <w:sz w:val="24"/>
                <w:szCs w:val="21"/>
                <w:lang w:val="en-US" w:eastAsia="zh-CN" w:bidi="ar-SA"/>
              </w:rPr>
            </w:pPr>
            <w:r>
              <w:rPr>
                <w:rFonts w:hint="default" w:ascii="Times New Roman" w:hAnsi="Times New Roman" w:eastAsia="宋体" w:cs="Times New Roman"/>
                <w:bCs/>
                <w:snapToGrid w:val="0"/>
                <w:color w:val="auto"/>
                <w:kern w:val="0"/>
                <w:sz w:val="24"/>
                <w:szCs w:val="21"/>
                <w:lang w:val="en-US" w:eastAsia="zh-CN" w:bidi="ar-SA"/>
              </w:rPr>
              <w:t>本项目固废产生情况见</w:t>
            </w:r>
            <w:r>
              <w:rPr>
                <w:rFonts w:hint="default" w:ascii="Times New Roman" w:hAnsi="Times New Roman" w:cs="Times New Roman"/>
                <w:bCs/>
                <w:snapToGrid w:val="0"/>
                <w:color w:val="auto"/>
                <w:kern w:val="0"/>
                <w:sz w:val="24"/>
                <w:szCs w:val="21"/>
                <w:lang w:val="en-US" w:eastAsia="zh-CN" w:bidi="ar-SA"/>
              </w:rPr>
              <w:t>下表</w:t>
            </w:r>
            <w:r>
              <w:rPr>
                <w:rFonts w:hint="default" w:ascii="Times New Roman" w:hAnsi="Times New Roman" w:eastAsia="宋体" w:cs="Times New Roman"/>
                <w:bCs/>
                <w:snapToGrid w:val="0"/>
                <w:color w:val="auto"/>
                <w:kern w:val="0"/>
                <w:sz w:val="24"/>
                <w:szCs w:val="21"/>
                <w:lang w:val="en-US" w:eastAsia="zh-CN" w:bidi="ar-SA"/>
              </w:rPr>
              <w:t>。</w:t>
            </w:r>
          </w:p>
          <w:p w14:paraId="01489415">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val="0"/>
                <w:color w:val="auto"/>
                <w:sz w:val="24"/>
                <w:szCs w:val="24"/>
                <w:lang w:val="en-US" w:eastAsia="zh-CN"/>
              </w:rPr>
            </w:pPr>
          </w:p>
          <w:p w14:paraId="04C726F0">
            <w:pPr>
              <w:adjustRightInd w:val="0"/>
              <w:snapToGrid w:val="0"/>
              <w:spacing w:line="360" w:lineRule="auto"/>
              <w:rPr>
                <w:rFonts w:hint="default" w:ascii="Times New Roman" w:hAnsi="Times New Roman" w:cs="Times New Roman"/>
                <w:b/>
                <w:color w:val="auto"/>
                <w:kern w:val="0"/>
                <w:sz w:val="28"/>
                <w:szCs w:val="28"/>
                <w:vertAlign w:val="baseline"/>
              </w:rPr>
            </w:pPr>
          </w:p>
        </w:tc>
      </w:tr>
    </w:tbl>
    <w:p w14:paraId="5E4EEFBA">
      <w:pPr>
        <w:adjustRightInd w:val="0"/>
        <w:snapToGrid w:val="0"/>
        <w:spacing w:line="360" w:lineRule="auto"/>
        <w:rPr>
          <w:rFonts w:hint="default" w:ascii="Times New Roman" w:hAnsi="Times New Roman" w:cs="Times New Roman"/>
          <w:b/>
          <w:color w:val="auto"/>
          <w:kern w:val="0"/>
          <w:sz w:val="28"/>
          <w:szCs w:val="28"/>
        </w:rPr>
      </w:pPr>
    </w:p>
    <w:p w14:paraId="7ADBB091">
      <w:pPr>
        <w:pStyle w:val="44"/>
        <w:ind w:left="0" w:leftChars="0" w:firstLine="0" w:firstLineChars="0"/>
        <w:rPr>
          <w:rFonts w:hint="default" w:ascii="Times New Roman" w:hAnsi="Times New Roman" w:cs="Times New Roman"/>
          <w:b/>
          <w:color w:val="auto"/>
          <w:kern w:val="0"/>
          <w:sz w:val="28"/>
          <w:szCs w:val="28"/>
        </w:rPr>
      </w:pPr>
    </w:p>
    <w:p w14:paraId="63140D39">
      <w:pPr>
        <w:pStyle w:val="44"/>
        <w:ind w:left="0" w:leftChars="0" w:firstLine="0" w:firstLineChars="0"/>
        <w:rPr>
          <w:rFonts w:hint="default" w:ascii="Times New Roman" w:hAnsi="Times New Roman" w:cs="Times New Roman"/>
          <w:b/>
          <w:color w:val="auto"/>
          <w:kern w:val="0"/>
          <w:sz w:val="28"/>
          <w:szCs w:val="28"/>
        </w:rPr>
        <w:sectPr>
          <w:pgSz w:w="11907" w:h="16840"/>
          <w:pgMar w:top="1701" w:right="1531" w:bottom="2127"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12493"/>
      </w:tblGrid>
      <w:tr w14:paraId="1BD6C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15A592BD">
            <w:pPr>
              <w:pStyle w:val="44"/>
              <w:rPr>
                <w:rFonts w:hint="default" w:ascii="Times New Roman" w:hAnsi="Times New Roman" w:cs="Times New Roman"/>
                <w:b/>
                <w:color w:val="auto"/>
                <w:kern w:val="0"/>
                <w:sz w:val="28"/>
                <w:szCs w:val="28"/>
                <w:vertAlign w:val="baseline"/>
              </w:rPr>
            </w:pPr>
          </w:p>
        </w:tc>
        <w:tc>
          <w:tcPr>
            <w:tcW w:w="12493" w:type="dxa"/>
          </w:tcPr>
          <w:p w14:paraId="669168D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表4</w:t>
            </w:r>
            <w:r>
              <w:rPr>
                <w:rFonts w:hint="default" w:ascii="Times New Roman" w:hAnsi="Times New Roman" w:cs="Times New Roman"/>
                <w:b/>
                <w:bCs/>
                <w:color w:val="auto"/>
                <w:kern w:val="2"/>
                <w:sz w:val="24"/>
                <w:szCs w:val="24"/>
                <w:lang w:val="en-US" w:eastAsia="zh-CN" w:bidi="ar-SA"/>
              </w:rPr>
              <w:t xml:space="preserve">.9-2 </w:t>
            </w:r>
            <w:r>
              <w:rPr>
                <w:rFonts w:hint="default" w:ascii="Times New Roman" w:hAnsi="Times New Roman" w:eastAsia="宋体" w:cs="Times New Roman"/>
                <w:b/>
                <w:bCs/>
                <w:color w:val="auto"/>
                <w:kern w:val="2"/>
                <w:sz w:val="24"/>
                <w:szCs w:val="24"/>
                <w:lang w:val="en-US" w:eastAsia="zh-CN" w:bidi="ar-SA"/>
              </w:rPr>
              <w:t xml:space="preserve">   固体废弃物综合利用途径一览表</w:t>
            </w:r>
          </w:p>
          <w:tbl>
            <w:tblPr>
              <w:tblStyle w:val="32"/>
              <w:tblW w:w="16515" w:type="dxa"/>
              <w:tblInd w:w="-2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209"/>
              <w:gridCol w:w="1262"/>
              <w:gridCol w:w="1117"/>
              <w:gridCol w:w="1085"/>
              <w:gridCol w:w="1117"/>
              <w:gridCol w:w="1023"/>
              <w:gridCol w:w="1023"/>
              <w:gridCol w:w="992"/>
              <w:gridCol w:w="1117"/>
              <w:gridCol w:w="1117"/>
              <w:gridCol w:w="1117"/>
            </w:tblGrid>
            <w:tr w14:paraId="147DD0B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1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7E9B3F3">
                  <w:pPr>
                    <w:pStyle w:val="40"/>
                    <w:bidi w:val="0"/>
                    <w:rPr>
                      <w:rFonts w:hint="default"/>
                    </w:rPr>
                  </w:pPr>
                  <w:r>
                    <w:rPr>
                      <w:rFonts w:hint="eastAsia"/>
                      <w:lang w:val="en-US" w:eastAsia="zh-CN"/>
                    </w:rPr>
                    <w:t>编号</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C859C3">
                  <w:pPr>
                    <w:pStyle w:val="40"/>
                    <w:bidi w:val="0"/>
                    <w:rPr>
                      <w:rFonts w:hint="default"/>
                    </w:rPr>
                  </w:pPr>
                  <w:r>
                    <w:rPr>
                      <w:rFonts w:hint="eastAsia"/>
                      <w:lang w:val="en-US" w:eastAsia="zh-CN"/>
                    </w:rPr>
                    <w:t>固废属性</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77A13D">
                  <w:pPr>
                    <w:pStyle w:val="40"/>
                    <w:bidi w:val="0"/>
                    <w:rPr>
                      <w:rFonts w:hint="default"/>
                    </w:rPr>
                  </w:pPr>
                  <w:r>
                    <w:rPr>
                      <w:rFonts w:hint="eastAsia"/>
                      <w:lang w:val="en-US" w:eastAsia="zh-CN"/>
                    </w:rPr>
                    <w:t>产生源</w:t>
                  </w:r>
                </w:p>
              </w:tc>
              <w:tc>
                <w:tcPr>
                  <w:tcW w:w="1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EAAE4E">
                  <w:pPr>
                    <w:pStyle w:val="40"/>
                    <w:bidi w:val="0"/>
                    <w:rPr>
                      <w:rFonts w:hint="default"/>
                    </w:rPr>
                  </w:pPr>
                  <w:r>
                    <w:rPr>
                      <w:rFonts w:hint="eastAsia"/>
                      <w:lang w:val="en-US" w:eastAsia="zh-CN"/>
                    </w:rPr>
                    <w:t>固体废物名称</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FA9BB4">
                  <w:pPr>
                    <w:pStyle w:val="40"/>
                    <w:bidi w:val="0"/>
                    <w:rPr>
                      <w:rFonts w:hint="default"/>
                    </w:rPr>
                  </w:pPr>
                  <w:r>
                    <w:rPr>
                      <w:rFonts w:hint="eastAsia"/>
                      <w:lang w:val="en-US" w:eastAsia="zh-CN"/>
                    </w:rPr>
                    <w:t>固废</w:t>
                  </w:r>
                  <w:r>
                    <w:rPr>
                      <w:rFonts w:hint="default"/>
                      <w:lang w:val="en-US" w:eastAsia="zh-CN"/>
                    </w:rPr>
                    <w:t>/</w:t>
                  </w:r>
                  <w:r>
                    <w:rPr>
                      <w:rFonts w:hint="eastAsia"/>
                      <w:lang w:val="en-US" w:eastAsia="zh-CN"/>
                    </w:rPr>
                    <w:t>危废代码</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883AE9">
                  <w:pPr>
                    <w:pStyle w:val="40"/>
                    <w:bidi w:val="0"/>
                    <w:rPr>
                      <w:rFonts w:hint="default"/>
                    </w:rPr>
                  </w:pPr>
                  <w:r>
                    <w:rPr>
                      <w:rFonts w:hint="eastAsia"/>
                      <w:lang w:val="en-US" w:eastAsia="zh-CN"/>
                    </w:rPr>
                    <w:t>产生量</w:t>
                  </w:r>
                  <w:r>
                    <w:rPr>
                      <w:rFonts w:hint="default"/>
                      <w:lang w:val="en-US" w:eastAsia="zh-CN"/>
                    </w:rPr>
                    <w:t>t/a</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E3C87B5">
                  <w:pPr>
                    <w:pStyle w:val="40"/>
                    <w:bidi w:val="0"/>
                    <w:rPr>
                      <w:rFonts w:hint="default"/>
                    </w:rPr>
                  </w:pPr>
                  <w:r>
                    <w:rPr>
                      <w:rFonts w:hint="eastAsia"/>
                      <w:lang w:val="en-US" w:eastAsia="zh-CN"/>
                    </w:rPr>
                    <w:t>利用</w:t>
                  </w:r>
                  <w:r>
                    <w:rPr>
                      <w:rFonts w:hint="default"/>
                      <w:lang w:val="en-US" w:eastAsia="zh-CN"/>
                    </w:rPr>
                    <w:t>/</w:t>
                  </w:r>
                  <w:r>
                    <w:rPr>
                      <w:rFonts w:hint="eastAsia"/>
                      <w:lang w:val="en-US" w:eastAsia="zh-CN"/>
                    </w:rPr>
                    <w:t>处置量（</w:t>
                  </w:r>
                  <w:r>
                    <w:rPr>
                      <w:rFonts w:hint="default"/>
                      <w:lang w:val="en-US" w:eastAsia="zh-CN"/>
                    </w:rPr>
                    <w:t>t/a</w:t>
                  </w:r>
                  <w:r>
                    <w:rPr>
                      <w:rFonts w:hint="eastAsia"/>
                      <w:lang w:val="en-US" w:eastAsia="zh-CN"/>
                    </w:rPr>
                    <w:t>）</w:t>
                  </w:r>
                </w:p>
              </w:tc>
              <w:tc>
                <w:tcPr>
                  <w:tcW w:w="1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34961C">
                  <w:pPr>
                    <w:pStyle w:val="40"/>
                    <w:bidi w:val="0"/>
                    <w:rPr>
                      <w:rFonts w:hint="default"/>
                    </w:rPr>
                  </w:pPr>
                  <w:r>
                    <w:rPr>
                      <w:rFonts w:hint="eastAsia"/>
                      <w:lang w:val="en-US" w:eastAsia="zh-CN"/>
                    </w:rPr>
                    <w:t>贮存位置</w:t>
                  </w:r>
                  <w:r>
                    <w:rPr>
                      <w:rFonts w:hint="default"/>
                      <w:lang w:val="en-US" w:eastAsia="zh-CN"/>
                    </w:rPr>
                    <w:t>/</w:t>
                  </w:r>
                  <w:r>
                    <w:rPr>
                      <w:rFonts w:hint="eastAsia"/>
                      <w:lang w:val="en-US" w:eastAsia="zh-CN"/>
                    </w:rPr>
                    <w:t>方式</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1182EAF">
                  <w:pPr>
                    <w:pStyle w:val="40"/>
                    <w:bidi w:val="0"/>
                    <w:rPr>
                      <w:rFonts w:hint="default"/>
                    </w:rPr>
                  </w:pPr>
                  <w:r>
                    <w:rPr>
                      <w:rFonts w:hint="eastAsia"/>
                      <w:lang w:val="en-US" w:eastAsia="zh-CN"/>
                    </w:rPr>
                    <w:t>暂存周期</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2371E1">
                  <w:pPr>
                    <w:pStyle w:val="40"/>
                    <w:bidi w:val="0"/>
                    <w:rPr>
                      <w:rFonts w:hint="default"/>
                    </w:rPr>
                  </w:pPr>
                  <w:r>
                    <w:rPr>
                      <w:rFonts w:hint="eastAsia"/>
                      <w:lang w:val="en-US" w:eastAsia="zh-CN"/>
                    </w:rPr>
                    <w:t>最大贮存量</w:t>
                  </w:r>
                  <w:r>
                    <w:rPr>
                      <w:rFonts w:hint="default"/>
                      <w:lang w:val="en-US" w:eastAsia="zh-CN"/>
                    </w:rPr>
                    <w:t>t/a</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1834E1">
                  <w:pPr>
                    <w:pStyle w:val="40"/>
                    <w:bidi w:val="0"/>
                    <w:rPr>
                      <w:rFonts w:hint="default"/>
                    </w:rPr>
                  </w:pPr>
                  <w:r>
                    <w:rPr>
                      <w:rFonts w:hint="eastAsia"/>
                      <w:lang w:val="en-US" w:eastAsia="zh-CN"/>
                    </w:rPr>
                    <w:t>处置措施</w:t>
                  </w:r>
                </w:p>
              </w:tc>
            </w:tr>
            <w:tr w14:paraId="2996A0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3B4BE6">
                  <w:pPr>
                    <w:pStyle w:val="40"/>
                    <w:bidi w:val="0"/>
                    <w:rPr>
                      <w:rFonts w:hint="default"/>
                    </w:rPr>
                  </w:pPr>
                  <w:r>
                    <w:rPr>
                      <w:rFonts w:hint="default"/>
                      <w:lang w:val="en-US" w:eastAsia="zh-CN"/>
                    </w:rPr>
                    <w:t>S1</w:t>
                  </w:r>
                </w:p>
              </w:tc>
              <w:tc>
                <w:tcPr>
                  <w:tcW w:w="17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F9FBB84">
                  <w:pPr>
                    <w:pStyle w:val="40"/>
                    <w:bidi w:val="0"/>
                    <w:rPr>
                      <w:rFonts w:hint="default"/>
                    </w:rPr>
                  </w:pPr>
                  <w:r>
                    <w:rPr>
                      <w:rFonts w:hint="eastAsia"/>
                      <w:lang w:val="en-US" w:eastAsia="zh-CN"/>
                    </w:rPr>
                    <w:t>一般固废</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11D4E3">
                  <w:pPr>
                    <w:pStyle w:val="40"/>
                    <w:bidi w:val="0"/>
                    <w:rPr>
                      <w:rFonts w:hint="default"/>
                    </w:rPr>
                  </w:pPr>
                  <w:r>
                    <w:rPr>
                      <w:rFonts w:hint="eastAsia"/>
                      <w:lang w:val="en-US" w:eastAsia="zh-CN"/>
                    </w:rPr>
                    <w:t>气瓶检验</w:t>
                  </w:r>
                  <w:r>
                    <w:rPr>
                      <w:rFonts w:hint="default"/>
                      <w:lang w:val="en-US" w:eastAsia="zh-CN"/>
                    </w:rPr>
                    <w:t>-</w:t>
                  </w:r>
                  <w:r>
                    <w:rPr>
                      <w:rFonts w:hint="eastAsia"/>
                      <w:lang w:val="en-US" w:eastAsia="zh-CN"/>
                    </w:rPr>
                    <w:t>气瓶压扁</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E2C7FA">
                  <w:pPr>
                    <w:pStyle w:val="40"/>
                    <w:bidi w:val="0"/>
                    <w:rPr>
                      <w:rFonts w:hint="default"/>
                    </w:rPr>
                  </w:pPr>
                  <w:r>
                    <w:rPr>
                      <w:rFonts w:hint="eastAsia"/>
                      <w:lang w:val="en-US" w:eastAsia="zh-CN"/>
                    </w:rPr>
                    <w:t>报废钢瓶</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784771">
                  <w:pPr>
                    <w:pStyle w:val="40"/>
                    <w:bidi w:val="0"/>
                    <w:rPr>
                      <w:rFonts w:hint="default"/>
                    </w:rPr>
                  </w:pPr>
                  <w:r>
                    <w:rPr>
                      <w:rFonts w:hint="default"/>
                      <w:lang w:val="en-US" w:eastAsia="zh-CN"/>
                    </w:rPr>
                    <w:t>900-013-S17</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85599">
                  <w:pPr>
                    <w:pStyle w:val="40"/>
                    <w:bidi w:val="0"/>
                    <w:rPr>
                      <w:rFonts w:hint="default"/>
                    </w:rPr>
                  </w:pPr>
                  <w:r>
                    <w:rPr>
                      <w:rFonts w:hint="default"/>
                      <w:lang w:val="en-US" w:eastAsia="zh-CN"/>
                    </w:rPr>
                    <w:t xml:space="preserve">105.00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E87D2">
                  <w:pPr>
                    <w:pStyle w:val="40"/>
                    <w:bidi w:val="0"/>
                    <w:rPr>
                      <w:rFonts w:hint="default"/>
                    </w:rPr>
                  </w:pPr>
                  <w:r>
                    <w:rPr>
                      <w:rFonts w:hint="default"/>
                      <w:lang w:val="en-US" w:eastAsia="zh-CN"/>
                    </w:rPr>
                    <w:t xml:space="preserve">105.00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9CD41F">
                  <w:pPr>
                    <w:pStyle w:val="40"/>
                    <w:bidi w:val="0"/>
                    <w:rPr>
                      <w:rFonts w:hint="eastAsia"/>
                    </w:rPr>
                  </w:pPr>
                  <w:r>
                    <w:rPr>
                      <w:rFonts w:hint="eastAsia"/>
                      <w:lang w:val="en-US" w:eastAsia="zh-CN"/>
                    </w:rPr>
                    <w:t>一般固废间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99ED9">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90AD8A">
                  <w:pPr>
                    <w:pStyle w:val="40"/>
                    <w:bidi w:val="0"/>
                    <w:rPr>
                      <w:rFonts w:hint="default"/>
                    </w:rPr>
                  </w:pPr>
                  <w:r>
                    <w:rPr>
                      <w:rFonts w:hint="default"/>
                      <w:lang w:val="en-US" w:eastAsia="zh-CN"/>
                    </w:rPr>
                    <w:t>8.75</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99CE5">
                  <w:pPr>
                    <w:pStyle w:val="40"/>
                    <w:bidi w:val="0"/>
                    <w:rPr>
                      <w:rFonts w:hint="default"/>
                    </w:rPr>
                  </w:pPr>
                  <w:r>
                    <w:rPr>
                      <w:rFonts w:hint="eastAsia"/>
                      <w:lang w:val="en-US" w:eastAsia="zh-CN"/>
                    </w:rPr>
                    <w:t>收集后交专业物资回收公司回收处理</w:t>
                  </w:r>
                </w:p>
              </w:tc>
            </w:tr>
            <w:tr w14:paraId="66EB9A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E2F4DE">
                  <w:pPr>
                    <w:pStyle w:val="40"/>
                    <w:bidi w:val="0"/>
                    <w:rPr>
                      <w:rFonts w:hint="default"/>
                    </w:rPr>
                  </w:pPr>
                  <w:r>
                    <w:rPr>
                      <w:rFonts w:hint="default"/>
                      <w:lang w:val="en-US" w:eastAsia="zh-CN"/>
                    </w:rPr>
                    <w:t>S2</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4AA9083">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7639C4A">
                  <w:pPr>
                    <w:pStyle w:val="40"/>
                    <w:bidi w:val="0"/>
                    <w:rPr>
                      <w:rFonts w:hint="default"/>
                    </w:rPr>
                  </w:pPr>
                  <w:r>
                    <w:rPr>
                      <w:rFonts w:hint="eastAsia"/>
                      <w:lang w:val="en-US" w:eastAsia="zh-CN"/>
                    </w:rPr>
                    <w:t>气瓶焚烧</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1591F">
                  <w:pPr>
                    <w:pStyle w:val="40"/>
                    <w:bidi w:val="0"/>
                    <w:rPr>
                      <w:rFonts w:hint="default"/>
                    </w:rPr>
                  </w:pPr>
                  <w:r>
                    <w:rPr>
                      <w:rFonts w:hint="eastAsia"/>
                      <w:lang w:val="en-US" w:eastAsia="zh-CN"/>
                    </w:rPr>
                    <w:t>焚烧炉渣</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1FD43F">
                  <w:pPr>
                    <w:pStyle w:val="40"/>
                    <w:bidi w:val="0"/>
                    <w:rPr>
                      <w:rFonts w:hint="default"/>
                    </w:rPr>
                  </w:pPr>
                  <w:r>
                    <w:rPr>
                      <w:rFonts w:hint="default"/>
                      <w:lang w:val="en-US" w:eastAsia="zh-CN"/>
                    </w:rPr>
                    <w:t>900-099-S03</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88F93">
                  <w:pPr>
                    <w:pStyle w:val="40"/>
                    <w:bidi w:val="0"/>
                    <w:rPr>
                      <w:rFonts w:hint="default"/>
                    </w:rPr>
                  </w:pPr>
                  <w:r>
                    <w:rPr>
                      <w:rFonts w:hint="default"/>
                      <w:lang w:val="en-US" w:eastAsia="zh-CN"/>
                    </w:rPr>
                    <w:t xml:space="preserve">0.18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09C6B6">
                  <w:pPr>
                    <w:pStyle w:val="40"/>
                    <w:bidi w:val="0"/>
                    <w:rPr>
                      <w:rFonts w:hint="default"/>
                    </w:rPr>
                  </w:pPr>
                  <w:r>
                    <w:rPr>
                      <w:rFonts w:hint="default"/>
                      <w:lang w:val="en-US" w:eastAsia="zh-CN"/>
                    </w:rPr>
                    <w:t xml:space="preserve">0.18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9D0FAA">
                  <w:pPr>
                    <w:pStyle w:val="40"/>
                    <w:bidi w:val="0"/>
                    <w:rPr>
                      <w:rFonts w:hint="eastAsia"/>
                    </w:rPr>
                  </w:pPr>
                  <w:r>
                    <w:rPr>
                      <w:rFonts w:hint="eastAsia"/>
                      <w:lang w:val="en-US" w:eastAsia="zh-CN"/>
                    </w:rPr>
                    <w:t>一般固废间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8DFB68">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18D55">
                  <w:pPr>
                    <w:pStyle w:val="40"/>
                    <w:bidi w:val="0"/>
                    <w:rPr>
                      <w:rFonts w:hint="default"/>
                    </w:rPr>
                  </w:pPr>
                  <w:r>
                    <w:rPr>
                      <w:rFonts w:hint="default"/>
                      <w:lang w:val="en-US" w:eastAsia="zh-CN"/>
                    </w:rPr>
                    <w:t>0.015</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8F6E94">
                  <w:pPr>
                    <w:pStyle w:val="40"/>
                    <w:bidi w:val="0"/>
                    <w:rPr>
                      <w:rFonts w:hint="default"/>
                    </w:rPr>
                  </w:pPr>
                  <w:r>
                    <w:rPr>
                      <w:rFonts w:hint="eastAsia"/>
                      <w:lang w:val="en-US" w:eastAsia="zh-CN"/>
                    </w:rPr>
                    <w:t>收集后交专业物资回收公司回收处理</w:t>
                  </w:r>
                </w:p>
              </w:tc>
            </w:tr>
            <w:tr w14:paraId="2D4FD5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869F8D">
                  <w:pPr>
                    <w:pStyle w:val="40"/>
                    <w:bidi w:val="0"/>
                    <w:rPr>
                      <w:rFonts w:hint="default"/>
                    </w:rPr>
                  </w:pPr>
                  <w:r>
                    <w:rPr>
                      <w:rFonts w:hint="default"/>
                      <w:lang w:val="en-US" w:eastAsia="zh-CN"/>
                    </w:rPr>
                    <w:t>S3</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A7B5758">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58B5F6">
                  <w:pPr>
                    <w:pStyle w:val="40"/>
                    <w:bidi w:val="0"/>
                    <w:rPr>
                      <w:rFonts w:hint="default"/>
                    </w:rPr>
                  </w:pPr>
                  <w:r>
                    <w:rPr>
                      <w:rFonts w:hint="eastAsia"/>
                      <w:lang w:val="en-US" w:eastAsia="zh-CN"/>
                    </w:rPr>
                    <w:t>焚烧废气处理</w:t>
                  </w:r>
                  <w:r>
                    <w:rPr>
                      <w:rFonts w:hint="default"/>
                      <w:lang w:val="en-US" w:eastAsia="zh-CN"/>
                    </w:rPr>
                    <w:t>-</w:t>
                  </w:r>
                  <w:r>
                    <w:rPr>
                      <w:rFonts w:hint="eastAsia"/>
                      <w:lang w:val="en-US" w:eastAsia="zh-CN"/>
                    </w:rPr>
                    <w:t>水喷淋</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342951">
                  <w:pPr>
                    <w:pStyle w:val="40"/>
                    <w:bidi w:val="0"/>
                    <w:rPr>
                      <w:rFonts w:hint="default"/>
                    </w:rPr>
                  </w:pPr>
                  <w:r>
                    <w:rPr>
                      <w:rFonts w:hint="eastAsia"/>
                      <w:lang w:val="en-US" w:eastAsia="zh-CN"/>
                    </w:rPr>
                    <w:t>污泥</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9B2F11">
                  <w:pPr>
                    <w:pStyle w:val="40"/>
                    <w:bidi w:val="0"/>
                    <w:rPr>
                      <w:rFonts w:hint="default"/>
                    </w:rPr>
                  </w:pPr>
                  <w:r>
                    <w:rPr>
                      <w:rFonts w:hint="default"/>
                      <w:lang w:val="en-US" w:eastAsia="zh-CN"/>
                    </w:rPr>
                    <w:t>900-099-S07</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61047">
                  <w:pPr>
                    <w:pStyle w:val="40"/>
                    <w:bidi w:val="0"/>
                    <w:rPr>
                      <w:rFonts w:hint="default"/>
                    </w:rPr>
                  </w:pPr>
                  <w:r>
                    <w:rPr>
                      <w:rFonts w:hint="default"/>
                      <w:lang w:val="en-US" w:eastAsia="zh-CN"/>
                    </w:rPr>
                    <w:t xml:space="preserve">0.09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95F582">
                  <w:pPr>
                    <w:pStyle w:val="40"/>
                    <w:bidi w:val="0"/>
                    <w:rPr>
                      <w:rFonts w:hint="default"/>
                    </w:rPr>
                  </w:pPr>
                  <w:r>
                    <w:rPr>
                      <w:rFonts w:hint="default"/>
                      <w:lang w:val="en-US" w:eastAsia="zh-CN"/>
                    </w:rPr>
                    <w:t xml:space="preserve">0.09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07955">
                  <w:pPr>
                    <w:pStyle w:val="40"/>
                    <w:bidi w:val="0"/>
                    <w:rPr>
                      <w:rFonts w:hint="eastAsia"/>
                    </w:rPr>
                  </w:pPr>
                  <w:r>
                    <w:rPr>
                      <w:rFonts w:hint="eastAsia"/>
                      <w:lang w:val="en-US" w:eastAsia="zh-CN"/>
                    </w:rPr>
                    <w:t>一般固废间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6D1429">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B8766B">
                  <w:pPr>
                    <w:pStyle w:val="40"/>
                    <w:bidi w:val="0"/>
                    <w:rPr>
                      <w:rFonts w:hint="default"/>
                    </w:rPr>
                  </w:pPr>
                  <w:r>
                    <w:rPr>
                      <w:rFonts w:hint="default"/>
                      <w:lang w:val="en-US" w:eastAsia="zh-CN"/>
                    </w:rPr>
                    <w:t xml:space="preserve">0.01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261D7E">
                  <w:pPr>
                    <w:pStyle w:val="40"/>
                    <w:bidi w:val="0"/>
                    <w:rPr>
                      <w:rFonts w:hint="default"/>
                    </w:rPr>
                  </w:pPr>
                  <w:r>
                    <w:rPr>
                      <w:rFonts w:hint="eastAsia"/>
                      <w:lang w:val="en-US" w:eastAsia="zh-CN"/>
                    </w:rPr>
                    <w:t>定期清捞后外委回收处理</w:t>
                  </w:r>
                </w:p>
              </w:tc>
            </w:tr>
            <w:tr w14:paraId="417CB8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A27387">
                  <w:pPr>
                    <w:pStyle w:val="40"/>
                    <w:bidi w:val="0"/>
                    <w:rPr>
                      <w:rFonts w:hint="default"/>
                    </w:rPr>
                  </w:pPr>
                  <w:r>
                    <w:rPr>
                      <w:rFonts w:hint="default"/>
                      <w:lang w:val="en-US" w:eastAsia="zh-CN"/>
                    </w:rPr>
                    <w:t>S4</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12BEBCEE">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CC36E2">
                  <w:pPr>
                    <w:pStyle w:val="40"/>
                    <w:bidi w:val="0"/>
                    <w:rPr>
                      <w:rFonts w:hint="eastAsia"/>
                    </w:rPr>
                  </w:pPr>
                  <w:r>
                    <w:rPr>
                      <w:rFonts w:hint="eastAsia"/>
                      <w:lang w:val="en-US" w:eastAsia="zh-CN"/>
                    </w:rPr>
                    <w:t>抛丸</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13880D">
                  <w:pPr>
                    <w:pStyle w:val="40"/>
                    <w:bidi w:val="0"/>
                    <w:rPr>
                      <w:rFonts w:hint="eastAsia"/>
                    </w:rPr>
                  </w:pPr>
                  <w:r>
                    <w:rPr>
                      <w:rFonts w:hint="eastAsia"/>
                      <w:lang w:val="en-US" w:eastAsia="zh-CN"/>
                    </w:rPr>
                    <w:t>废钢丸</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F2BEDD">
                  <w:pPr>
                    <w:pStyle w:val="40"/>
                    <w:bidi w:val="0"/>
                    <w:rPr>
                      <w:rFonts w:hint="eastAsia"/>
                    </w:rPr>
                  </w:pPr>
                  <w:r>
                    <w:rPr>
                      <w:rFonts w:hint="eastAsia"/>
                      <w:lang w:val="en-US" w:eastAsia="zh-CN"/>
                    </w:rPr>
                    <w:t>900-001-S17</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5D2ABA">
                  <w:pPr>
                    <w:pStyle w:val="40"/>
                    <w:bidi w:val="0"/>
                    <w:rPr>
                      <w:rFonts w:hint="default"/>
                    </w:rPr>
                  </w:pPr>
                  <w:r>
                    <w:rPr>
                      <w:rFonts w:hint="default"/>
                      <w:lang w:val="en-US" w:eastAsia="zh-CN"/>
                    </w:rPr>
                    <w:t xml:space="preserve">5.00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F150E6">
                  <w:pPr>
                    <w:pStyle w:val="40"/>
                    <w:bidi w:val="0"/>
                    <w:rPr>
                      <w:rFonts w:hint="default"/>
                    </w:rPr>
                  </w:pPr>
                  <w:r>
                    <w:rPr>
                      <w:rFonts w:hint="default"/>
                      <w:lang w:val="en-US" w:eastAsia="zh-CN"/>
                    </w:rPr>
                    <w:t xml:space="preserve">5.00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C5C234">
                  <w:pPr>
                    <w:pStyle w:val="40"/>
                    <w:bidi w:val="0"/>
                    <w:rPr>
                      <w:rFonts w:hint="eastAsia"/>
                    </w:rPr>
                  </w:pPr>
                  <w:r>
                    <w:rPr>
                      <w:rFonts w:hint="eastAsia"/>
                      <w:lang w:val="en-US" w:eastAsia="zh-CN"/>
                    </w:rPr>
                    <w:t>一般固废间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D94E2">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BF3572">
                  <w:pPr>
                    <w:pStyle w:val="40"/>
                    <w:bidi w:val="0"/>
                    <w:rPr>
                      <w:rFonts w:hint="default"/>
                    </w:rPr>
                  </w:pPr>
                  <w:r>
                    <w:rPr>
                      <w:rFonts w:hint="default"/>
                      <w:lang w:val="en-US" w:eastAsia="zh-CN"/>
                    </w:rPr>
                    <w:t xml:space="preserve">0.83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7DF265">
                  <w:pPr>
                    <w:pStyle w:val="40"/>
                    <w:bidi w:val="0"/>
                    <w:rPr>
                      <w:rFonts w:hint="eastAsia"/>
                    </w:rPr>
                  </w:pPr>
                  <w:r>
                    <w:rPr>
                      <w:rFonts w:hint="eastAsia"/>
                      <w:lang w:val="en-US" w:eastAsia="zh-CN"/>
                    </w:rPr>
                    <w:t>收集后交专业公司回收处理</w:t>
                  </w:r>
                </w:p>
              </w:tc>
            </w:tr>
            <w:tr w14:paraId="2247C3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E4A356">
                  <w:pPr>
                    <w:pStyle w:val="40"/>
                    <w:bidi w:val="0"/>
                    <w:rPr>
                      <w:rFonts w:hint="default"/>
                    </w:rPr>
                  </w:pPr>
                  <w:r>
                    <w:rPr>
                      <w:rFonts w:hint="default"/>
                      <w:lang w:val="en-US" w:eastAsia="zh-CN"/>
                    </w:rPr>
                    <w:t>S5</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9EA2719">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4F3384">
                  <w:pPr>
                    <w:pStyle w:val="40"/>
                    <w:bidi w:val="0"/>
                    <w:rPr>
                      <w:rFonts w:hint="default"/>
                    </w:rPr>
                  </w:pPr>
                  <w:r>
                    <w:rPr>
                      <w:rFonts w:hint="eastAsia"/>
                      <w:lang w:val="en-US" w:eastAsia="zh-CN"/>
                    </w:rPr>
                    <w:t>抛丸废气处理</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E8D40">
                  <w:pPr>
                    <w:pStyle w:val="40"/>
                    <w:bidi w:val="0"/>
                    <w:rPr>
                      <w:rFonts w:hint="default"/>
                    </w:rPr>
                  </w:pPr>
                  <w:r>
                    <w:rPr>
                      <w:rFonts w:hint="eastAsia"/>
                      <w:lang w:val="en-US" w:eastAsia="zh-CN"/>
                    </w:rPr>
                    <w:t>除尘灰</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E58D33">
                  <w:pPr>
                    <w:pStyle w:val="40"/>
                    <w:bidi w:val="0"/>
                    <w:rPr>
                      <w:rFonts w:hint="default"/>
                    </w:rPr>
                  </w:pPr>
                  <w:r>
                    <w:rPr>
                      <w:rFonts w:hint="default"/>
                      <w:lang w:val="en-US" w:eastAsia="zh-CN"/>
                    </w:rPr>
                    <w:t>900-099-S59</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405643">
                  <w:pPr>
                    <w:pStyle w:val="40"/>
                    <w:bidi w:val="0"/>
                    <w:rPr>
                      <w:rFonts w:hint="default"/>
                    </w:rPr>
                  </w:pPr>
                  <w:r>
                    <w:rPr>
                      <w:rFonts w:hint="default"/>
                      <w:lang w:val="en-US" w:eastAsia="zh-CN"/>
                    </w:rPr>
                    <w:t xml:space="preserve">2.28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DB5F40">
                  <w:pPr>
                    <w:pStyle w:val="40"/>
                    <w:bidi w:val="0"/>
                    <w:rPr>
                      <w:rFonts w:hint="default"/>
                    </w:rPr>
                  </w:pPr>
                  <w:r>
                    <w:rPr>
                      <w:rFonts w:hint="default"/>
                      <w:lang w:val="en-US" w:eastAsia="zh-CN"/>
                    </w:rPr>
                    <w:t xml:space="preserve">2.28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4129988">
                  <w:pPr>
                    <w:pStyle w:val="40"/>
                    <w:bidi w:val="0"/>
                    <w:rPr>
                      <w:rFonts w:hint="eastAsia"/>
                    </w:rPr>
                  </w:pPr>
                  <w:r>
                    <w:rPr>
                      <w:rFonts w:hint="eastAsia"/>
                      <w:lang w:val="en-US" w:eastAsia="zh-CN"/>
                    </w:rPr>
                    <w:t>一般固废间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5438E2">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6C14F8">
                  <w:pPr>
                    <w:pStyle w:val="40"/>
                    <w:bidi w:val="0"/>
                    <w:rPr>
                      <w:rFonts w:hint="default"/>
                    </w:rPr>
                  </w:pPr>
                  <w:r>
                    <w:rPr>
                      <w:rFonts w:hint="default"/>
                      <w:lang w:val="en-US" w:eastAsia="zh-CN"/>
                    </w:rPr>
                    <w:t xml:space="preserve">0.190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15ED04">
                  <w:pPr>
                    <w:pStyle w:val="40"/>
                    <w:bidi w:val="0"/>
                    <w:rPr>
                      <w:rFonts w:hint="default"/>
                    </w:rPr>
                  </w:pPr>
                  <w:r>
                    <w:rPr>
                      <w:rFonts w:hint="eastAsia"/>
                      <w:lang w:val="en-US" w:eastAsia="zh-CN"/>
                    </w:rPr>
                    <w:t>收集后交专业物资回收公司回收处理</w:t>
                  </w:r>
                </w:p>
              </w:tc>
            </w:tr>
            <w:tr w14:paraId="57CDC8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9DFDBD">
                  <w:pPr>
                    <w:pStyle w:val="40"/>
                    <w:bidi w:val="0"/>
                    <w:rPr>
                      <w:rFonts w:hint="default"/>
                    </w:rPr>
                  </w:pPr>
                  <w:r>
                    <w:rPr>
                      <w:rFonts w:hint="default"/>
                      <w:lang w:val="en-US" w:eastAsia="zh-CN"/>
                    </w:rPr>
                    <w:t>S6</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8C2DAFC">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BE6A5F">
                  <w:pPr>
                    <w:pStyle w:val="40"/>
                    <w:bidi w:val="0"/>
                    <w:rPr>
                      <w:rFonts w:hint="default"/>
                    </w:rPr>
                  </w:pPr>
                  <w:r>
                    <w:rPr>
                      <w:rFonts w:hint="eastAsia"/>
                      <w:lang w:val="en-US" w:eastAsia="zh-CN"/>
                    </w:rPr>
                    <w:t>抛丸废气处理</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9D65EA">
                  <w:pPr>
                    <w:pStyle w:val="40"/>
                    <w:bidi w:val="0"/>
                    <w:rPr>
                      <w:rFonts w:hint="default"/>
                    </w:rPr>
                  </w:pPr>
                  <w:r>
                    <w:rPr>
                      <w:rFonts w:hint="eastAsia"/>
                      <w:lang w:val="en-US" w:eastAsia="zh-CN"/>
                    </w:rPr>
                    <w:t>废布袋</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72942F">
                  <w:pPr>
                    <w:pStyle w:val="40"/>
                    <w:bidi w:val="0"/>
                    <w:rPr>
                      <w:rFonts w:hint="default"/>
                    </w:rPr>
                  </w:pPr>
                  <w:r>
                    <w:rPr>
                      <w:rFonts w:hint="default"/>
                      <w:lang w:val="en-US" w:eastAsia="zh-CN"/>
                    </w:rPr>
                    <w:t>900-009-S59</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91375">
                  <w:pPr>
                    <w:pStyle w:val="40"/>
                    <w:bidi w:val="0"/>
                    <w:rPr>
                      <w:rFonts w:hint="default"/>
                    </w:rPr>
                  </w:pPr>
                  <w:r>
                    <w:rPr>
                      <w:rFonts w:hint="default"/>
                      <w:lang w:val="en-US" w:eastAsia="zh-CN"/>
                    </w:rPr>
                    <w:t xml:space="preserve">0.05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7E676A">
                  <w:pPr>
                    <w:pStyle w:val="40"/>
                    <w:bidi w:val="0"/>
                    <w:rPr>
                      <w:rFonts w:hint="default"/>
                    </w:rPr>
                  </w:pPr>
                  <w:r>
                    <w:rPr>
                      <w:rFonts w:hint="default"/>
                      <w:lang w:val="en-US" w:eastAsia="zh-CN"/>
                    </w:rPr>
                    <w:t xml:space="preserve">0.05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FA5F1A">
                  <w:pPr>
                    <w:pStyle w:val="40"/>
                    <w:bidi w:val="0"/>
                    <w:rPr>
                      <w:rFonts w:hint="default"/>
                    </w:rPr>
                  </w:pPr>
                  <w:r>
                    <w:rPr>
                      <w:rFonts w:hint="eastAsia"/>
                      <w:lang w:val="en-US" w:eastAsia="zh-CN"/>
                    </w:rPr>
                    <w:t>检修后更换</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0275A0">
                  <w:pPr>
                    <w:pStyle w:val="40"/>
                    <w:bidi w:val="0"/>
                    <w:rPr>
                      <w:rFonts w:hint="default"/>
                    </w:rPr>
                  </w:pPr>
                  <w:r>
                    <w:rPr>
                      <w:rFonts w:hint="default"/>
                      <w:lang w:val="en-US" w:eastAsia="zh-CN"/>
                    </w:rPr>
                    <w:t>/</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7050D4">
                  <w:pPr>
                    <w:pStyle w:val="40"/>
                    <w:bidi w:val="0"/>
                    <w:rPr>
                      <w:rFonts w:hint="default"/>
                    </w:rPr>
                  </w:pPr>
                  <w:r>
                    <w:rPr>
                      <w:rFonts w:hint="default"/>
                      <w:lang w:val="en-US" w:eastAsia="zh-CN"/>
                    </w:rPr>
                    <w:t>0.05</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534BF2">
                  <w:pPr>
                    <w:pStyle w:val="40"/>
                    <w:bidi w:val="0"/>
                    <w:rPr>
                      <w:rFonts w:hint="default"/>
                    </w:rPr>
                  </w:pPr>
                  <w:r>
                    <w:rPr>
                      <w:rFonts w:hint="eastAsia"/>
                      <w:lang w:val="en-US" w:eastAsia="zh-CN"/>
                    </w:rPr>
                    <w:t>检修更换后回收处理</w:t>
                  </w:r>
                </w:p>
              </w:tc>
            </w:tr>
            <w:tr w14:paraId="60D398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2E15C2">
                  <w:pPr>
                    <w:pStyle w:val="40"/>
                    <w:bidi w:val="0"/>
                    <w:rPr>
                      <w:rFonts w:hint="default"/>
                    </w:rPr>
                  </w:pPr>
                  <w:r>
                    <w:rPr>
                      <w:rFonts w:hint="default"/>
                      <w:lang w:val="en-US" w:eastAsia="zh-CN"/>
                    </w:rPr>
                    <w:t>S7</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43789C">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3C1CE">
                  <w:pPr>
                    <w:pStyle w:val="40"/>
                    <w:bidi w:val="0"/>
                    <w:rPr>
                      <w:rFonts w:hint="default"/>
                    </w:rPr>
                  </w:pPr>
                  <w:r>
                    <w:rPr>
                      <w:rFonts w:hint="eastAsia"/>
                      <w:lang w:val="en-US" w:eastAsia="zh-CN"/>
                    </w:rPr>
                    <w:t>气瓶检验</w:t>
                  </w:r>
                  <w:r>
                    <w:rPr>
                      <w:rFonts w:hint="default"/>
                      <w:lang w:val="en-US" w:eastAsia="zh-CN"/>
                    </w:rPr>
                    <w:t>-</w:t>
                  </w:r>
                  <w:r>
                    <w:rPr>
                      <w:rFonts w:hint="eastAsia"/>
                      <w:lang w:val="en-US" w:eastAsia="zh-CN"/>
                    </w:rPr>
                    <w:t>卸阀</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8ECF39">
                  <w:pPr>
                    <w:pStyle w:val="40"/>
                    <w:bidi w:val="0"/>
                    <w:rPr>
                      <w:rFonts w:hint="default"/>
                    </w:rPr>
                  </w:pPr>
                  <w:r>
                    <w:rPr>
                      <w:rFonts w:hint="eastAsia"/>
                      <w:lang w:val="en-US" w:eastAsia="zh-CN"/>
                    </w:rPr>
                    <w:t>废角阀</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F18CC2">
                  <w:pPr>
                    <w:pStyle w:val="40"/>
                    <w:bidi w:val="0"/>
                    <w:rPr>
                      <w:rFonts w:hint="default"/>
                    </w:rPr>
                  </w:pPr>
                  <w:r>
                    <w:rPr>
                      <w:rFonts w:hint="default"/>
                      <w:lang w:val="en-US" w:eastAsia="zh-CN"/>
                    </w:rPr>
                    <w:t>900-013-S17</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A77D53">
                  <w:pPr>
                    <w:pStyle w:val="40"/>
                    <w:bidi w:val="0"/>
                    <w:rPr>
                      <w:rFonts w:hint="default"/>
                    </w:rPr>
                  </w:pPr>
                  <w:r>
                    <w:rPr>
                      <w:rFonts w:hint="default"/>
                      <w:lang w:val="en-US" w:eastAsia="zh-CN"/>
                    </w:rPr>
                    <w:t xml:space="preserve">35.00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C39F25">
                  <w:pPr>
                    <w:pStyle w:val="40"/>
                    <w:bidi w:val="0"/>
                    <w:rPr>
                      <w:rFonts w:hint="default"/>
                    </w:rPr>
                  </w:pPr>
                  <w:r>
                    <w:rPr>
                      <w:rFonts w:hint="default"/>
                      <w:lang w:val="en-US" w:eastAsia="zh-CN"/>
                    </w:rPr>
                    <w:t xml:space="preserve">35.00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05C23">
                  <w:pPr>
                    <w:pStyle w:val="40"/>
                    <w:bidi w:val="0"/>
                    <w:rPr>
                      <w:rFonts w:hint="eastAsia"/>
                    </w:rPr>
                  </w:pPr>
                  <w:r>
                    <w:rPr>
                      <w:rFonts w:hint="eastAsia"/>
                      <w:lang w:val="en-US" w:eastAsia="zh-CN"/>
                    </w:rPr>
                    <w:t>一般固废间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DA016D">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C6468A">
                  <w:pPr>
                    <w:pStyle w:val="40"/>
                    <w:bidi w:val="0"/>
                    <w:rPr>
                      <w:rFonts w:hint="default"/>
                    </w:rPr>
                  </w:pPr>
                  <w:r>
                    <w:rPr>
                      <w:rFonts w:hint="default"/>
                      <w:lang w:val="en-US" w:eastAsia="zh-CN"/>
                    </w:rPr>
                    <w:t xml:space="preserve">2.92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55192C">
                  <w:pPr>
                    <w:pStyle w:val="40"/>
                    <w:bidi w:val="0"/>
                    <w:rPr>
                      <w:rFonts w:hint="default"/>
                    </w:rPr>
                  </w:pPr>
                  <w:r>
                    <w:rPr>
                      <w:rFonts w:hint="eastAsia"/>
                      <w:lang w:val="en-US" w:eastAsia="zh-CN"/>
                    </w:rPr>
                    <w:t>收集后交专业物资回收公司回收处理</w:t>
                  </w:r>
                </w:p>
              </w:tc>
            </w:tr>
            <w:tr w14:paraId="34FEDA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AA6E090">
                  <w:pPr>
                    <w:pStyle w:val="40"/>
                    <w:bidi w:val="0"/>
                    <w:rPr>
                      <w:rFonts w:hint="default"/>
                    </w:rPr>
                  </w:pPr>
                  <w:r>
                    <w:rPr>
                      <w:rFonts w:hint="default"/>
                      <w:lang w:val="en-US" w:eastAsia="zh-CN"/>
                    </w:rPr>
                    <w:t>S8</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A3AA3FB">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C9FA0C">
                  <w:pPr>
                    <w:pStyle w:val="40"/>
                    <w:bidi w:val="0"/>
                    <w:rPr>
                      <w:rFonts w:hint="default"/>
                    </w:rPr>
                  </w:pPr>
                  <w:r>
                    <w:rPr>
                      <w:rFonts w:hint="eastAsia"/>
                      <w:lang w:val="en-US" w:eastAsia="zh-CN"/>
                    </w:rPr>
                    <w:t>喷塑废气处理</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90C6F8">
                  <w:pPr>
                    <w:pStyle w:val="40"/>
                    <w:bidi w:val="0"/>
                    <w:rPr>
                      <w:rFonts w:hint="default"/>
                    </w:rPr>
                  </w:pPr>
                  <w:r>
                    <w:rPr>
                      <w:rFonts w:hint="eastAsia"/>
                      <w:lang w:val="en-US" w:eastAsia="zh-CN"/>
                    </w:rPr>
                    <w:t>废滤芯</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0223F7">
                  <w:pPr>
                    <w:pStyle w:val="40"/>
                    <w:bidi w:val="0"/>
                    <w:rPr>
                      <w:rFonts w:hint="default"/>
                    </w:rPr>
                  </w:pPr>
                  <w:r>
                    <w:rPr>
                      <w:rFonts w:hint="default"/>
                      <w:lang w:val="en-US" w:eastAsia="zh-CN"/>
                    </w:rPr>
                    <w:t>900-009-S59</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FD14B0">
                  <w:pPr>
                    <w:pStyle w:val="40"/>
                    <w:bidi w:val="0"/>
                    <w:rPr>
                      <w:rFonts w:hint="default"/>
                    </w:rPr>
                  </w:pPr>
                  <w:r>
                    <w:rPr>
                      <w:rFonts w:hint="default"/>
                      <w:lang w:val="en-US" w:eastAsia="zh-CN"/>
                    </w:rPr>
                    <w:t xml:space="preserve">0.03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75059C">
                  <w:pPr>
                    <w:pStyle w:val="40"/>
                    <w:bidi w:val="0"/>
                    <w:rPr>
                      <w:rFonts w:hint="default"/>
                    </w:rPr>
                  </w:pPr>
                  <w:r>
                    <w:rPr>
                      <w:rFonts w:hint="default"/>
                      <w:lang w:val="en-US" w:eastAsia="zh-CN"/>
                    </w:rPr>
                    <w:t xml:space="preserve">0.03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5A87D1">
                  <w:pPr>
                    <w:pStyle w:val="40"/>
                    <w:bidi w:val="0"/>
                    <w:rPr>
                      <w:rFonts w:hint="default"/>
                    </w:rPr>
                  </w:pPr>
                  <w:r>
                    <w:rPr>
                      <w:rFonts w:hint="eastAsia"/>
                      <w:lang w:val="en-US" w:eastAsia="zh-CN"/>
                    </w:rPr>
                    <w:t>检修后更换</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27F1D8">
                  <w:pPr>
                    <w:pStyle w:val="40"/>
                    <w:bidi w:val="0"/>
                    <w:rPr>
                      <w:rFonts w:hint="default"/>
                    </w:rPr>
                  </w:pPr>
                  <w:r>
                    <w:rPr>
                      <w:rFonts w:hint="default"/>
                      <w:lang w:val="en-US" w:eastAsia="zh-CN"/>
                    </w:rPr>
                    <w:t>/</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5E93D">
                  <w:pPr>
                    <w:pStyle w:val="40"/>
                    <w:bidi w:val="0"/>
                    <w:rPr>
                      <w:rFonts w:hint="default"/>
                    </w:rPr>
                  </w:pPr>
                  <w:r>
                    <w:rPr>
                      <w:rFonts w:hint="default"/>
                      <w:lang w:val="en-US" w:eastAsia="zh-CN"/>
                    </w:rPr>
                    <w:t>0.03</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BF75CB">
                  <w:pPr>
                    <w:pStyle w:val="40"/>
                    <w:bidi w:val="0"/>
                    <w:rPr>
                      <w:rFonts w:hint="default"/>
                    </w:rPr>
                  </w:pPr>
                  <w:r>
                    <w:rPr>
                      <w:rFonts w:hint="eastAsia"/>
                      <w:lang w:val="en-US" w:eastAsia="zh-CN"/>
                    </w:rPr>
                    <w:t>检修更换后回收处理</w:t>
                  </w:r>
                </w:p>
              </w:tc>
            </w:tr>
            <w:tr w14:paraId="646FEA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0EC924">
                  <w:pPr>
                    <w:pStyle w:val="40"/>
                    <w:bidi w:val="0"/>
                    <w:rPr>
                      <w:rFonts w:hint="default"/>
                    </w:rPr>
                  </w:pPr>
                  <w:r>
                    <w:rPr>
                      <w:rFonts w:hint="default"/>
                      <w:lang w:val="en-US" w:eastAsia="zh-CN"/>
                    </w:rPr>
                    <w:t>S9</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9A9578D">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451BEA">
                  <w:pPr>
                    <w:pStyle w:val="40"/>
                    <w:bidi w:val="0"/>
                    <w:rPr>
                      <w:rFonts w:hint="eastAsia"/>
                    </w:rPr>
                  </w:pPr>
                  <w:r>
                    <w:rPr>
                      <w:rFonts w:hint="eastAsia"/>
                      <w:lang w:val="en-US" w:eastAsia="zh-CN"/>
                    </w:rPr>
                    <w:t>原料包装</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78A4C">
                  <w:pPr>
                    <w:pStyle w:val="40"/>
                    <w:bidi w:val="0"/>
                    <w:rPr>
                      <w:rFonts w:hint="eastAsia"/>
                    </w:rPr>
                  </w:pPr>
                  <w:r>
                    <w:rPr>
                      <w:rFonts w:hint="eastAsia"/>
                      <w:lang w:val="en-US" w:eastAsia="zh-CN"/>
                    </w:rPr>
                    <w:t>一般废包装材料</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357005">
                  <w:pPr>
                    <w:pStyle w:val="40"/>
                    <w:bidi w:val="0"/>
                    <w:rPr>
                      <w:rFonts w:hint="default"/>
                    </w:rPr>
                  </w:pPr>
                  <w:r>
                    <w:rPr>
                      <w:rFonts w:hint="default"/>
                      <w:lang w:val="en-US" w:eastAsia="zh-CN"/>
                    </w:rPr>
                    <w:t>900-009-S59</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F3A8F5">
                  <w:pPr>
                    <w:pStyle w:val="40"/>
                    <w:bidi w:val="0"/>
                    <w:rPr>
                      <w:rFonts w:hint="default"/>
                    </w:rPr>
                  </w:pPr>
                  <w:r>
                    <w:rPr>
                      <w:rFonts w:hint="default"/>
                      <w:lang w:val="en-US" w:eastAsia="zh-CN"/>
                    </w:rPr>
                    <w:t xml:space="preserve">0.50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DB8B641">
                  <w:pPr>
                    <w:pStyle w:val="40"/>
                    <w:bidi w:val="0"/>
                    <w:rPr>
                      <w:rFonts w:hint="default"/>
                    </w:rPr>
                  </w:pPr>
                  <w:r>
                    <w:rPr>
                      <w:rFonts w:hint="default"/>
                      <w:lang w:val="en-US" w:eastAsia="zh-CN"/>
                    </w:rPr>
                    <w:t xml:space="preserve">0.50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27B107">
                  <w:pPr>
                    <w:pStyle w:val="40"/>
                    <w:bidi w:val="0"/>
                    <w:rPr>
                      <w:rFonts w:hint="eastAsia"/>
                    </w:rPr>
                  </w:pPr>
                  <w:r>
                    <w:rPr>
                      <w:rFonts w:hint="eastAsia"/>
                      <w:lang w:val="en-US" w:eastAsia="zh-CN"/>
                    </w:rPr>
                    <w:t>一般固废间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279E35">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1B8D92">
                  <w:pPr>
                    <w:pStyle w:val="40"/>
                    <w:bidi w:val="0"/>
                    <w:rPr>
                      <w:rFonts w:hint="default"/>
                    </w:rPr>
                  </w:pPr>
                  <w:r>
                    <w:rPr>
                      <w:rFonts w:hint="default"/>
                      <w:lang w:val="en-US" w:eastAsia="zh-CN"/>
                    </w:rPr>
                    <w:t xml:space="preserve">0.04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A2C89B">
                  <w:pPr>
                    <w:pStyle w:val="40"/>
                    <w:bidi w:val="0"/>
                    <w:rPr>
                      <w:rFonts w:hint="default"/>
                    </w:rPr>
                  </w:pPr>
                  <w:r>
                    <w:rPr>
                      <w:rFonts w:hint="eastAsia"/>
                      <w:lang w:val="en-US" w:eastAsia="zh-CN"/>
                    </w:rPr>
                    <w:t>收集后交专业物资回收公司回收处理</w:t>
                  </w:r>
                </w:p>
              </w:tc>
            </w:tr>
            <w:tr w14:paraId="7C4CE4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F28B55">
                  <w:pPr>
                    <w:pStyle w:val="40"/>
                    <w:bidi w:val="0"/>
                    <w:rPr>
                      <w:rFonts w:hint="default"/>
                    </w:rPr>
                  </w:pPr>
                  <w:r>
                    <w:rPr>
                      <w:rFonts w:hint="default"/>
                      <w:lang w:val="en-US" w:eastAsia="zh-CN"/>
                    </w:rPr>
                    <w:t>S10</w:t>
                  </w:r>
                </w:p>
              </w:tc>
              <w:tc>
                <w:tcPr>
                  <w:tcW w:w="172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E5E1C7">
                  <w:pPr>
                    <w:pStyle w:val="40"/>
                    <w:bidi w:val="0"/>
                    <w:rPr>
                      <w:rFonts w:hint="default"/>
                    </w:rPr>
                  </w:pPr>
                  <w:r>
                    <w:rPr>
                      <w:rFonts w:hint="eastAsia"/>
                      <w:lang w:val="en-US" w:eastAsia="zh-CN"/>
                    </w:rPr>
                    <w:t>危险废物</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4DCE1A">
                  <w:pPr>
                    <w:pStyle w:val="40"/>
                    <w:bidi w:val="0"/>
                    <w:rPr>
                      <w:rFonts w:hint="default"/>
                    </w:rPr>
                  </w:pPr>
                  <w:r>
                    <w:rPr>
                      <w:rFonts w:hint="eastAsia"/>
                      <w:lang w:val="en-US" w:eastAsia="zh-CN"/>
                    </w:rPr>
                    <w:t>气瓶检验</w:t>
                  </w:r>
                  <w:r>
                    <w:rPr>
                      <w:rFonts w:hint="default"/>
                      <w:lang w:val="en-US" w:eastAsia="zh-CN"/>
                    </w:rPr>
                    <w:t>-</w:t>
                  </w:r>
                  <w:r>
                    <w:rPr>
                      <w:rFonts w:hint="eastAsia"/>
                      <w:lang w:val="en-US" w:eastAsia="zh-CN"/>
                    </w:rPr>
                    <w:t>丝印</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0A690A">
                  <w:pPr>
                    <w:pStyle w:val="40"/>
                    <w:bidi w:val="0"/>
                    <w:rPr>
                      <w:rFonts w:hint="default"/>
                    </w:rPr>
                  </w:pPr>
                  <w:r>
                    <w:rPr>
                      <w:rFonts w:hint="eastAsia"/>
                      <w:lang w:val="en-US" w:eastAsia="zh-CN"/>
                    </w:rPr>
                    <w:t>废抹布</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E50BFA">
                  <w:pPr>
                    <w:pStyle w:val="40"/>
                    <w:bidi w:val="0"/>
                    <w:rPr>
                      <w:rFonts w:hint="default"/>
                    </w:rPr>
                  </w:pPr>
                  <w:r>
                    <w:rPr>
                      <w:rFonts w:hint="default"/>
                      <w:lang w:val="en-US" w:eastAsia="zh-CN"/>
                    </w:rPr>
                    <w:t>HW12 900-253-12</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A5B4FC">
                  <w:pPr>
                    <w:pStyle w:val="40"/>
                    <w:bidi w:val="0"/>
                    <w:rPr>
                      <w:rFonts w:hint="default"/>
                    </w:rPr>
                  </w:pPr>
                  <w:r>
                    <w:rPr>
                      <w:rFonts w:hint="default"/>
                      <w:lang w:val="en-US" w:eastAsia="zh-CN"/>
                    </w:rPr>
                    <w:t xml:space="preserve">0.01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F098B">
                  <w:pPr>
                    <w:pStyle w:val="40"/>
                    <w:bidi w:val="0"/>
                    <w:rPr>
                      <w:rFonts w:hint="default"/>
                    </w:rPr>
                  </w:pPr>
                  <w:r>
                    <w:rPr>
                      <w:rFonts w:hint="default"/>
                      <w:lang w:val="en-US" w:eastAsia="zh-CN"/>
                    </w:rPr>
                    <w:t xml:space="preserve">0.01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760746">
                  <w:pPr>
                    <w:pStyle w:val="40"/>
                    <w:bidi w:val="0"/>
                    <w:rPr>
                      <w:rFonts w:hint="default"/>
                    </w:rPr>
                  </w:pPr>
                  <w:r>
                    <w:rPr>
                      <w:rFonts w:hint="eastAsia"/>
                      <w:lang w:val="en-US" w:eastAsia="zh-CN"/>
                    </w:rPr>
                    <w:t>危废暂存间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247E9">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B0D6A0">
                  <w:pPr>
                    <w:pStyle w:val="40"/>
                    <w:bidi w:val="0"/>
                    <w:rPr>
                      <w:rFonts w:hint="default"/>
                    </w:rPr>
                  </w:pPr>
                  <w:r>
                    <w:rPr>
                      <w:rFonts w:hint="default"/>
                      <w:lang w:val="en-US" w:eastAsia="zh-CN"/>
                    </w:rPr>
                    <w:t xml:space="preserve">0.001 </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1D3C7D4">
                  <w:pPr>
                    <w:pStyle w:val="40"/>
                    <w:bidi w:val="0"/>
                    <w:rPr>
                      <w:rFonts w:hint="default"/>
                    </w:rPr>
                  </w:pPr>
                  <w:r>
                    <w:rPr>
                      <w:rFonts w:hint="eastAsia"/>
                      <w:lang w:val="en-US" w:eastAsia="zh-CN"/>
                    </w:rPr>
                    <w:t>危废间暂存，委托委托有资质单位回收处理</w:t>
                  </w:r>
                </w:p>
              </w:tc>
            </w:tr>
            <w:tr w14:paraId="574DDA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477501A">
                  <w:pPr>
                    <w:pStyle w:val="40"/>
                    <w:bidi w:val="0"/>
                    <w:rPr>
                      <w:rFonts w:hint="default"/>
                    </w:rPr>
                  </w:pPr>
                  <w:r>
                    <w:rPr>
                      <w:rFonts w:hint="default"/>
                      <w:lang w:val="en-US" w:eastAsia="zh-CN"/>
                    </w:rPr>
                    <w:t>S11</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006D0F">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B56937">
                  <w:pPr>
                    <w:pStyle w:val="40"/>
                    <w:bidi w:val="0"/>
                    <w:rPr>
                      <w:rFonts w:hint="default"/>
                    </w:rPr>
                  </w:pPr>
                  <w:r>
                    <w:rPr>
                      <w:rFonts w:hint="eastAsia"/>
                      <w:lang w:val="en-US" w:eastAsia="zh-CN"/>
                    </w:rPr>
                    <w:t>气瓶检验</w:t>
                  </w:r>
                  <w:r>
                    <w:rPr>
                      <w:rFonts w:hint="default"/>
                      <w:lang w:val="en-US" w:eastAsia="zh-CN"/>
                    </w:rPr>
                    <w:t>-</w:t>
                  </w:r>
                  <w:r>
                    <w:rPr>
                      <w:rFonts w:hint="eastAsia"/>
                      <w:lang w:val="en-US" w:eastAsia="zh-CN"/>
                    </w:rPr>
                    <w:t>丝印</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194935">
                  <w:pPr>
                    <w:pStyle w:val="40"/>
                    <w:bidi w:val="0"/>
                    <w:rPr>
                      <w:rFonts w:hint="default"/>
                    </w:rPr>
                  </w:pPr>
                  <w:r>
                    <w:rPr>
                      <w:rFonts w:hint="eastAsia"/>
                      <w:lang w:val="en-US" w:eastAsia="zh-CN"/>
                    </w:rPr>
                    <w:t>废油墨桶</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B408C">
                  <w:pPr>
                    <w:pStyle w:val="40"/>
                    <w:bidi w:val="0"/>
                    <w:rPr>
                      <w:rFonts w:hint="default"/>
                    </w:rPr>
                  </w:pPr>
                  <w:r>
                    <w:rPr>
                      <w:rFonts w:hint="default"/>
                      <w:lang w:val="en-US" w:eastAsia="zh-CN"/>
                    </w:rPr>
                    <w:t>HW12 900-253-12</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6DA70B">
                  <w:pPr>
                    <w:pStyle w:val="40"/>
                    <w:bidi w:val="0"/>
                    <w:rPr>
                      <w:rFonts w:hint="default"/>
                    </w:rPr>
                  </w:pPr>
                  <w:r>
                    <w:rPr>
                      <w:rFonts w:hint="default"/>
                      <w:lang w:val="en-US" w:eastAsia="zh-CN"/>
                    </w:rPr>
                    <w:t xml:space="preserve">0.01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E9E877">
                  <w:pPr>
                    <w:pStyle w:val="40"/>
                    <w:bidi w:val="0"/>
                    <w:rPr>
                      <w:rFonts w:hint="default"/>
                    </w:rPr>
                  </w:pPr>
                  <w:r>
                    <w:rPr>
                      <w:rFonts w:hint="default"/>
                      <w:lang w:val="en-US" w:eastAsia="zh-CN"/>
                    </w:rPr>
                    <w:t xml:space="preserve">0.01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4944A">
                  <w:pPr>
                    <w:pStyle w:val="40"/>
                    <w:bidi w:val="0"/>
                    <w:rPr>
                      <w:rFonts w:hint="default"/>
                    </w:rPr>
                  </w:pPr>
                  <w:r>
                    <w:rPr>
                      <w:rFonts w:hint="eastAsia"/>
                      <w:lang w:val="en-US" w:eastAsia="zh-CN"/>
                    </w:rPr>
                    <w:t>危废暂存间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12695">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E6CFF8">
                  <w:pPr>
                    <w:pStyle w:val="40"/>
                    <w:bidi w:val="0"/>
                    <w:rPr>
                      <w:rFonts w:hint="default"/>
                    </w:rPr>
                  </w:pPr>
                  <w:r>
                    <w:rPr>
                      <w:rFonts w:hint="default"/>
                      <w:lang w:val="en-US" w:eastAsia="zh-CN"/>
                    </w:rPr>
                    <w:t xml:space="preserve">0.001 </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65BC59">
                  <w:pPr>
                    <w:pStyle w:val="40"/>
                    <w:bidi w:val="0"/>
                    <w:rPr>
                      <w:rFonts w:hint="default"/>
                    </w:rPr>
                  </w:pPr>
                  <w:r>
                    <w:rPr>
                      <w:rFonts w:hint="eastAsia"/>
                      <w:lang w:val="en-US" w:eastAsia="zh-CN"/>
                    </w:rPr>
                    <w:t>危废间暂存，委托委托有资质单位回收处理</w:t>
                  </w:r>
                </w:p>
              </w:tc>
            </w:tr>
            <w:tr w14:paraId="3A1790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8DA80E">
                  <w:pPr>
                    <w:pStyle w:val="40"/>
                    <w:bidi w:val="0"/>
                    <w:rPr>
                      <w:rFonts w:hint="default"/>
                    </w:rPr>
                  </w:pPr>
                  <w:r>
                    <w:rPr>
                      <w:rFonts w:hint="default"/>
                      <w:lang w:val="en-US" w:eastAsia="zh-CN"/>
                    </w:rPr>
                    <w:t>S12</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3B519E">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2B828B">
                  <w:pPr>
                    <w:pStyle w:val="40"/>
                    <w:bidi w:val="0"/>
                    <w:rPr>
                      <w:rFonts w:hint="default"/>
                    </w:rPr>
                  </w:pPr>
                  <w:r>
                    <w:rPr>
                      <w:rFonts w:hint="eastAsia"/>
                      <w:lang w:val="en-US" w:eastAsia="zh-CN"/>
                    </w:rPr>
                    <w:t>气瓶检验</w:t>
                  </w:r>
                  <w:r>
                    <w:rPr>
                      <w:rFonts w:hint="default"/>
                      <w:lang w:val="en-US" w:eastAsia="zh-CN"/>
                    </w:rPr>
                    <w:t>-</w:t>
                  </w:r>
                  <w:r>
                    <w:rPr>
                      <w:rFonts w:hint="eastAsia"/>
                      <w:lang w:val="en-US" w:eastAsia="zh-CN"/>
                    </w:rPr>
                    <w:t>丝印</w:t>
                  </w:r>
                </w:p>
              </w:tc>
              <w:tc>
                <w:tcPr>
                  <w:tcW w:w="147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729DA5">
                  <w:pPr>
                    <w:pStyle w:val="40"/>
                    <w:bidi w:val="0"/>
                    <w:rPr>
                      <w:rFonts w:hint="default"/>
                    </w:rPr>
                  </w:pPr>
                  <w:r>
                    <w:rPr>
                      <w:rFonts w:hint="eastAsia"/>
                      <w:lang w:val="en-US" w:eastAsia="zh-CN"/>
                    </w:rPr>
                    <w:t>废丝印版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B35E5">
                  <w:pPr>
                    <w:pStyle w:val="40"/>
                    <w:bidi w:val="0"/>
                    <w:rPr>
                      <w:rFonts w:hint="default"/>
                    </w:rPr>
                  </w:pPr>
                  <w:r>
                    <w:rPr>
                      <w:rFonts w:hint="default"/>
                      <w:lang w:val="en-US" w:eastAsia="zh-CN"/>
                    </w:rPr>
                    <w:t>HW12 900-253-12</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91678C">
                  <w:pPr>
                    <w:pStyle w:val="40"/>
                    <w:bidi w:val="0"/>
                    <w:rPr>
                      <w:rFonts w:hint="default"/>
                    </w:rPr>
                  </w:pPr>
                  <w:r>
                    <w:rPr>
                      <w:rFonts w:hint="default"/>
                      <w:lang w:val="en-US" w:eastAsia="zh-CN"/>
                    </w:rPr>
                    <w:t xml:space="preserve">0.01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08CAE9">
                  <w:pPr>
                    <w:pStyle w:val="40"/>
                    <w:bidi w:val="0"/>
                    <w:rPr>
                      <w:rFonts w:hint="default"/>
                    </w:rPr>
                  </w:pPr>
                  <w:r>
                    <w:rPr>
                      <w:rFonts w:hint="default"/>
                      <w:lang w:val="en-US" w:eastAsia="zh-CN"/>
                    </w:rPr>
                    <w:t xml:space="preserve">0.01 </w:t>
                  </w:r>
                </w:p>
              </w:tc>
              <w:tc>
                <w:tcPr>
                  <w:tcW w:w="13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68B043">
                  <w:pPr>
                    <w:pStyle w:val="40"/>
                    <w:bidi w:val="0"/>
                    <w:rPr>
                      <w:rFonts w:hint="default"/>
                    </w:rPr>
                  </w:pPr>
                  <w:r>
                    <w:rPr>
                      <w:rFonts w:hint="eastAsia"/>
                      <w:lang w:val="en-US" w:eastAsia="zh-CN"/>
                    </w:rPr>
                    <w:t>危废暂存间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8DAD8E">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8C126">
                  <w:pPr>
                    <w:pStyle w:val="40"/>
                    <w:bidi w:val="0"/>
                    <w:rPr>
                      <w:rFonts w:hint="default"/>
                    </w:rPr>
                  </w:pPr>
                  <w:r>
                    <w:rPr>
                      <w:rFonts w:hint="default"/>
                      <w:lang w:val="en-US" w:eastAsia="zh-CN"/>
                    </w:rPr>
                    <w:t xml:space="preserve">0.001 </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D127DA">
                  <w:pPr>
                    <w:pStyle w:val="40"/>
                    <w:bidi w:val="0"/>
                    <w:rPr>
                      <w:rFonts w:hint="default"/>
                    </w:rPr>
                  </w:pPr>
                  <w:r>
                    <w:rPr>
                      <w:rFonts w:hint="eastAsia"/>
                      <w:lang w:val="en-US" w:eastAsia="zh-CN"/>
                    </w:rPr>
                    <w:t>危废间暂存，委托委托有资质单位回收处理</w:t>
                  </w:r>
                </w:p>
              </w:tc>
            </w:tr>
            <w:tr w14:paraId="316E0D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2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912BC6">
                  <w:pPr>
                    <w:pStyle w:val="40"/>
                    <w:bidi w:val="0"/>
                    <w:rPr>
                      <w:rFonts w:hint="default"/>
                    </w:rPr>
                  </w:pPr>
                  <w:r>
                    <w:rPr>
                      <w:rFonts w:hint="default"/>
                      <w:lang w:val="en-US" w:eastAsia="zh-CN"/>
                    </w:rPr>
                    <w:t>S13</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E0AF8">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A9E32C">
                  <w:pPr>
                    <w:pStyle w:val="40"/>
                    <w:bidi w:val="0"/>
                    <w:rPr>
                      <w:rFonts w:hint="default"/>
                    </w:rPr>
                  </w:pPr>
                  <w:r>
                    <w:rPr>
                      <w:rFonts w:hint="eastAsia"/>
                      <w:lang w:val="en-US" w:eastAsia="zh-CN"/>
                    </w:rPr>
                    <w:t>灌装</w:t>
                  </w:r>
                  <w:r>
                    <w:rPr>
                      <w:rFonts w:hint="default"/>
                      <w:lang w:val="en-US" w:eastAsia="zh-CN"/>
                    </w:rPr>
                    <w:t>/</w:t>
                  </w:r>
                  <w:r>
                    <w:rPr>
                      <w:rFonts w:hint="eastAsia"/>
                      <w:lang w:val="en-US" w:eastAsia="zh-CN"/>
                    </w:rPr>
                    <w:t>倒残</w:t>
                  </w:r>
                </w:p>
              </w:tc>
              <w:tc>
                <w:tcPr>
                  <w:tcW w:w="1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5FF67E">
                  <w:pPr>
                    <w:pStyle w:val="40"/>
                    <w:bidi w:val="0"/>
                    <w:rPr>
                      <w:rFonts w:hint="default"/>
                    </w:rPr>
                  </w:pPr>
                  <w:r>
                    <w:rPr>
                      <w:rFonts w:hint="eastAsia"/>
                      <w:lang w:val="en-US" w:eastAsia="zh-CN"/>
                    </w:rPr>
                    <w:t>液化石油气残液</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9243A6F">
                  <w:pPr>
                    <w:pStyle w:val="40"/>
                    <w:bidi w:val="0"/>
                    <w:rPr>
                      <w:rFonts w:hint="default"/>
                    </w:rPr>
                  </w:pPr>
                  <w:r>
                    <w:rPr>
                      <w:rFonts w:hint="default"/>
                      <w:lang w:val="en-US" w:eastAsia="zh-CN"/>
                    </w:rPr>
                    <w:t>HW09 900-007- 09</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C10DCAA">
                  <w:pPr>
                    <w:pStyle w:val="40"/>
                    <w:bidi w:val="0"/>
                    <w:rPr>
                      <w:rFonts w:hint="default"/>
                    </w:rPr>
                  </w:pPr>
                  <w:r>
                    <w:rPr>
                      <w:rFonts w:hint="default"/>
                      <w:lang w:val="en-US" w:eastAsia="zh-CN"/>
                    </w:rPr>
                    <w:t xml:space="preserve">2.80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233A51">
                  <w:pPr>
                    <w:pStyle w:val="40"/>
                    <w:bidi w:val="0"/>
                    <w:rPr>
                      <w:rFonts w:hint="default"/>
                    </w:rPr>
                  </w:pPr>
                  <w:r>
                    <w:rPr>
                      <w:rFonts w:hint="default"/>
                      <w:lang w:val="en-US" w:eastAsia="zh-CN"/>
                    </w:rPr>
                    <w:t xml:space="preserve">2.80 </w:t>
                  </w:r>
                </w:p>
              </w:tc>
              <w:tc>
                <w:tcPr>
                  <w:tcW w:w="1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F1B9BF">
                  <w:pPr>
                    <w:pStyle w:val="40"/>
                    <w:bidi w:val="0"/>
                    <w:rPr>
                      <w:rFonts w:hint="default" w:eastAsia="宋体"/>
                      <w:lang w:val="en-US" w:eastAsia="zh-CN"/>
                    </w:rPr>
                  </w:pPr>
                  <w:r>
                    <w:rPr>
                      <w:rFonts w:hint="eastAsia"/>
                      <w:lang w:val="en-US" w:eastAsia="zh-CN"/>
                    </w:rPr>
                    <w:t>危废暂存间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27E520">
                  <w:pPr>
                    <w:pStyle w:val="40"/>
                    <w:bidi w:val="0"/>
                    <w:rPr>
                      <w:rFonts w:hint="default"/>
                      <w:lang w:val="en-US"/>
                    </w:rPr>
                  </w:pPr>
                  <w:r>
                    <w:rPr>
                      <w:rFonts w:hint="eastAsia"/>
                      <w:lang w:val="en-US" w:eastAsia="zh-CN"/>
                    </w:rPr>
                    <w:t>1个月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D330C">
                  <w:pPr>
                    <w:pStyle w:val="40"/>
                    <w:bidi w:val="0"/>
                    <w:rPr>
                      <w:rFonts w:hint="default"/>
                    </w:rPr>
                  </w:pPr>
                  <w:r>
                    <w:rPr>
                      <w:rFonts w:hint="eastAsia"/>
                      <w:lang w:val="en-US" w:eastAsia="zh-CN"/>
                    </w:rPr>
                    <w:t>0233</w:t>
                  </w:r>
                  <w:r>
                    <w:rPr>
                      <w:rFonts w:hint="default"/>
                      <w:lang w:val="en-US" w:eastAsia="zh-CN"/>
                    </w:rPr>
                    <w:t xml:space="preserve"> </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0CAB0C1">
                  <w:pPr>
                    <w:pStyle w:val="40"/>
                    <w:bidi w:val="0"/>
                    <w:rPr>
                      <w:rFonts w:hint="default"/>
                    </w:rPr>
                  </w:pPr>
                  <w:r>
                    <w:rPr>
                      <w:rFonts w:hint="eastAsia"/>
                      <w:lang w:val="en-US" w:eastAsia="zh-CN"/>
                    </w:rPr>
                    <w:t>残液罐暂存，委托有资质的单位定期回收</w:t>
                  </w:r>
                </w:p>
              </w:tc>
            </w:tr>
            <w:tr w14:paraId="6E806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588F14">
                  <w:pPr>
                    <w:pStyle w:val="40"/>
                    <w:bidi w:val="0"/>
                    <w:rPr>
                      <w:rFonts w:hint="default"/>
                    </w:rPr>
                  </w:pPr>
                  <w:r>
                    <w:rPr>
                      <w:rFonts w:hint="default"/>
                      <w:lang w:val="en-US" w:eastAsia="zh-CN"/>
                    </w:rPr>
                    <w:t>S14</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C5F131">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E23442">
                  <w:pPr>
                    <w:pStyle w:val="40"/>
                    <w:bidi w:val="0"/>
                    <w:rPr>
                      <w:rFonts w:hint="default"/>
                    </w:rPr>
                  </w:pPr>
                  <w:r>
                    <w:rPr>
                      <w:rFonts w:hint="eastAsia"/>
                      <w:lang w:val="en-US" w:eastAsia="zh-CN"/>
                    </w:rPr>
                    <w:t>设备维修检修过程</w:t>
                  </w:r>
                </w:p>
              </w:tc>
              <w:tc>
                <w:tcPr>
                  <w:tcW w:w="1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9A2702">
                  <w:pPr>
                    <w:pStyle w:val="40"/>
                    <w:bidi w:val="0"/>
                    <w:rPr>
                      <w:rFonts w:hint="default"/>
                    </w:rPr>
                  </w:pPr>
                  <w:r>
                    <w:rPr>
                      <w:rFonts w:hint="eastAsia"/>
                      <w:lang w:val="en-US" w:eastAsia="zh-CN"/>
                    </w:rPr>
                    <w:t>废矿物油</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726AE5">
                  <w:pPr>
                    <w:pStyle w:val="40"/>
                    <w:bidi w:val="0"/>
                    <w:rPr>
                      <w:rFonts w:hint="default"/>
                    </w:rPr>
                  </w:pPr>
                  <w:r>
                    <w:rPr>
                      <w:rFonts w:hint="default"/>
                      <w:lang w:val="en-US" w:eastAsia="zh-CN"/>
                    </w:rPr>
                    <w:t>HW08 900-249-08</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517E45">
                  <w:pPr>
                    <w:pStyle w:val="40"/>
                    <w:bidi w:val="0"/>
                    <w:rPr>
                      <w:rFonts w:hint="default"/>
                    </w:rPr>
                  </w:pPr>
                  <w:r>
                    <w:rPr>
                      <w:rFonts w:hint="default"/>
                      <w:lang w:val="en-US" w:eastAsia="zh-CN"/>
                    </w:rPr>
                    <w:t xml:space="preserve">0.10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19C078">
                  <w:pPr>
                    <w:pStyle w:val="40"/>
                    <w:bidi w:val="0"/>
                    <w:rPr>
                      <w:rFonts w:hint="default"/>
                    </w:rPr>
                  </w:pPr>
                  <w:r>
                    <w:rPr>
                      <w:rFonts w:hint="default"/>
                      <w:lang w:val="en-US" w:eastAsia="zh-CN"/>
                    </w:rPr>
                    <w:t xml:space="preserve">0.10 </w:t>
                  </w:r>
                </w:p>
              </w:tc>
              <w:tc>
                <w:tcPr>
                  <w:tcW w:w="1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E80492A">
                  <w:pPr>
                    <w:pStyle w:val="40"/>
                    <w:bidi w:val="0"/>
                    <w:rPr>
                      <w:rFonts w:hint="default"/>
                    </w:rPr>
                  </w:pPr>
                  <w:r>
                    <w:rPr>
                      <w:rFonts w:hint="eastAsia"/>
                      <w:lang w:val="en-US" w:eastAsia="zh-CN"/>
                    </w:rPr>
                    <w:t>危废暂存间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826837">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933C1EE">
                  <w:pPr>
                    <w:pStyle w:val="40"/>
                    <w:bidi w:val="0"/>
                    <w:rPr>
                      <w:rFonts w:hint="default"/>
                    </w:rPr>
                  </w:pPr>
                  <w:r>
                    <w:rPr>
                      <w:rFonts w:hint="default"/>
                      <w:lang w:val="en-US" w:eastAsia="zh-CN"/>
                    </w:rPr>
                    <w:t xml:space="preserve">0.008 </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C9B0F14">
                  <w:pPr>
                    <w:pStyle w:val="40"/>
                    <w:bidi w:val="0"/>
                    <w:rPr>
                      <w:rFonts w:hint="default"/>
                    </w:rPr>
                  </w:pPr>
                  <w:r>
                    <w:rPr>
                      <w:rFonts w:hint="eastAsia"/>
                      <w:lang w:val="en-US" w:eastAsia="zh-CN"/>
                    </w:rPr>
                    <w:t>危废间暂存，委托委托有资质单位回收处理</w:t>
                  </w:r>
                </w:p>
              </w:tc>
            </w:tr>
            <w:tr w14:paraId="0F2448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44D762">
                  <w:pPr>
                    <w:pStyle w:val="40"/>
                    <w:bidi w:val="0"/>
                    <w:rPr>
                      <w:rFonts w:hint="default"/>
                    </w:rPr>
                  </w:pPr>
                  <w:r>
                    <w:rPr>
                      <w:rFonts w:hint="default"/>
                      <w:lang w:val="en-US" w:eastAsia="zh-CN"/>
                    </w:rPr>
                    <w:t>S15</w:t>
                  </w:r>
                </w:p>
              </w:tc>
              <w:tc>
                <w:tcPr>
                  <w:tcW w:w="17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2A0DC">
                  <w:pPr>
                    <w:pStyle w:val="40"/>
                    <w:bidi w:val="0"/>
                    <w:rPr>
                      <w:rFonts w:hint="default"/>
                    </w:rPr>
                  </w:pP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8D963F">
                  <w:pPr>
                    <w:pStyle w:val="40"/>
                    <w:bidi w:val="0"/>
                    <w:rPr>
                      <w:rFonts w:hint="default"/>
                    </w:rPr>
                  </w:pPr>
                  <w:r>
                    <w:rPr>
                      <w:rFonts w:hint="eastAsia"/>
                      <w:lang w:val="en-US" w:eastAsia="zh-CN"/>
                    </w:rPr>
                    <w:t>更换矿物油</w:t>
                  </w:r>
                </w:p>
              </w:tc>
              <w:tc>
                <w:tcPr>
                  <w:tcW w:w="1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463D5">
                  <w:pPr>
                    <w:pStyle w:val="40"/>
                    <w:bidi w:val="0"/>
                    <w:rPr>
                      <w:rFonts w:hint="default"/>
                    </w:rPr>
                  </w:pPr>
                  <w:r>
                    <w:rPr>
                      <w:rFonts w:hint="eastAsia"/>
                      <w:lang w:val="en-US" w:eastAsia="zh-CN"/>
                    </w:rPr>
                    <w:t>废油桶</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CAB27BE">
                  <w:pPr>
                    <w:pStyle w:val="40"/>
                    <w:bidi w:val="0"/>
                    <w:rPr>
                      <w:rFonts w:hint="default"/>
                    </w:rPr>
                  </w:pPr>
                  <w:r>
                    <w:rPr>
                      <w:rFonts w:hint="default"/>
                      <w:lang w:val="en-US" w:eastAsia="zh-CN"/>
                    </w:rPr>
                    <w:t>HW08 900-249-08</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9CF6CE">
                  <w:pPr>
                    <w:pStyle w:val="40"/>
                    <w:bidi w:val="0"/>
                    <w:rPr>
                      <w:rFonts w:hint="default"/>
                    </w:rPr>
                  </w:pPr>
                  <w:r>
                    <w:rPr>
                      <w:rFonts w:hint="default"/>
                      <w:lang w:val="en-US" w:eastAsia="zh-CN"/>
                    </w:rPr>
                    <w:t xml:space="preserve">0.03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DCF518">
                  <w:pPr>
                    <w:pStyle w:val="40"/>
                    <w:bidi w:val="0"/>
                    <w:rPr>
                      <w:rFonts w:hint="default"/>
                    </w:rPr>
                  </w:pPr>
                  <w:r>
                    <w:rPr>
                      <w:rFonts w:hint="default"/>
                      <w:lang w:val="en-US" w:eastAsia="zh-CN"/>
                    </w:rPr>
                    <w:t xml:space="preserve">0.03 </w:t>
                  </w:r>
                </w:p>
              </w:tc>
              <w:tc>
                <w:tcPr>
                  <w:tcW w:w="1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4905C6">
                  <w:pPr>
                    <w:pStyle w:val="40"/>
                    <w:bidi w:val="0"/>
                    <w:rPr>
                      <w:rFonts w:hint="default"/>
                    </w:rPr>
                  </w:pPr>
                  <w:r>
                    <w:rPr>
                      <w:rFonts w:hint="eastAsia"/>
                      <w:lang w:val="en-US" w:eastAsia="zh-CN"/>
                    </w:rPr>
                    <w:t>危废暂存间</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E70F9A">
                  <w:pPr>
                    <w:pStyle w:val="40"/>
                    <w:bidi w:val="0"/>
                    <w:rPr>
                      <w:rFonts w:hint="default"/>
                    </w:rPr>
                  </w:pPr>
                  <w:r>
                    <w:rPr>
                      <w:rFonts w:hint="default"/>
                      <w:lang w:val="en-US" w:eastAsia="zh-CN"/>
                    </w:rPr>
                    <w:t>1</w:t>
                  </w:r>
                  <w:r>
                    <w:rPr>
                      <w:rFonts w:hint="eastAsia"/>
                      <w:lang w:val="en-US" w:eastAsia="zh-CN"/>
                    </w:rPr>
                    <w:t>个月</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72BE62">
                  <w:pPr>
                    <w:pStyle w:val="40"/>
                    <w:bidi w:val="0"/>
                    <w:rPr>
                      <w:rFonts w:hint="default"/>
                    </w:rPr>
                  </w:pPr>
                  <w:r>
                    <w:rPr>
                      <w:rFonts w:hint="default"/>
                      <w:lang w:val="en-US" w:eastAsia="zh-CN"/>
                    </w:rPr>
                    <w:t xml:space="preserve">0.003 </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64AF081">
                  <w:pPr>
                    <w:pStyle w:val="40"/>
                    <w:bidi w:val="0"/>
                    <w:rPr>
                      <w:rFonts w:hint="default"/>
                    </w:rPr>
                  </w:pPr>
                  <w:r>
                    <w:rPr>
                      <w:rFonts w:hint="eastAsia"/>
                      <w:lang w:val="en-US" w:eastAsia="zh-CN"/>
                    </w:rPr>
                    <w:t>危废间暂存，委托委托有资质单位回收处理</w:t>
                  </w:r>
                </w:p>
              </w:tc>
            </w:tr>
            <w:tr w14:paraId="662D0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65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434373">
                  <w:pPr>
                    <w:pStyle w:val="40"/>
                    <w:bidi w:val="0"/>
                    <w:rPr>
                      <w:rFonts w:hint="default"/>
                    </w:rPr>
                  </w:pPr>
                  <w:r>
                    <w:rPr>
                      <w:rFonts w:hint="default"/>
                      <w:lang w:val="en-US" w:eastAsia="zh-CN"/>
                    </w:rPr>
                    <w:t>S16</w:t>
                  </w:r>
                </w:p>
              </w:tc>
              <w:tc>
                <w:tcPr>
                  <w:tcW w:w="172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BAEB09">
                  <w:pPr>
                    <w:pStyle w:val="40"/>
                    <w:bidi w:val="0"/>
                    <w:rPr>
                      <w:rFonts w:hint="default"/>
                    </w:rPr>
                  </w:pPr>
                  <w:r>
                    <w:rPr>
                      <w:rFonts w:hint="eastAsia"/>
                      <w:lang w:val="en-US" w:eastAsia="zh-CN"/>
                    </w:rPr>
                    <w:t>生活垃圾</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B13F73">
                  <w:pPr>
                    <w:pStyle w:val="40"/>
                    <w:bidi w:val="0"/>
                    <w:rPr>
                      <w:rFonts w:hint="default"/>
                    </w:rPr>
                  </w:pPr>
                  <w:r>
                    <w:rPr>
                      <w:rFonts w:hint="eastAsia"/>
                      <w:lang w:val="en-US" w:eastAsia="zh-CN"/>
                    </w:rPr>
                    <w:t>员工生活</w:t>
                  </w:r>
                </w:p>
              </w:tc>
              <w:tc>
                <w:tcPr>
                  <w:tcW w:w="147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9F1B05">
                  <w:pPr>
                    <w:pStyle w:val="40"/>
                    <w:bidi w:val="0"/>
                    <w:rPr>
                      <w:rFonts w:hint="default"/>
                    </w:rPr>
                  </w:pPr>
                  <w:r>
                    <w:rPr>
                      <w:rFonts w:hint="eastAsia"/>
                      <w:lang w:val="en-US" w:eastAsia="zh-CN"/>
                    </w:rPr>
                    <w:t>生活垃圾</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2E19976">
                  <w:pPr>
                    <w:pStyle w:val="40"/>
                    <w:bidi w:val="0"/>
                    <w:rPr>
                      <w:rFonts w:hint="default"/>
                    </w:rPr>
                  </w:pPr>
                  <w:r>
                    <w:rPr>
                      <w:rFonts w:hint="default"/>
                      <w:lang w:val="en-US" w:eastAsia="zh-CN"/>
                    </w:rPr>
                    <w:t>/</w:t>
                  </w:r>
                </w:p>
              </w:tc>
              <w:tc>
                <w:tcPr>
                  <w:tcW w:w="138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D02D6B">
                  <w:pPr>
                    <w:pStyle w:val="40"/>
                    <w:bidi w:val="0"/>
                    <w:rPr>
                      <w:rFonts w:hint="default"/>
                    </w:rPr>
                  </w:pPr>
                  <w:r>
                    <w:rPr>
                      <w:rFonts w:hint="default"/>
                      <w:lang w:val="en-US" w:eastAsia="zh-CN"/>
                    </w:rPr>
                    <w:t xml:space="preserve">4.74 </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D40A16">
                  <w:pPr>
                    <w:pStyle w:val="40"/>
                    <w:bidi w:val="0"/>
                    <w:rPr>
                      <w:rFonts w:hint="default"/>
                    </w:rPr>
                  </w:pPr>
                  <w:r>
                    <w:rPr>
                      <w:rFonts w:hint="default"/>
                      <w:lang w:val="en-US" w:eastAsia="zh-CN"/>
                    </w:rPr>
                    <w:t xml:space="preserve">4.74 </w:t>
                  </w:r>
                </w:p>
              </w:tc>
              <w:tc>
                <w:tcPr>
                  <w:tcW w:w="133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EAC3D2">
                  <w:pPr>
                    <w:pStyle w:val="40"/>
                    <w:bidi w:val="0"/>
                    <w:rPr>
                      <w:rFonts w:hint="default"/>
                    </w:rPr>
                  </w:pPr>
                  <w:r>
                    <w:rPr>
                      <w:rFonts w:hint="eastAsia"/>
                      <w:lang w:val="en-US" w:eastAsia="zh-CN"/>
                    </w:rPr>
                    <w:t>垃圾桶收集</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36F5C7">
                  <w:pPr>
                    <w:pStyle w:val="40"/>
                    <w:bidi w:val="0"/>
                    <w:rPr>
                      <w:rFonts w:hint="default"/>
                    </w:rPr>
                  </w:pPr>
                  <w:r>
                    <w:rPr>
                      <w:rFonts w:hint="default"/>
                      <w:lang w:val="en-US" w:eastAsia="zh-CN"/>
                    </w:rPr>
                    <w:t>1d</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0823140">
                  <w:pPr>
                    <w:pStyle w:val="40"/>
                    <w:bidi w:val="0"/>
                    <w:rPr>
                      <w:rFonts w:hint="default"/>
                    </w:rPr>
                  </w:pPr>
                  <w:r>
                    <w:rPr>
                      <w:rFonts w:hint="default"/>
                      <w:lang w:val="en-US" w:eastAsia="zh-CN"/>
                    </w:rPr>
                    <w:t xml:space="preserve">0.014 </w:t>
                  </w:r>
                </w:p>
              </w:tc>
              <w:tc>
                <w:tcPr>
                  <w:tcW w:w="15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C9B28A9">
                  <w:pPr>
                    <w:pStyle w:val="40"/>
                    <w:bidi w:val="0"/>
                    <w:rPr>
                      <w:rFonts w:hint="default"/>
                    </w:rPr>
                  </w:pPr>
                  <w:r>
                    <w:rPr>
                      <w:rFonts w:hint="eastAsia"/>
                      <w:lang w:val="en-US" w:eastAsia="zh-CN"/>
                    </w:rPr>
                    <w:t>委托环卫部门清运</w:t>
                  </w:r>
                </w:p>
              </w:tc>
            </w:tr>
          </w:tbl>
          <w:p w14:paraId="1E6F5459">
            <w:pPr>
              <w:pStyle w:val="44"/>
              <w:rPr>
                <w:rFonts w:hint="default" w:ascii="Times New Roman" w:hAnsi="Times New Roman" w:cs="Times New Roman"/>
                <w:b/>
                <w:color w:val="auto"/>
                <w:kern w:val="0"/>
                <w:sz w:val="28"/>
                <w:szCs w:val="28"/>
                <w:vertAlign w:val="baseline"/>
              </w:rPr>
            </w:pPr>
          </w:p>
        </w:tc>
      </w:tr>
    </w:tbl>
    <w:p w14:paraId="1F73E4C9">
      <w:pPr>
        <w:pStyle w:val="44"/>
        <w:ind w:left="0" w:leftChars="0" w:firstLine="0" w:firstLineChars="0"/>
        <w:rPr>
          <w:rFonts w:hint="default" w:ascii="Times New Roman" w:hAnsi="Times New Roman" w:cs="Times New Roman"/>
          <w:b/>
          <w:color w:val="auto"/>
          <w:kern w:val="0"/>
          <w:sz w:val="28"/>
          <w:szCs w:val="28"/>
        </w:rPr>
        <w:sectPr>
          <w:pgSz w:w="16840" w:h="11907" w:orient="landscape"/>
          <w:pgMar w:top="1531" w:right="1701" w:bottom="1531" w:left="2127"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8452"/>
      </w:tblGrid>
      <w:tr w14:paraId="4A04C2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9" w:type="dxa"/>
          </w:tcPr>
          <w:p w14:paraId="4A336126">
            <w:pPr>
              <w:pStyle w:val="44"/>
              <w:rPr>
                <w:rFonts w:hint="default" w:ascii="Times New Roman" w:hAnsi="Times New Roman" w:cs="Times New Roman"/>
                <w:b/>
                <w:color w:val="auto"/>
                <w:kern w:val="0"/>
                <w:sz w:val="28"/>
                <w:szCs w:val="28"/>
                <w:vertAlign w:val="baseline"/>
              </w:rPr>
            </w:pPr>
          </w:p>
        </w:tc>
        <w:tc>
          <w:tcPr>
            <w:tcW w:w="8452" w:type="dxa"/>
          </w:tcPr>
          <w:p w14:paraId="676DEAD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val="0"/>
                <w:color w:val="auto"/>
                <w:sz w:val="24"/>
                <w:szCs w:val="24"/>
                <w:lang w:val="en-US" w:eastAsia="zh-CN"/>
              </w:rPr>
            </w:pPr>
            <w:r>
              <w:rPr>
                <w:rFonts w:hint="default" w:ascii="Times New Roman" w:hAnsi="Times New Roman" w:eastAsia="宋体" w:cs="Times New Roman"/>
                <w:b/>
                <w:bCs w:val="0"/>
                <w:color w:val="auto"/>
                <w:sz w:val="24"/>
                <w:szCs w:val="24"/>
                <w:lang w:val="en-US" w:eastAsia="zh-CN"/>
              </w:rPr>
              <w:t>4.2固废储存要求</w:t>
            </w:r>
          </w:p>
          <w:p w14:paraId="38AE0A90">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根据《中华人民共和国固体废物污染环境防治法》，企业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7B03FA10">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（1）一般固废暂存间</w:t>
            </w:r>
          </w:p>
          <w:p w14:paraId="4CFAD8DF">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新建1座一般固废暂存间，占地约</w:t>
            </w:r>
            <w:r>
              <w:rPr>
                <w:rFonts w:hint="eastAsia"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可以满足本项目固废贮存量的需求。固废管理应符合《一般工业固体废物贮存和填埋污染控制标准》(GB18599-2020)中的相关要求，采用库房、包装工具(桶、包装袋等)贮存一般工业固体废物过程的污染控制，其贮存过程应满足相应防渗漏、防雨淋防扬尘等环境保护要求。</w:t>
            </w:r>
          </w:p>
          <w:p w14:paraId="0687CA4E">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（2）危废暂存间</w:t>
            </w:r>
          </w:p>
          <w:p w14:paraId="73F9F6AD">
            <w:pPr>
              <w:spacing w:line="360" w:lineRule="auto"/>
              <w:ind w:firstLine="480" w:firstLineChars="200"/>
              <w:rPr>
                <w:rFonts w:hint="default" w:ascii="Times New Roman" w:hAnsi="Times New Roman" w:cs="Times New Roman"/>
                <w:sz w:val="24"/>
              </w:rPr>
            </w:pPr>
            <w:r>
              <w:rPr>
                <w:rFonts w:hint="default" w:ascii="Times New Roman" w:hAnsi="Times New Roman" w:eastAsia="宋体" w:cs="Times New Roman"/>
                <w:color w:val="auto"/>
                <w:sz w:val="24"/>
                <w:szCs w:val="24"/>
                <w:highlight w:val="none"/>
                <w:lang w:val="en-US" w:eastAsia="zh-CN"/>
              </w:rPr>
              <w:t>新建1个危险废物仓库，占地约20m</w:t>
            </w:r>
            <w:r>
              <w:rPr>
                <w:rFonts w:hint="default" w:ascii="Times New Roman" w:hAnsi="Times New Roman" w:eastAsia="宋体"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lang w:val="en-US" w:eastAsia="zh-CN"/>
              </w:rPr>
              <w:t>，可以满足本项目危险废物贮存量的需求。危险废物产生后不得随意堆放，加强危险废物收集，项目应设置危险废物临时贮存库，该库房建设严格按照《危险废物贮存污染控制标准》(GB18597-2023)、《危险废物识别标志设置技术规范(HJ1276-2022)》等要求进行设计，贮存场所及设施底部高于地下水最高水位。建有防风、防晒、防雨、防漏、防渗、防腐以及其他环境污染防治措施，收集后委托有资质单位无害化处置。贮存设施根据危险废物的类别、数量、形态、物理化学性质和污染防治等设置必要的贮存分区，避免不相容的危险废物接触、混合。</w:t>
            </w:r>
            <w:r>
              <w:rPr>
                <w:rFonts w:hint="default" w:ascii="Times New Roman" w:hAnsi="Times New Roman" w:cs="Times New Roman"/>
                <w:color w:val="0000FF"/>
                <w:sz w:val="24"/>
                <w:szCs w:val="24"/>
                <w:highlight w:val="none"/>
                <w:lang w:val="en-US" w:eastAsia="zh-CN"/>
              </w:rPr>
              <w:t>本项目产生的废矿物油使用密封桶盛装，厂区内暂存时间为1个月，储存过程中挥发量较小，根据《</w:t>
            </w:r>
            <w:r>
              <w:rPr>
                <w:rFonts w:hint="default" w:ascii="Times New Roman" w:hAnsi="Times New Roman" w:eastAsia="宋体" w:cs="Times New Roman"/>
                <w:color w:val="0000FF"/>
                <w:sz w:val="24"/>
                <w:szCs w:val="24"/>
              </w:rPr>
              <w:t>挥发性有机物无组织排放控制标准</w:t>
            </w:r>
            <w:r>
              <w:rPr>
                <w:rFonts w:hint="default" w:ascii="Times New Roman" w:hAnsi="Times New Roman" w:cs="Times New Roman"/>
                <w:color w:val="0000FF"/>
                <w:sz w:val="24"/>
                <w:szCs w:val="24"/>
                <w:highlight w:val="none"/>
                <w:lang w:val="en-US" w:eastAsia="zh-CN"/>
              </w:rPr>
              <w:t>》（GB37822-2019），“收集的废气中NMHC初始排放速率&gt;3kgh时，应配置VOCs处理设施，处理效率不应低于80%；对于重点地区，收集的废气中NMHC初始排放速率&gt;2kgh时，应配置VOCs处理设施，处理效率不应低于80%。”，本项目危废暂存间NMHC初始排放速率低于2kg/h，因此不设施废气处理措施，危废间设置通风口。</w:t>
            </w:r>
            <w:r>
              <w:rPr>
                <w:rFonts w:hint="default" w:ascii="Times New Roman" w:hAnsi="Times New Roman" w:eastAsia="宋体" w:cs="Times New Roman"/>
                <w:color w:val="auto"/>
                <w:sz w:val="24"/>
                <w:szCs w:val="24"/>
                <w:highlight w:val="none"/>
                <w:lang w:val="en-US" w:eastAsia="zh-CN"/>
              </w:rPr>
              <w:t>在贮存区具有液体泄漏堵截设施。地面及裙脚、导流渠、集液池均按照</w:t>
            </w:r>
            <w:r>
              <w:rPr>
                <w:rFonts w:hint="default" w:ascii="Times New Roman" w:hAnsi="Times New Roman" w:cs="Times New Roman"/>
                <w:sz w:val="24"/>
              </w:rPr>
              <w:t>《危险废物贮存污染控制标准》（GB18597-2023）</w:t>
            </w:r>
            <w:r>
              <w:rPr>
                <w:rFonts w:hint="default" w:ascii="Times New Roman" w:hAnsi="Times New Roman" w:eastAsia="宋体" w:cs="Times New Roman"/>
                <w:color w:val="auto"/>
                <w:sz w:val="24"/>
                <w:szCs w:val="24"/>
                <w:highlight w:val="none"/>
                <w:lang w:val="en-US" w:eastAsia="zh-CN"/>
              </w:rPr>
              <w:t>相关内容进行防渗。</w:t>
            </w:r>
            <w:r>
              <w:rPr>
                <w:rFonts w:hint="default" w:ascii="Times New Roman" w:hAnsi="Times New Roman" w:cs="Times New Roman"/>
                <w:color w:val="auto"/>
                <w:sz w:val="24"/>
                <w:szCs w:val="24"/>
                <w:lang w:val="en-US" w:eastAsia="zh-CN"/>
              </w:rPr>
              <w:t>防渗层采用2mm厚高密度聚乙烯或至少2mm厚的其它人工材料，渗透系数≤10</w:t>
            </w:r>
            <w:r>
              <w:rPr>
                <w:rFonts w:hint="default" w:ascii="Times New Roman" w:hAnsi="Times New Roman" w:cs="Times New Roman"/>
                <w:color w:val="auto"/>
                <w:sz w:val="24"/>
                <w:szCs w:val="24"/>
                <w:vertAlign w:val="superscript"/>
                <w:lang w:val="en-US" w:eastAsia="zh-CN"/>
              </w:rPr>
              <w:t>-10</w:t>
            </w:r>
            <w:r>
              <w:rPr>
                <w:rFonts w:hint="default" w:ascii="Times New Roman" w:hAnsi="Times New Roman" w:cs="Times New Roman"/>
                <w:color w:val="auto"/>
                <w:sz w:val="24"/>
                <w:szCs w:val="24"/>
                <w:lang w:val="en-US" w:eastAsia="zh-CN"/>
              </w:rPr>
              <w:t>cm/s，设置导流渠、围堰以及收集池，其中围堰高度为10cm，导流渠宽度为10cm，导流渠内按1％坡度向集液池汇集，集液池高度为1m，占地面积为1m</w:t>
            </w:r>
            <w:r>
              <w:rPr>
                <w:rFonts w:hint="default" w:ascii="Times New Roman" w:hAnsi="Times New Roman" w:cs="Times New Roman"/>
                <w:color w:val="auto"/>
                <w:sz w:val="24"/>
                <w:szCs w:val="24"/>
                <w:vertAlign w:val="superscript"/>
                <w:lang w:val="en-US" w:eastAsia="zh-CN"/>
              </w:rPr>
              <w:t>2</w:t>
            </w:r>
            <w:r>
              <w:rPr>
                <w:rFonts w:hint="default" w:ascii="Times New Roman" w:hAnsi="Times New Roman" w:cs="Times New Roman"/>
                <w:color w:val="auto"/>
                <w:sz w:val="24"/>
                <w:szCs w:val="24"/>
                <w:lang w:val="en-US" w:eastAsia="zh-CN"/>
              </w:rPr>
              <w:t>。</w:t>
            </w:r>
          </w:p>
          <w:p w14:paraId="39FC27FB">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根据《危险废物贮存污染控制标准》（GB18597-2023）、《中华人民共和国固体废物污染环境防治法》等制定危废暂存间管理要求。</w:t>
            </w:r>
          </w:p>
          <w:p w14:paraId="313A7B2D">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a.危废暂存间必须由专人管理，其他人未经允许不得进出。</w:t>
            </w:r>
          </w:p>
          <w:p w14:paraId="246592D5">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b.危险废物贮存时间不得超过一年，法律、法规另有规定的除外，如无法处理需超过一个自然年贮存，需向当地环保局进行申请。</w:t>
            </w:r>
          </w:p>
          <w:p w14:paraId="6D4859C6">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c.危废暂存间不得存放危险废物以外的其他废弃物。</w:t>
            </w:r>
          </w:p>
          <w:p w14:paraId="5BFD93D7">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d.各类危险废物严格按照危险废物特性分类贮存、收集，分别做好统一包装，防止渗漏，并分别贴好标识，注明危险废物名称、代码、危害性、开始贮存的时间。</w:t>
            </w:r>
          </w:p>
          <w:p w14:paraId="1A416BE1">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e.须做好危险废物出入库情况记录，记录须注明危险废物的名称、来源、数量、入库日期、出库日期、接收单位名称。</w:t>
            </w:r>
          </w:p>
          <w:p w14:paraId="2B74502B">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f.危险废物转移时，必须按照《危险废物转移联单管理办法》等相关规定办理危险废物转移联单。</w:t>
            </w:r>
          </w:p>
          <w:p w14:paraId="3243C00B">
            <w:pPr>
              <w:spacing w:line="360" w:lineRule="auto"/>
              <w:ind w:firstLine="480" w:firstLineChars="200"/>
              <w:rPr>
                <w:rFonts w:hint="default" w:ascii="Times New Roman" w:hAnsi="Times New Roman" w:cs="Times New Roman"/>
              </w:rPr>
            </w:pPr>
            <w:r>
              <w:rPr>
                <w:rFonts w:hint="default" w:ascii="Times New Roman" w:hAnsi="Times New Roman" w:cs="Times New Roman"/>
                <w:sz w:val="24"/>
              </w:rPr>
              <w:t>g.危废暂存间应按要求做好危险废物标志、危废暂存间标识牌、警示标志，设置的标识标志必须符合国家标准要求，各种表示标志的设置要牢固，位置要准确、明显、醒目，并确保所有标识无损坏、丢失等情况。</w:t>
            </w:r>
          </w:p>
          <w:p w14:paraId="0FE85606">
            <w:pPr>
              <w:autoSpaceDE w:val="0"/>
              <w:autoSpaceDN w:val="0"/>
              <w:spacing w:line="360" w:lineRule="auto"/>
              <w:ind w:firstLine="476" w:firstLineChars="200"/>
              <w:rPr>
                <w:rFonts w:hint="default" w:ascii="Times New Roman" w:hAnsi="Times New Roman" w:eastAsia="Times New Roman" w:cs="Times New Roman"/>
                <w:spacing w:val="-1"/>
                <w:position w:val="1"/>
                <w:sz w:val="24"/>
              </w:rPr>
            </w:pPr>
            <w:r>
              <w:rPr>
                <w:rFonts w:hint="default" w:ascii="Times New Roman" w:hAnsi="Times New Roman" w:eastAsia="Times New Roman" w:cs="Times New Roman"/>
                <w:spacing w:val="-1"/>
                <w:position w:val="1"/>
                <w:sz w:val="24"/>
              </w:rPr>
              <w:t>综上，在加强管理，并在落实好各项污染防治措施和固体废物安全处置措施的前提下，本项目产生的固体废物对周围环境的影响较小。</w:t>
            </w:r>
          </w:p>
          <w:p w14:paraId="46665B01">
            <w:pPr>
              <w:spacing w:line="360" w:lineRule="auto"/>
              <w:ind w:firstLine="482" w:firstLineChars="200"/>
              <w:rPr>
                <w:rFonts w:hint="default" w:ascii="Times New Roman" w:hAnsi="Times New Roman" w:eastAsia="宋体" w:cs="Times New Roman"/>
                <w:b/>
                <w:bCs/>
                <w:color w:val="auto"/>
                <w:sz w:val="24"/>
                <w:szCs w:val="22"/>
                <w:lang w:val="en-US" w:eastAsia="zh-CN"/>
              </w:rPr>
            </w:pPr>
            <w:r>
              <w:rPr>
                <w:rFonts w:hint="default" w:ascii="Times New Roman" w:hAnsi="Times New Roman" w:eastAsia="宋体" w:cs="Times New Roman"/>
                <w:b/>
                <w:bCs/>
                <w:color w:val="auto"/>
                <w:sz w:val="24"/>
                <w:szCs w:val="24"/>
                <w:lang w:val="en-US" w:eastAsia="zh-CN"/>
              </w:rPr>
              <w:t>5、地下水</w:t>
            </w:r>
            <w:r>
              <w:rPr>
                <w:rFonts w:hint="default" w:ascii="Times New Roman" w:hAnsi="Times New Roman" w:cs="Times New Roman"/>
                <w:b/>
                <w:bCs/>
                <w:color w:val="auto"/>
                <w:sz w:val="24"/>
                <w:szCs w:val="22"/>
              </w:rPr>
              <w:t>影响分析</w:t>
            </w:r>
          </w:p>
          <w:p w14:paraId="3B62B2BF">
            <w:pPr>
              <w:snapToGrid w:val="0"/>
              <w:spacing w:line="360" w:lineRule="auto"/>
              <w:ind w:firstLine="510"/>
              <w:rPr>
                <w:rFonts w:hint="default" w:ascii="Times New Roman" w:hAnsi="Times New Roman" w:cs="Times New Roman"/>
                <w:color w:val="auto"/>
                <w:sz w:val="24"/>
              </w:rPr>
            </w:pPr>
            <w:r>
              <w:rPr>
                <w:rFonts w:hint="default" w:ascii="Times New Roman" w:hAnsi="Times New Roman" w:cs="Times New Roman"/>
                <w:color w:val="auto"/>
                <w:sz w:val="24"/>
              </w:rPr>
              <w:t>污染物垂直下渗首先经过表土，再进入包气带，在包气带污染可以得到一定程度的净化，不能被净化或固定的污染物随入渗水进入地下水层。</w:t>
            </w:r>
          </w:p>
          <w:p w14:paraId="00445A15">
            <w:pPr>
              <w:snapToGrid w:val="0"/>
              <w:spacing w:line="360" w:lineRule="auto"/>
              <w:ind w:firstLine="510"/>
              <w:rPr>
                <w:rFonts w:hint="default" w:ascii="Times New Roman" w:hAnsi="Times New Roman" w:cs="Times New Roman"/>
                <w:bCs/>
                <w:color w:val="auto"/>
                <w:sz w:val="24"/>
              </w:rPr>
            </w:pPr>
            <w:r>
              <w:rPr>
                <w:rFonts w:hint="default" w:ascii="Times New Roman" w:hAnsi="Times New Roman" w:cs="Times New Roman"/>
                <w:color w:val="auto"/>
                <w:sz w:val="24"/>
              </w:rPr>
              <w:t>无机物在自然界是不能降解的，在下渗的过程中被吸附或生成难溶化合物滞留于土层中。吸附作用对于污水中的不同离子的迁移影响程度也不同，各种离子有着各自的迁移特性和规律。有机物在下渗过程中靠吸附或生成难溶化合物滞留于土层中，在细菌或微生物的作用下发生分解而去除。</w:t>
            </w:r>
          </w:p>
          <w:p w14:paraId="5560786B">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本项目液化石油气、丙烷在常温常压下均为气态物质，发生泄漏事故时，均以气态形式扩散进入大气环境，不会</w:t>
            </w:r>
            <w:r>
              <w:rPr>
                <w:rFonts w:hint="default" w:ascii="Times New Roman" w:hAnsi="Times New Roman" w:cs="Times New Roman"/>
                <w:color w:val="auto"/>
                <w:sz w:val="24"/>
              </w:rPr>
              <w:t>渗入地下，</w:t>
            </w:r>
            <w:r>
              <w:rPr>
                <w:rFonts w:hint="default" w:ascii="Times New Roman" w:hAnsi="Times New Roman" w:cs="Times New Roman"/>
                <w:color w:val="auto"/>
                <w:sz w:val="24"/>
                <w:lang w:val="en-US" w:eastAsia="zh-CN"/>
              </w:rPr>
              <w:t>造成</w:t>
            </w:r>
            <w:r>
              <w:rPr>
                <w:rFonts w:hint="default" w:ascii="Times New Roman" w:hAnsi="Times New Roman" w:cs="Times New Roman"/>
                <w:color w:val="auto"/>
                <w:sz w:val="24"/>
              </w:rPr>
              <w:t>污染</w:t>
            </w:r>
            <w:r>
              <w:rPr>
                <w:rFonts w:hint="default" w:ascii="Times New Roman" w:hAnsi="Times New Roman" w:cs="Times New Roman"/>
                <w:color w:val="auto"/>
                <w:sz w:val="24"/>
                <w:lang w:eastAsia="zh-CN"/>
              </w:rPr>
              <w:t>地下水、</w:t>
            </w:r>
            <w:r>
              <w:rPr>
                <w:rFonts w:hint="default" w:ascii="Times New Roman" w:hAnsi="Times New Roman" w:cs="Times New Roman"/>
                <w:color w:val="auto"/>
                <w:sz w:val="24"/>
                <w:lang w:val="en-US" w:eastAsia="zh-CN"/>
              </w:rPr>
              <w:t>土壤</w:t>
            </w:r>
            <w:r>
              <w:rPr>
                <w:rFonts w:hint="eastAsia" w:ascii="Times New Roman" w:hAnsi="Times New Roman" w:cs="Times New Roman"/>
                <w:color w:val="auto"/>
                <w:sz w:val="24"/>
                <w:lang w:val="en-US" w:eastAsia="zh-CN"/>
              </w:rPr>
              <w:t>。</w:t>
            </w:r>
            <w:r>
              <w:rPr>
                <w:rFonts w:hint="default" w:ascii="Times New Roman" w:hAnsi="Times New Roman" w:cs="Times New Roman"/>
                <w:color w:val="auto"/>
                <w:sz w:val="24"/>
                <w:lang w:val="en-US" w:eastAsia="zh-CN"/>
              </w:rPr>
              <w:t>主要</w:t>
            </w:r>
            <w:r>
              <w:rPr>
                <w:rFonts w:hint="eastAsia" w:cs="Times New Roman"/>
                <w:color w:val="auto"/>
                <w:sz w:val="24"/>
                <w:lang w:val="en-US" w:eastAsia="zh-CN"/>
              </w:rPr>
              <w:t>潜在</w:t>
            </w:r>
            <w:r>
              <w:rPr>
                <w:rFonts w:hint="default" w:ascii="Times New Roman" w:hAnsi="Times New Roman" w:cs="Times New Roman"/>
                <w:color w:val="auto"/>
                <w:sz w:val="24"/>
                <w:lang w:val="en-US" w:eastAsia="zh-CN"/>
              </w:rPr>
              <w:t>的</w:t>
            </w:r>
            <w:r>
              <w:rPr>
                <w:rFonts w:hint="eastAsia" w:cs="Times New Roman"/>
                <w:color w:val="auto"/>
                <w:sz w:val="24"/>
                <w:lang w:val="en-US" w:eastAsia="zh-CN"/>
              </w:rPr>
              <w:t>地下水</w:t>
            </w:r>
            <w:r>
              <w:rPr>
                <w:rFonts w:hint="default" w:ascii="Times New Roman" w:hAnsi="Times New Roman" w:cs="Times New Roman"/>
                <w:color w:val="auto"/>
                <w:sz w:val="24"/>
                <w:lang w:val="en-US" w:eastAsia="zh-CN"/>
              </w:rPr>
              <w:t>污染途径为</w:t>
            </w:r>
            <w:r>
              <w:rPr>
                <w:rFonts w:hint="eastAsia" w:cs="Times New Roman"/>
                <w:color w:val="auto"/>
                <w:sz w:val="24"/>
                <w:lang w:val="en-US" w:eastAsia="zh-CN"/>
              </w:rPr>
              <w:t>危废暂存间内废矿物油、LPG残液发生</w:t>
            </w:r>
            <w:r>
              <w:rPr>
                <w:rFonts w:hint="default" w:ascii="Times New Roman" w:hAnsi="Times New Roman" w:cs="Times New Roman"/>
                <w:color w:val="auto"/>
                <w:sz w:val="24"/>
                <w:lang w:val="en-US" w:eastAsia="zh-CN"/>
              </w:rPr>
              <w:t>泄漏。本项目对地下水、土壤环境污染风险较小</w:t>
            </w:r>
            <w:r>
              <w:rPr>
                <w:rFonts w:hint="default" w:ascii="Times New Roman" w:hAnsi="Times New Roman" w:cs="Times New Roman"/>
                <w:color w:val="auto"/>
                <w:sz w:val="24"/>
                <w:lang w:eastAsia="zh-CN"/>
              </w:rPr>
              <w:t>。</w:t>
            </w:r>
          </w:p>
          <w:p w14:paraId="22D4087B">
            <w:pPr>
              <w:spacing w:line="360" w:lineRule="auto"/>
              <w:ind w:firstLine="482" w:firstLineChars="200"/>
              <w:rPr>
                <w:rFonts w:hint="default" w:ascii="Times New Roman" w:hAnsi="Times New Roman" w:cs="Times New Roman"/>
                <w:b/>
                <w:bCs w:val="0"/>
                <w:color w:val="auto"/>
                <w:sz w:val="24"/>
              </w:rPr>
            </w:pPr>
            <w:r>
              <w:rPr>
                <w:rFonts w:hint="default" w:ascii="Times New Roman" w:hAnsi="Times New Roman" w:cs="Times New Roman"/>
                <w:b/>
                <w:bCs w:val="0"/>
                <w:color w:val="auto"/>
                <w:sz w:val="24"/>
              </w:rPr>
              <w:t>5.2污染防治措施</w:t>
            </w:r>
          </w:p>
          <w:p w14:paraId="4CA4B1CB">
            <w:pPr>
              <w:widowControl w:val="0"/>
              <w:spacing w:line="360" w:lineRule="auto"/>
              <w:ind w:firstLine="480" w:firstLineChars="200"/>
              <w:rPr>
                <w:rFonts w:hint="default" w:ascii="Times New Roman" w:hAnsi="Times New Roman" w:eastAsia="宋体" w:cs="Times New Roman"/>
                <w:color w:val="0000FF"/>
                <w:sz w:val="24"/>
                <w:szCs w:val="22"/>
                <w:highlight w:val="none"/>
                <w:lang w:val="en-US" w:eastAsia="zh-CN" w:bidi="ar-SA"/>
              </w:rPr>
            </w:pPr>
            <w:r>
              <w:rPr>
                <w:rFonts w:hint="default" w:ascii="Times New Roman" w:hAnsi="Times New Roman" w:eastAsia="宋体" w:cs="Times New Roman"/>
                <w:color w:val="0000FF"/>
                <w:sz w:val="24"/>
                <w:szCs w:val="24"/>
                <w:lang w:val="en-US" w:eastAsia="zh-CN" w:bidi="ar-SA"/>
              </w:rPr>
              <w:t>本项目针对项目建成后可能存在地下水污染的途径，</w:t>
            </w:r>
            <w:r>
              <w:rPr>
                <w:rFonts w:hint="default" w:ascii="Times New Roman" w:hAnsi="Times New Roman" w:eastAsia="宋体" w:cs="Times New Roman"/>
                <w:color w:val="0000FF"/>
                <w:sz w:val="24"/>
                <w:szCs w:val="22"/>
                <w:highlight w:val="none"/>
                <w:lang w:val="en-US" w:eastAsia="zh-CN" w:bidi="ar-SA"/>
              </w:rPr>
              <w:t>本项目地下水污染防治措施按照“源头控制、分区防治、污染监控、应急响应”相结合的原则，从污染物的产生、入渗、扩散、应急响应进行控制。</w:t>
            </w:r>
          </w:p>
          <w:p w14:paraId="131C0232">
            <w:pPr>
              <w:widowControl w:val="0"/>
              <w:spacing w:line="360" w:lineRule="auto"/>
              <w:ind w:firstLine="480" w:firstLineChars="200"/>
              <w:rPr>
                <w:rFonts w:hint="default" w:ascii="Times New Roman" w:hAnsi="Times New Roman" w:eastAsia="宋体" w:cs="Times New Roman"/>
                <w:color w:val="0000FF"/>
                <w:sz w:val="24"/>
                <w:szCs w:val="24"/>
                <w:highlight w:val="none"/>
                <w:lang w:val="en-US" w:eastAsia="zh-CN" w:bidi="ar-SA"/>
              </w:rPr>
            </w:pPr>
            <w:r>
              <w:rPr>
                <w:rFonts w:hint="default" w:ascii="Times New Roman" w:hAnsi="Times New Roman" w:eastAsia="宋体" w:cs="Times New Roman"/>
                <w:color w:val="0000FF"/>
                <w:sz w:val="24"/>
                <w:szCs w:val="24"/>
                <w:highlight w:val="none"/>
                <w:lang w:val="en-US" w:eastAsia="zh-CN" w:bidi="ar-SA"/>
              </w:rPr>
              <w:t>（1）源头控制</w:t>
            </w:r>
          </w:p>
          <w:p w14:paraId="5086C28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FF"/>
                <w:sz w:val="24"/>
                <w:highlight w:val="none"/>
              </w:rPr>
            </w:pPr>
            <w:r>
              <w:rPr>
                <w:rFonts w:hint="default" w:ascii="Times New Roman" w:hAnsi="Times New Roman" w:cs="Times New Roman"/>
                <w:color w:val="0000FF"/>
                <w:sz w:val="24"/>
                <w:highlight w:val="none"/>
                <w:lang w:val="en-US" w:eastAsia="zh-CN"/>
              </w:rPr>
              <w:t>本项目采用防渗漏双层罐，并且实际运行中对储罐进行定期维修，对管线等进行定期维护更换，</w:t>
            </w:r>
            <w:r>
              <w:rPr>
                <w:rFonts w:hint="default" w:ascii="Times New Roman" w:hAnsi="Times New Roman" w:cs="Times New Roman"/>
                <w:color w:val="0000FF"/>
                <w:sz w:val="24"/>
                <w:highlight w:val="none"/>
              </w:rPr>
              <w:t>以防止和降低可能污染物的跑、冒、滴、漏，将泄漏的环境风险事故降低到最低程度</w:t>
            </w:r>
            <w:r>
              <w:rPr>
                <w:rFonts w:hint="default" w:ascii="Times New Roman" w:hAnsi="Times New Roman" w:cs="Times New Roman"/>
                <w:color w:val="0000FF"/>
                <w:sz w:val="24"/>
                <w:highlight w:val="none"/>
                <w:lang w:eastAsia="zh-CN"/>
              </w:rPr>
              <w:t>，</w:t>
            </w:r>
            <w:r>
              <w:rPr>
                <w:rFonts w:hint="default" w:ascii="Times New Roman" w:hAnsi="Times New Roman" w:cs="Times New Roman"/>
                <w:color w:val="0000FF"/>
                <w:sz w:val="24"/>
                <w:highlight w:val="none"/>
                <w:lang w:val="en-US" w:eastAsia="zh-CN"/>
              </w:rPr>
              <w:t>同时本项目设置备用罐，确保对于泄漏的油品能进行及时的处理</w:t>
            </w:r>
            <w:r>
              <w:rPr>
                <w:rFonts w:hint="default" w:ascii="Times New Roman" w:hAnsi="Times New Roman" w:cs="Times New Roman"/>
                <w:color w:val="0000FF"/>
                <w:sz w:val="24"/>
                <w:highlight w:val="none"/>
              </w:rPr>
              <w:t>。</w:t>
            </w:r>
          </w:p>
          <w:p w14:paraId="1F943C87">
            <w:pPr>
              <w:widowControl w:val="0"/>
              <w:spacing w:line="360" w:lineRule="auto"/>
              <w:ind w:firstLine="480" w:firstLineChars="200"/>
              <w:rPr>
                <w:rFonts w:hint="default" w:ascii="Times New Roman" w:hAnsi="Times New Roman" w:eastAsia="宋体" w:cs="Times New Roman"/>
                <w:color w:val="0000FF"/>
                <w:sz w:val="24"/>
                <w:szCs w:val="24"/>
                <w:highlight w:val="none"/>
                <w:lang w:val="en-US" w:eastAsia="zh-CN" w:bidi="ar-SA"/>
              </w:rPr>
            </w:pPr>
            <w:r>
              <w:rPr>
                <w:rFonts w:hint="default" w:ascii="Times New Roman" w:hAnsi="Times New Roman" w:eastAsia="宋体" w:cs="Times New Roman"/>
                <w:color w:val="0000FF"/>
                <w:sz w:val="24"/>
                <w:szCs w:val="24"/>
                <w:highlight w:val="none"/>
                <w:lang w:val="en-US" w:eastAsia="zh-CN" w:bidi="ar-SA"/>
              </w:rPr>
              <w:t>（2）分区防渗</w:t>
            </w:r>
          </w:p>
          <w:p w14:paraId="0A548CAE">
            <w:pPr>
              <w:spacing w:line="360" w:lineRule="auto"/>
              <w:ind w:firstLine="480" w:firstLineChars="200"/>
              <w:rPr>
                <w:rFonts w:hint="default" w:ascii="Times New Roman" w:hAnsi="Times New Roman" w:cs="Times New Roman"/>
                <w:color w:val="0000FF"/>
                <w:sz w:val="24"/>
              </w:rPr>
            </w:pPr>
            <w:r>
              <w:rPr>
                <w:rFonts w:hint="default" w:ascii="Times New Roman" w:hAnsi="Times New Roman" w:cs="Times New Roman"/>
                <w:color w:val="0000FF"/>
                <w:sz w:val="24"/>
                <w:szCs w:val="24"/>
              </w:rPr>
              <w:t>根据《环境影响评价技术导则地下水环境》（HJ610-2016）</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rPr>
              <w:t>《危险废物贮存污染控制标准》（GB18597-2001）</w:t>
            </w:r>
            <w:r>
              <w:rPr>
                <w:rFonts w:hint="default" w:ascii="Times New Roman" w:hAnsi="Times New Roman" w:cs="Times New Roman"/>
                <w:color w:val="0000FF"/>
                <w:sz w:val="24"/>
                <w:lang w:val="en-US" w:eastAsia="zh-CN"/>
              </w:rPr>
              <w:t>要求</w:t>
            </w:r>
            <w:r>
              <w:rPr>
                <w:rFonts w:hint="default" w:ascii="Times New Roman" w:hAnsi="Times New Roman" w:cs="Times New Roman"/>
                <w:color w:val="0000FF"/>
                <w:sz w:val="24"/>
                <w:szCs w:val="24"/>
              </w:rPr>
              <w:t>，项目依据天然包气带防污性能、污染控制难易程度和污染物特性进行防渗分区划分。将厂区划分为重点防</w:t>
            </w:r>
            <w:r>
              <w:rPr>
                <w:rFonts w:hint="default" w:ascii="Times New Roman" w:hAnsi="Times New Roman" w:cs="Times New Roman"/>
                <w:color w:val="0000FF"/>
                <w:sz w:val="24"/>
                <w:szCs w:val="24"/>
                <w:lang w:eastAsia="zh-CN"/>
              </w:rPr>
              <w:t>渗</w:t>
            </w:r>
            <w:r>
              <w:rPr>
                <w:rFonts w:hint="default" w:ascii="Times New Roman" w:hAnsi="Times New Roman" w:cs="Times New Roman"/>
                <w:color w:val="0000FF"/>
                <w:sz w:val="24"/>
                <w:szCs w:val="24"/>
              </w:rPr>
              <w:t>区、一般防渗区和简单防渗区。针对不同的区域提出相应的防渗要求。</w:t>
            </w:r>
          </w:p>
          <w:p w14:paraId="6B00620C">
            <w:pPr>
              <w:spacing w:line="360" w:lineRule="auto"/>
              <w:ind w:firstLine="480" w:firstLineChars="200"/>
              <w:rPr>
                <w:rFonts w:hint="default" w:ascii="Times New Roman" w:hAnsi="Times New Roman" w:cs="Times New Roman"/>
                <w:color w:val="0000FF"/>
              </w:rPr>
            </w:pPr>
            <w:r>
              <w:rPr>
                <w:rFonts w:hint="default" w:ascii="Times New Roman" w:hAnsi="Times New Roman" w:cs="Times New Roman"/>
                <w:color w:val="0000FF"/>
                <w:sz w:val="24"/>
                <w:lang w:eastAsia="zh-CN"/>
              </w:rPr>
              <w:t>（</w:t>
            </w:r>
            <w:r>
              <w:rPr>
                <w:rFonts w:hint="default" w:ascii="Times New Roman" w:hAnsi="Times New Roman" w:cs="Times New Roman"/>
                <w:color w:val="0000FF"/>
                <w:sz w:val="24"/>
                <w:lang w:val="en-US" w:eastAsia="zh-CN"/>
              </w:rPr>
              <w:t>1</w:t>
            </w:r>
            <w:r>
              <w:rPr>
                <w:rFonts w:hint="default" w:ascii="Times New Roman" w:hAnsi="Times New Roman" w:cs="Times New Roman"/>
                <w:color w:val="0000FF"/>
                <w:sz w:val="24"/>
                <w:lang w:eastAsia="zh-CN"/>
              </w:rPr>
              <w:t>）</w:t>
            </w:r>
            <w:r>
              <w:rPr>
                <w:rFonts w:hint="default" w:ascii="Times New Roman" w:hAnsi="Times New Roman" w:cs="Times New Roman"/>
                <w:color w:val="0000FF"/>
                <w:sz w:val="24"/>
              </w:rPr>
              <w:t>重点防</w:t>
            </w:r>
            <w:r>
              <w:rPr>
                <w:rFonts w:hint="default" w:ascii="Times New Roman" w:hAnsi="Times New Roman" w:cs="Times New Roman"/>
                <w:color w:val="0000FF"/>
                <w:sz w:val="24"/>
                <w:lang w:eastAsia="zh-CN"/>
              </w:rPr>
              <w:t>渗</w:t>
            </w:r>
            <w:r>
              <w:rPr>
                <w:rFonts w:hint="default" w:ascii="Times New Roman" w:hAnsi="Times New Roman" w:cs="Times New Roman"/>
                <w:color w:val="0000FF"/>
                <w:sz w:val="24"/>
              </w:rPr>
              <w:t>区：</w:t>
            </w:r>
            <w:r>
              <w:rPr>
                <w:rFonts w:hint="default" w:ascii="Times New Roman" w:hAnsi="Times New Roman" w:cs="Times New Roman"/>
                <w:color w:val="0000FF"/>
                <w:sz w:val="24"/>
                <w:lang w:eastAsia="zh-CN"/>
              </w:rPr>
              <w:t>危险废物暂存间</w:t>
            </w:r>
            <w:r>
              <w:rPr>
                <w:rFonts w:hint="default" w:ascii="Times New Roman" w:hAnsi="Times New Roman" w:cs="Times New Roman"/>
                <w:color w:val="0000FF"/>
                <w:sz w:val="24"/>
                <w:szCs w:val="24"/>
                <w:lang w:val="en-US" w:eastAsia="zh-CN"/>
              </w:rPr>
              <w:t>防渗层采用2mm厚高密度聚乙烯或至少2mm厚的其它人工材料，渗透系数≤10</w:t>
            </w:r>
            <w:r>
              <w:rPr>
                <w:rFonts w:hint="default" w:ascii="Times New Roman" w:hAnsi="Times New Roman" w:cs="Times New Roman"/>
                <w:color w:val="0000FF"/>
                <w:sz w:val="24"/>
                <w:szCs w:val="24"/>
                <w:vertAlign w:val="superscript"/>
                <w:lang w:val="en-US" w:eastAsia="zh-CN"/>
              </w:rPr>
              <w:t>-10</w:t>
            </w:r>
            <w:r>
              <w:rPr>
                <w:rFonts w:hint="default" w:ascii="Times New Roman" w:hAnsi="Times New Roman" w:cs="Times New Roman"/>
                <w:color w:val="0000FF"/>
                <w:sz w:val="24"/>
                <w:szCs w:val="24"/>
                <w:lang w:val="en-US" w:eastAsia="zh-CN"/>
              </w:rPr>
              <w:t>cm/s</w:t>
            </w:r>
            <w:r>
              <w:rPr>
                <w:rFonts w:hint="default" w:ascii="Times New Roman" w:hAnsi="Times New Roman" w:cs="Times New Roman"/>
                <w:color w:val="0000FF"/>
                <w:sz w:val="24"/>
                <w:lang w:eastAsia="zh-CN"/>
              </w:rPr>
              <w:t>；</w:t>
            </w:r>
            <w:r>
              <w:rPr>
                <w:rFonts w:hint="default" w:ascii="Times New Roman" w:hAnsi="Times New Roman" w:cs="Times New Roman"/>
                <w:color w:val="0000FF"/>
                <w:sz w:val="24"/>
                <w:lang w:val="en-US" w:eastAsia="zh-CN"/>
              </w:rPr>
              <w:t>气罐区、槽车卸车区、灌装用房、事故水池</w:t>
            </w:r>
            <w:r>
              <w:rPr>
                <w:rFonts w:hint="default" w:ascii="Times New Roman" w:hAnsi="Times New Roman" w:cs="Times New Roman"/>
                <w:color w:val="0000FF"/>
                <w:sz w:val="24"/>
                <w:lang w:eastAsia="zh-CN"/>
              </w:rPr>
              <w:t>，</w:t>
            </w:r>
            <w:r>
              <w:rPr>
                <w:rFonts w:hint="default" w:ascii="Times New Roman" w:hAnsi="Times New Roman" w:cs="Times New Roman"/>
                <w:color w:val="0000FF"/>
                <w:sz w:val="24"/>
                <w:szCs w:val="24"/>
                <w:lang w:val="en-US" w:eastAsia="zh-CN"/>
              </w:rPr>
              <w:t>防渗性能</w:t>
            </w:r>
            <w:r>
              <w:rPr>
                <w:rFonts w:hint="default" w:ascii="Times New Roman" w:hAnsi="Times New Roman" w:cs="Times New Roman"/>
                <w:color w:val="0000FF"/>
                <w:sz w:val="24"/>
                <w:szCs w:val="24"/>
              </w:rPr>
              <w:t>等效黏土防渗层Mb≥</w:t>
            </w:r>
            <w:r>
              <w:rPr>
                <w:rFonts w:hint="default" w:ascii="Times New Roman" w:hAnsi="Times New Roman" w:cs="Times New Roman"/>
                <w:color w:val="0000FF"/>
                <w:sz w:val="24"/>
                <w:szCs w:val="24"/>
                <w:lang w:val="en-US" w:eastAsia="zh-CN"/>
              </w:rPr>
              <w:t>6</w:t>
            </w:r>
            <w:r>
              <w:rPr>
                <w:rFonts w:hint="default" w:ascii="Times New Roman" w:hAnsi="Times New Roman" w:cs="Times New Roman"/>
                <w:color w:val="0000FF"/>
                <w:sz w:val="24"/>
                <w:szCs w:val="24"/>
              </w:rPr>
              <w:t>m，渗透系数K≤1×10</w:t>
            </w:r>
            <w:r>
              <w:rPr>
                <w:rFonts w:hint="default" w:ascii="Times New Roman" w:hAnsi="Times New Roman" w:cs="Times New Roman"/>
                <w:color w:val="0000FF"/>
                <w:sz w:val="24"/>
                <w:szCs w:val="24"/>
                <w:vertAlign w:val="superscript"/>
              </w:rPr>
              <w:t>-</w:t>
            </w:r>
            <w:r>
              <w:rPr>
                <w:rFonts w:hint="default" w:ascii="Times New Roman" w:hAnsi="Times New Roman" w:cs="Times New Roman"/>
                <w:color w:val="0000FF"/>
                <w:sz w:val="24"/>
                <w:szCs w:val="24"/>
                <w:vertAlign w:val="superscript"/>
                <w:lang w:val="en-US" w:eastAsia="zh-CN"/>
              </w:rPr>
              <w:t>7</w:t>
            </w:r>
            <w:r>
              <w:rPr>
                <w:rFonts w:hint="default" w:ascii="Times New Roman" w:hAnsi="Times New Roman" w:cs="Times New Roman"/>
                <w:color w:val="0000FF"/>
                <w:sz w:val="24"/>
                <w:szCs w:val="24"/>
              </w:rPr>
              <w:t>cm/s</w:t>
            </w:r>
            <w:r>
              <w:rPr>
                <w:rFonts w:hint="default" w:ascii="Times New Roman" w:hAnsi="Times New Roman" w:cs="Times New Roman"/>
                <w:color w:val="0000FF"/>
                <w:sz w:val="24"/>
                <w:szCs w:val="24"/>
                <w:lang w:val="en-US" w:eastAsia="zh-CN"/>
              </w:rPr>
              <w:t>或参照GB18598执行</w:t>
            </w:r>
            <w:r>
              <w:rPr>
                <w:rFonts w:hint="default" w:ascii="Times New Roman" w:hAnsi="Times New Roman" w:cs="Times New Roman"/>
                <w:color w:val="0000FF"/>
                <w:sz w:val="24"/>
              </w:rPr>
              <w:t>。</w:t>
            </w:r>
          </w:p>
          <w:p w14:paraId="0576C3F0">
            <w:pPr>
              <w:spacing w:line="360" w:lineRule="auto"/>
              <w:ind w:firstLine="480" w:firstLineChars="200"/>
              <w:rPr>
                <w:rFonts w:hint="default" w:ascii="Times New Roman" w:hAnsi="Times New Roman" w:cs="Times New Roman"/>
                <w:color w:val="0000FF"/>
                <w:sz w:val="24"/>
              </w:rPr>
            </w:pPr>
            <w:r>
              <w:rPr>
                <w:rFonts w:hint="default" w:ascii="Times New Roman" w:hAnsi="Times New Roman" w:cs="Times New Roman"/>
                <w:color w:val="0000FF"/>
                <w:sz w:val="24"/>
              </w:rPr>
              <w:t>（</w:t>
            </w:r>
            <w:r>
              <w:rPr>
                <w:rFonts w:hint="default" w:ascii="Times New Roman" w:hAnsi="Times New Roman" w:cs="Times New Roman"/>
                <w:color w:val="0000FF"/>
                <w:sz w:val="24"/>
                <w:lang w:val="en-US" w:eastAsia="zh-CN"/>
              </w:rPr>
              <w:t>3</w:t>
            </w:r>
            <w:r>
              <w:rPr>
                <w:rFonts w:hint="default" w:ascii="Times New Roman" w:hAnsi="Times New Roman" w:cs="Times New Roman"/>
                <w:color w:val="0000FF"/>
                <w:sz w:val="24"/>
              </w:rPr>
              <w:t>）一般防渗区：</w:t>
            </w:r>
            <w:r>
              <w:rPr>
                <w:rFonts w:hint="default" w:ascii="Times New Roman" w:hAnsi="Times New Roman" w:cs="Times New Roman"/>
                <w:color w:val="0000FF"/>
                <w:sz w:val="24"/>
                <w:lang w:val="en-US" w:eastAsia="zh-CN"/>
              </w:rPr>
              <w:t>其他气体储罐区、其他气体灌装区、压缩机房、泵房、消防水池、废气治理措施区域</w:t>
            </w:r>
            <w:r>
              <w:rPr>
                <w:rFonts w:hint="default" w:ascii="Times New Roman" w:hAnsi="Times New Roman" w:cs="Times New Roman"/>
                <w:color w:val="0000FF"/>
                <w:sz w:val="24"/>
                <w:szCs w:val="24"/>
                <w:lang w:val="en-US" w:eastAsia="zh-CN"/>
              </w:rPr>
              <w:t>，防渗性能</w:t>
            </w:r>
            <w:r>
              <w:rPr>
                <w:rFonts w:hint="default" w:ascii="Times New Roman" w:hAnsi="Times New Roman" w:cs="Times New Roman"/>
                <w:color w:val="0000FF"/>
                <w:sz w:val="24"/>
                <w:szCs w:val="24"/>
              </w:rPr>
              <w:t>等效黏土防渗层Mb≥1.5m，渗透系数K≤1×10</w:t>
            </w:r>
            <w:r>
              <w:rPr>
                <w:rFonts w:hint="default" w:ascii="Times New Roman" w:hAnsi="Times New Roman" w:cs="Times New Roman"/>
                <w:color w:val="0000FF"/>
                <w:sz w:val="24"/>
                <w:szCs w:val="24"/>
                <w:vertAlign w:val="superscript"/>
              </w:rPr>
              <w:t>-7</w:t>
            </w:r>
            <w:r>
              <w:rPr>
                <w:rFonts w:hint="default" w:ascii="Times New Roman" w:hAnsi="Times New Roman" w:cs="Times New Roman"/>
                <w:color w:val="0000FF"/>
                <w:sz w:val="24"/>
                <w:szCs w:val="24"/>
              </w:rPr>
              <w:t>cm/s</w:t>
            </w:r>
            <w:r>
              <w:rPr>
                <w:rFonts w:hint="default" w:ascii="Times New Roman" w:hAnsi="Times New Roman" w:cs="Times New Roman"/>
                <w:color w:val="0000FF"/>
                <w:sz w:val="24"/>
                <w:szCs w:val="24"/>
                <w:lang w:val="en-US" w:eastAsia="zh-CN"/>
              </w:rPr>
              <w:t>或参照GB18598 执行</w:t>
            </w:r>
            <w:r>
              <w:rPr>
                <w:rFonts w:hint="default" w:ascii="Times New Roman" w:hAnsi="Times New Roman" w:cs="Times New Roman"/>
                <w:color w:val="0000FF"/>
                <w:sz w:val="24"/>
              </w:rPr>
              <w:t>。</w:t>
            </w:r>
          </w:p>
          <w:p w14:paraId="218E0EAC">
            <w:pPr>
              <w:spacing w:line="360" w:lineRule="auto"/>
              <w:ind w:firstLine="480" w:firstLineChars="200"/>
              <w:rPr>
                <w:rFonts w:hint="default" w:ascii="Times New Roman" w:hAnsi="Times New Roman" w:cs="Times New Roman"/>
                <w:color w:val="0000FF"/>
                <w:sz w:val="24"/>
              </w:rPr>
            </w:pPr>
            <w:r>
              <w:rPr>
                <w:rFonts w:hint="default" w:ascii="Times New Roman" w:hAnsi="Times New Roman" w:cs="Times New Roman"/>
                <w:color w:val="0000FF"/>
                <w:sz w:val="24"/>
              </w:rPr>
              <w:t>（</w:t>
            </w:r>
            <w:r>
              <w:rPr>
                <w:rFonts w:hint="default" w:ascii="Times New Roman" w:hAnsi="Times New Roman" w:cs="Times New Roman"/>
                <w:color w:val="0000FF"/>
                <w:sz w:val="24"/>
                <w:lang w:val="en-US" w:eastAsia="zh-CN"/>
              </w:rPr>
              <w:t>4</w:t>
            </w:r>
            <w:r>
              <w:rPr>
                <w:rFonts w:hint="default" w:ascii="Times New Roman" w:hAnsi="Times New Roman" w:cs="Times New Roman"/>
                <w:color w:val="0000FF"/>
                <w:sz w:val="24"/>
              </w:rPr>
              <w:t>）简单防渗区：指不会对土壤和地下水造成污染的区域，主要包括</w:t>
            </w:r>
            <w:r>
              <w:rPr>
                <w:rFonts w:hint="default" w:ascii="Times New Roman" w:hAnsi="Times New Roman" w:cs="Times New Roman"/>
                <w:color w:val="0000FF"/>
                <w:sz w:val="24"/>
                <w:lang w:val="en-US" w:eastAsia="zh-CN"/>
              </w:rPr>
              <w:t>办公生活区、休息区、消防器材库、配电室</w:t>
            </w:r>
            <w:r>
              <w:rPr>
                <w:rFonts w:hint="default" w:ascii="Times New Roman" w:hAnsi="Times New Roman" w:cs="Times New Roman"/>
                <w:color w:val="0000FF"/>
                <w:sz w:val="24"/>
              </w:rPr>
              <w:t>等基本上不产生污染物的非污染防治区，不采取专门针对地下水污染的防治措施，但地基处理应分层压实。</w:t>
            </w:r>
          </w:p>
          <w:p w14:paraId="44DB6E0C">
            <w:pPr>
              <w:spacing w:line="360" w:lineRule="auto"/>
              <w:ind w:firstLine="480" w:firstLineChars="200"/>
              <w:rPr>
                <w:rFonts w:hint="default" w:ascii="Times New Roman" w:hAnsi="Times New Roman" w:cs="Times New Roman"/>
                <w:color w:val="0000FF"/>
                <w:sz w:val="24"/>
              </w:rPr>
            </w:pPr>
            <w:r>
              <w:rPr>
                <w:rFonts w:hint="default" w:ascii="Times New Roman" w:hAnsi="Times New Roman" w:cs="Times New Roman"/>
                <w:color w:val="0000FF"/>
                <w:sz w:val="24"/>
                <w:lang w:bidi="ar"/>
              </w:rPr>
              <w:t>项目具体防渗要求见下表。</w:t>
            </w:r>
            <w:r>
              <w:rPr>
                <w:rFonts w:hint="default" w:ascii="Times New Roman" w:hAnsi="Times New Roman" w:cs="Times New Roman"/>
                <w:color w:val="0000FF"/>
                <w:sz w:val="24"/>
              </w:rPr>
              <w:t>防渗分区</w:t>
            </w:r>
            <w:r>
              <w:rPr>
                <w:rFonts w:hint="default" w:ascii="Times New Roman" w:hAnsi="Times New Roman" w:cs="Times New Roman"/>
                <w:color w:val="0000FF"/>
                <w:sz w:val="24"/>
                <w:highlight w:val="none"/>
              </w:rPr>
              <w:t>图见附图</w:t>
            </w:r>
            <w:r>
              <w:rPr>
                <w:rFonts w:hint="default" w:ascii="Times New Roman" w:hAnsi="Times New Roman" w:cs="Times New Roman"/>
                <w:color w:val="0000FF"/>
                <w:sz w:val="24"/>
                <w:highlight w:val="none"/>
                <w:lang w:val="en-US" w:eastAsia="zh-CN"/>
              </w:rPr>
              <w:t>8</w:t>
            </w:r>
            <w:r>
              <w:rPr>
                <w:rFonts w:hint="default" w:ascii="Times New Roman" w:hAnsi="Times New Roman" w:cs="Times New Roman"/>
                <w:color w:val="0000FF"/>
                <w:sz w:val="24"/>
                <w:highlight w:val="none"/>
              </w:rPr>
              <w:t>。</w:t>
            </w:r>
          </w:p>
          <w:p w14:paraId="380D1162">
            <w:pPr>
              <w:widowControl/>
              <w:ind w:firstLine="482" w:firstLineChars="200"/>
              <w:jc w:val="center"/>
              <w:rPr>
                <w:rFonts w:hint="default" w:ascii="Times New Roman" w:hAnsi="Times New Roman" w:cs="Times New Roman"/>
                <w:b/>
                <w:color w:val="0000FF"/>
                <w:kern w:val="0"/>
                <w:sz w:val="24"/>
                <w:szCs w:val="20"/>
              </w:rPr>
            </w:pPr>
            <w:r>
              <w:rPr>
                <w:rFonts w:hint="default" w:ascii="Times New Roman" w:hAnsi="Times New Roman" w:cs="Times New Roman"/>
                <w:b/>
                <w:color w:val="0000FF"/>
                <w:kern w:val="0"/>
                <w:sz w:val="24"/>
                <w:szCs w:val="20"/>
                <w:lang w:bidi="ar"/>
              </w:rPr>
              <w:t>表</w:t>
            </w:r>
            <w:r>
              <w:rPr>
                <w:rFonts w:hint="eastAsia" w:cs="Times New Roman"/>
                <w:b/>
                <w:color w:val="0000FF"/>
                <w:kern w:val="0"/>
                <w:sz w:val="24"/>
                <w:szCs w:val="20"/>
                <w:lang w:val="en-US" w:eastAsia="zh-CN" w:bidi="ar"/>
              </w:rPr>
              <w:t>4.5-1</w:t>
            </w:r>
            <w:r>
              <w:rPr>
                <w:rFonts w:hint="default" w:ascii="Times New Roman" w:hAnsi="Times New Roman" w:cs="Times New Roman"/>
                <w:b/>
                <w:color w:val="0000FF"/>
                <w:kern w:val="0"/>
                <w:sz w:val="24"/>
                <w:szCs w:val="20"/>
                <w:lang w:bidi="ar"/>
              </w:rPr>
              <w:t xml:space="preserve">  项目分区防控要求</w:t>
            </w:r>
          </w:p>
          <w:tbl>
            <w:tblPr>
              <w:tblStyle w:val="32"/>
              <w:tblW w:w="498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325"/>
              <w:gridCol w:w="1614"/>
              <w:gridCol w:w="4242"/>
            </w:tblGrid>
            <w:tr w14:paraId="32C9EA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1" w:type="pct"/>
                  <w:tcBorders>
                    <w:top w:val="single" w:color="auto" w:sz="4" w:space="0"/>
                    <w:left w:val="single" w:color="auto" w:sz="4" w:space="0"/>
                  </w:tcBorders>
                  <w:noWrap w:val="0"/>
                  <w:vAlign w:val="center"/>
                </w:tcPr>
                <w:p w14:paraId="26739C46">
                  <w:pPr>
                    <w:widowControl w:val="0"/>
                    <w:spacing w:before="0" w:beforeAutospacing="0" w:after="0" w:afterAutospacing="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b/>
                      <w:color w:val="0000FF"/>
                      <w:kern w:val="2"/>
                      <w:sz w:val="21"/>
                      <w:szCs w:val="20"/>
                      <w:lang w:val="en-US" w:eastAsia="zh-CN" w:bidi="ar-SA"/>
                    </w:rPr>
                    <w:t>工程单元</w:t>
                  </w:r>
                </w:p>
              </w:tc>
              <w:tc>
                <w:tcPr>
                  <w:tcW w:w="986" w:type="pct"/>
                  <w:tcBorders>
                    <w:top w:val="single" w:color="auto" w:sz="4" w:space="0"/>
                  </w:tcBorders>
                  <w:shd w:val="clear" w:color="auto" w:fill="auto"/>
                  <w:noWrap w:val="0"/>
                  <w:vAlign w:val="center"/>
                </w:tcPr>
                <w:p w14:paraId="7FCDCF40">
                  <w:pPr>
                    <w:widowControl w:val="0"/>
                    <w:spacing w:before="0" w:beforeAutospacing="0" w:after="0" w:afterAutospacing="0"/>
                    <w:jc w:val="center"/>
                    <w:rPr>
                      <w:rFonts w:hint="default" w:ascii="Times New Roman" w:hAnsi="Times New Roman" w:eastAsia="宋体" w:cs="Times New Roman"/>
                      <w:b/>
                      <w:color w:val="0000FF"/>
                      <w:kern w:val="2"/>
                      <w:sz w:val="24"/>
                      <w:szCs w:val="20"/>
                      <w:lang w:val="en-US" w:eastAsia="zh-CN" w:bidi="ar-SA"/>
                    </w:rPr>
                  </w:pPr>
                  <w:r>
                    <w:rPr>
                      <w:rFonts w:hint="default" w:ascii="Times New Roman" w:hAnsi="Times New Roman" w:eastAsia="宋体" w:cs="Times New Roman"/>
                      <w:b/>
                      <w:color w:val="0000FF"/>
                      <w:kern w:val="2"/>
                      <w:sz w:val="21"/>
                      <w:szCs w:val="20"/>
                      <w:lang w:val="en-US" w:eastAsia="zh-CN" w:bidi="ar-SA"/>
                    </w:rPr>
                    <w:t>防渗分区</w:t>
                  </w:r>
                </w:p>
              </w:tc>
              <w:tc>
                <w:tcPr>
                  <w:tcW w:w="2592" w:type="pct"/>
                  <w:tcBorders>
                    <w:top w:val="single" w:color="auto" w:sz="4" w:space="0"/>
                    <w:right w:val="single" w:color="auto" w:sz="4" w:space="0"/>
                  </w:tcBorders>
                  <w:shd w:val="clear" w:color="auto" w:fill="auto"/>
                  <w:noWrap w:val="0"/>
                  <w:vAlign w:val="center"/>
                </w:tcPr>
                <w:p w14:paraId="4A0E979D">
                  <w:pPr>
                    <w:widowControl w:val="0"/>
                    <w:spacing w:before="0" w:beforeAutospacing="0" w:after="0" w:afterAutospacing="0"/>
                    <w:jc w:val="center"/>
                    <w:rPr>
                      <w:rFonts w:hint="default" w:ascii="Times New Roman" w:hAnsi="Times New Roman" w:eastAsia="宋体" w:cs="Times New Roman"/>
                      <w:b/>
                      <w:color w:val="0000FF"/>
                      <w:kern w:val="2"/>
                      <w:sz w:val="24"/>
                      <w:szCs w:val="20"/>
                      <w:lang w:val="en-US" w:eastAsia="zh-CN" w:bidi="ar-SA"/>
                    </w:rPr>
                  </w:pPr>
                  <w:r>
                    <w:rPr>
                      <w:rFonts w:hint="default" w:ascii="Times New Roman" w:hAnsi="Times New Roman" w:eastAsia="宋体" w:cs="Times New Roman"/>
                      <w:b/>
                      <w:color w:val="0000FF"/>
                      <w:kern w:val="2"/>
                      <w:sz w:val="21"/>
                      <w:szCs w:val="21"/>
                      <w:lang w:val="en-US" w:eastAsia="zh-CN" w:bidi="ar-SA"/>
                    </w:rPr>
                    <w:t>防渗技术要求</w:t>
                  </w:r>
                </w:p>
              </w:tc>
            </w:tr>
            <w:tr w14:paraId="62C3C2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1" w:type="pct"/>
                  <w:tcBorders>
                    <w:left w:val="single" w:color="auto" w:sz="4" w:space="0"/>
                  </w:tcBorders>
                  <w:noWrap w:val="0"/>
                  <w:vAlign w:val="center"/>
                </w:tcPr>
                <w:p w14:paraId="4C74954E">
                  <w:pPr>
                    <w:widowControl w:val="0"/>
                    <w:spacing w:before="0" w:beforeAutospacing="0" w:after="0" w:afterAutospacing="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危险废物暂存间</w:t>
                  </w:r>
                </w:p>
              </w:tc>
              <w:tc>
                <w:tcPr>
                  <w:tcW w:w="986" w:type="pct"/>
                  <w:vMerge w:val="restart"/>
                  <w:noWrap w:val="0"/>
                  <w:vAlign w:val="center"/>
                </w:tcPr>
                <w:p w14:paraId="43051E0A">
                  <w:pPr>
                    <w:widowControl w:val="0"/>
                    <w:spacing w:before="0" w:beforeAutospacing="0" w:after="0" w:afterAutospacing="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重点防渗区</w:t>
                  </w:r>
                </w:p>
              </w:tc>
              <w:tc>
                <w:tcPr>
                  <w:tcW w:w="2592" w:type="pct"/>
                  <w:tcBorders>
                    <w:right w:val="single" w:color="auto" w:sz="4" w:space="0"/>
                  </w:tcBorders>
                  <w:noWrap w:val="0"/>
                  <w:vAlign w:val="center"/>
                </w:tcPr>
                <w:p w14:paraId="2F270B59">
                  <w:pPr>
                    <w:widowControl w:val="0"/>
                    <w:spacing w:before="0" w:beforeAutospacing="0" w:after="0" w:afterAutospacing="0"/>
                    <w:jc w:val="center"/>
                    <w:rPr>
                      <w:rFonts w:hint="default" w:ascii="Times New Roman" w:hAnsi="Times New Roman" w:eastAsia="宋体" w:cs="Times New Roman"/>
                      <w:color w:val="0000FF"/>
                      <w:spacing w:val="6"/>
                      <w:kern w:val="0"/>
                      <w:sz w:val="21"/>
                      <w:szCs w:val="21"/>
                      <w:lang w:val="en-US" w:eastAsia="zh-CN" w:bidi="ar-SA"/>
                    </w:rPr>
                  </w:pPr>
                  <w:r>
                    <w:rPr>
                      <w:rFonts w:hint="default" w:ascii="Times New Roman" w:hAnsi="Times New Roman" w:eastAsia="宋体" w:cs="Times New Roman"/>
                      <w:color w:val="0000FF"/>
                      <w:kern w:val="0"/>
                      <w:sz w:val="21"/>
                      <w:szCs w:val="21"/>
                      <w:lang w:val="en-US" w:eastAsia="zh-CN" w:bidi="ar-SA"/>
                    </w:rPr>
                    <w:t>防渗层采用2mm厚高密度聚乙烯或至少2mm厚的其它人工材料，渗透系数≤10</w:t>
                  </w:r>
                  <w:r>
                    <w:rPr>
                      <w:rFonts w:hint="default" w:ascii="Times New Roman" w:hAnsi="Times New Roman" w:eastAsia="宋体" w:cs="Times New Roman"/>
                      <w:color w:val="0000FF"/>
                      <w:kern w:val="0"/>
                      <w:sz w:val="21"/>
                      <w:szCs w:val="21"/>
                      <w:vertAlign w:val="superscript"/>
                      <w:lang w:val="en-US" w:eastAsia="zh-CN" w:bidi="ar-SA"/>
                    </w:rPr>
                    <w:t>-10</w:t>
                  </w:r>
                  <w:r>
                    <w:rPr>
                      <w:rFonts w:hint="default" w:ascii="Times New Roman" w:hAnsi="Times New Roman" w:eastAsia="宋体" w:cs="Times New Roman"/>
                      <w:color w:val="0000FF"/>
                      <w:kern w:val="0"/>
                      <w:sz w:val="21"/>
                      <w:szCs w:val="21"/>
                      <w:lang w:val="en-US" w:eastAsia="zh-CN" w:bidi="ar-SA"/>
                    </w:rPr>
                    <w:t>cm/s</w:t>
                  </w:r>
                </w:p>
              </w:tc>
            </w:tr>
            <w:tr w14:paraId="055A4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1" w:type="pct"/>
                  <w:tcBorders>
                    <w:left w:val="single" w:color="auto" w:sz="4" w:space="0"/>
                  </w:tcBorders>
                  <w:noWrap w:val="0"/>
                  <w:vAlign w:val="center"/>
                </w:tcPr>
                <w:p w14:paraId="71BCDFB2">
                  <w:pPr>
                    <w:widowControl w:val="0"/>
                    <w:spacing w:before="0" w:beforeAutospacing="0" w:after="0" w:afterAutospacing="0"/>
                    <w:jc w:val="center"/>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eastAsia="宋体" w:cs="Times New Roman"/>
                      <w:color w:val="0000FF"/>
                      <w:kern w:val="2"/>
                      <w:sz w:val="21"/>
                      <w:szCs w:val="21"/>
                      <w:lang w:val="en-US" w:eastAsia="zh-CN" w:bidi="ar-SA"/>
                    </w:rPr>
                    <w:t>气罐区、槽车卸车区、灌装用房、事故水池</w:t>
                  </w:r>
                </w:p>
              </w:tc>
              <w:tc>
                <w:tcPr>
                  <w:tcW w:w="986" w:type="pct"/>
                  <w:vMerge w:val="continue"/>
                  <w:noWrap w:val="0"/>
                  <w:vAlign w:val="center"/>
                </w:tcPr>
                <w:p w14:paraId="3B9B3A9A">
                  <w:pPr>
                    <w:widowControl w:val="0"/>
                    <w:spacing w:before="0" w:beforeAutospacing="0" w:after="0" w:afterAutospacing="0"/>
                    <w:jc w:val="center"/>
                    <w:rPr>
                      <w:rFonts w:hint="default" w:ascii="Times New Roman" w:hAnsi="Times New Roman" w:eastAsia="宋体" w:cs="Times New Roman"/>
                      <w:color w:val="0000FF"/>
                      <w:kern w:val="2"/>
                      <w:sz w:val="21"/>
                      <w:szCs w:val="21"/>
                      <w:lang w:val="en-US" w:eastAsia="zh-CN" w:bidi="ar-SA"/>
                    </w:rPr>
                  </w:pPr>
                </w:p>
              </w:tc>
              <w:tc>
                <w:tcPr>
                  <w:tcW w:w="2592" w:type="pct"/>
                  <w:tcBorders>
                    <w:right w:val="single" w:color="auto" w:sz="4" w:space="0"/>
                  </w:tcBorders>
                  <w:noWrap w:val="0"/>
                  <w:vAlign w:val="center"/>
                </w:tcPr>
                <w:p w14:paraId="6C3CD6B6">
                  <w:pPr>
                    <w:widowControl w:val="0"/>
                    <w:spacing w:before="0" w:beforeAutospacing="0" w:after="0" w:afterAutospacing="0"/>
                    <w:jc w:val="center"/>
                    <w:rPr>
                      <w:rFonts w:hint="default" w:ascii="Times New Roman" w:hAnsi="Times New Roman" w:eastAsia="宋体" w:cs="Times New Roman"/>
                      <w:color w:val="0000FF"/>
                      <w:kern w:val="0"/>
                      <w:sz w:val="21"/>
                      <w:szCs w:val="21"/>
                      <w:lang w:val="en-US" w:eastAsia="zh-CN" w:bidi="ar-SA"/>
                    </w:rPr>
                  </w:pPr>
                  <w:r>
                    <w:rPr>
                      <w:rFonts w:hint="default" w:ascii="Times New Roman" w:hAnsi="Times New Roman" w:eastAsia="宋体" w:cs="Times New Roman"/>
                      <w:color w:val="0000FF"/>
                      <w:kern w:val="0"/>
                      <w:sz w:val="21"/>
                      <w:szCs w:val="21"/>
                      <w:lang w:val="en-US" w:eastAsia="zh-CN" w:bidi="ar-SA"/>
                    </w:rPr>
                    <w:t>防渗性能等效黏土防渗层Mb≥6m，渗透系数K≤1×10</w:t>
                  </w:r>
                  <w:r>
                    <w:rPr>
                      <w:rFonts w:hint="default" w:ascii="Times New Roman" w:hAnsi="Times New Roman" w:eastAsia="宋体" w:cs="Times New Roman"/>
                      <w:color w:val="0000FF"/>
                      <w:kern w:val="0"/>
                      <w:sz w:val="21"/>
                      <w:szCs w:val="21"/>
                      <w:vertAlign w:val="superscript"/>
                      <w:lang w:val="en-US" w:eastAsia="zh-CN" w:bidi="ar-SA"/>
                    </w:rPr>
                    <w:t>-</w:t>
                  </w:r>
                  <w:r>
                    <w:rPr>
                      <w:rFonts w:hint="default" w:ascii="Times New Roman" w:hAnsi="Times New Roman" w:cs="Times New Roman"/>
                      <w:color w:val="0000FF"/>
                      <w:kern w:val="0"/>
                      <w:sz w:val="21"/>
                      <w:szCs w:val="21"/>
                      <w:vertAlign w:val="superscript"/>
                      <w:lang w:val="en-US" w:eastAsia="zh-CN" w:bidi="ar-SA"/>
                    </w:rPr>
                    <w:t>7</w:t>
                  </w:r>
                  <w:r>
                    <w:rPr>
                      <w:rFonts w:hint="default" w:ascii="Times New Roman" w:hAnsi="Times New Roman" w:eastAsia="宋体" w:cs="Times New Roman"/>
                      <w:color w:val="0000FF"/>
                      <w:kern w:val="0"/>
                      <w:sz w:val="21"/>
                      <w:szCs w:val="21"/>
                      <w:lang w:val="en-US" w:eastAsia="zh-CN" w:bidi="ar-SA"/>
                    </w:rPr>
                    <w:t>cm/s或参照GB18598执行。</w:t>
                  </w:r>
                </w:p>
              </w:tc>
            </w:tr>
            <w:tr w14:paraId="617076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421" w:type="pct"/>
                  <w:tcBorders>
                    <w:left w:val="single" w:color="auto" w:sz="4" w:space="0"/>
                  </w:tcBorders>
                  <w:noWrap w:val="0"/>
                  <w:vAlign w:val="center"/>
                </w:tcPr>
                <w:p w14:paraId="6BBCB1CC">
                  <w:pPr>
                    <w:widowControl w:val="0"/>
                    <w:spacing w:before="0" w:beforeAutospacing="0" w:after="0" w:afterAutospacing="0"/>
                    <w:jc w:val="center"/>
                    <w:rPr>
                      <w:rFonts w:hint="default" w:ascii="Times New Roman" w:hAnsi="Times New Roman" w:eastAsia="宋体" w:cs="Times New Roman"/>
                      <w:color w:val="0000FF"/>
                      <w:kern w:val="2"/>
                      <w:sz w:val="24"/>
                      <w:szCs w:val="22"/>
                      <w:lang w:val="en-US" w:eastAsia="zh-CN" w:bidi="ar-SA"/>
                    </w:rPr>
                  </w:pPr>
                  <w:r>
                    <w:rPr>
                      <w:rFonts w:hint="default" w:ascii="Times New Roman" w:hAnsi="Times New Roman" w:eastAsia="宋体" w:cs="Times New Roman"/>
                      <w:color w:val="0000FF"/>
                      <w:kern w:val="2"/>
                      <w:sz w:val="21"/>
                      <w:szCs w:val="21"/>
                      <w:lang w:val="en-US" w:eastAsia="zh-CN" w:bidi="ar-SA"/>
                    </w:rPr>
                    <w:t>其他气体储罐区、其他气体灌装区、压缩机房、泵房、消防水池、废气处理设施区域</w:t>
                  </w:r>
                </w:p>
              </w:tc>
              <w:tc>
                <w:tcPr>
                  <w:tcW w:w="986" w:type="pct"/>
                  <w:noWrap w:val="0"/>
                  <w:vAlign w:val="center"/>
                </w:tcPr>
                <w:p w14:paraId="74B700E4">
                  <w:pPr>
                    <w:widowControl w:val="0"/>
                    <w:spacing w:before="0" w:beforeAutospacing="0" w:after="0" w:afterAutospacing="0"/>
                    <w:jc w:val="center"/>
                    <w:rPr>
                      <w:rFonts w:hint="default" w:ascii="Times New Roman" w:hAnsi="Times New Roman" w:eastAsia="宋体" w:cs="Times New Roman"/>
                      <w:color w:val="0000FF"/>
                      <w:kern w:val="0"/>
                      <w:sz w:val="24"/>
                      <w:szCs w:val="22"/>
                      <w:lang w:val="en-US" w:eastAsia="zh-CN" w:bidi="ar-SA"/>
                    </w:rPr>
                  </w:pPr>
                  <w:r>
                    <w:rPr>
                      <w:rFonts w:hint="default" w:ascii="Times New Roman" w:hAnsi="Times New Roman" w:eastAsia="宋体" w:cs="Times New Roman"/>
                      <w:color w:val="0000FF"/>
                      <w:kern w:val="2"/>
                      <w:sz w:val="21"/>
                      <w:szCs w:val="20"/>
                      <w:lang w:val="en-US" w:eastAsia="zh-CN" w:bidi="ar-SA"/>
                    </w:rPr>
                    <w:t>一般防渗区</w:t>
                  </w:r>
                </w:p>
              </w:tc>
              <w:tc>
                <w:tcPr>
                  <w:tcW w:w="2592" w:type="pct"/>
                  <w:tcBorders>
                    <w:right w:val="single" w:color="auto" w:sz="4" w:space="0"/>
                  </w:tcBorders>
                  <w:noWrap w:val="0"/>
                  <w:vAlign w:val="center"/>
                </w:tcPr>
                <w:p w14:paraId="25223ED0">
                  <w:pPr>
                    <w:widowControl w:val="0"/>
                    <w:spacing w:before="0" w:beforeAutospacing="0" w:after="0" w:afterAutospacing="0"/>
                    <w:jc w:val="center"/>
                    <w:rPr>
                      <w:rFonts w:hint="default" w:ascii="Times New Roman" w:hAnsi="Times New Roman" w:eastAsia="宋体" w:cs="Times New Roman"/>
                      <w:color w:val="0000FF"/>
                      <w:kern w:val="0"/>
                      <w:sz w:val="24"/>
                      <w:szCs w:val="20"/>
                      <w:lang w:val="en-US" w:eastAsia="zh-CN" w:bidi="ar-SA"/>
                    </w:rPr>
                  </w:pPr>
                  <w:r>
                    <w:rPr>
                      <w:rFonts w:hint="default" w:ascii="Times New Roman" w:hAnsi="Times New Roman" w:eastAsia="宋体" w:cs="Times New Roman"/>
                      <w:color w:val="0000FF"/>
                      <w:kern w:val="0"/>
                      <w:sz w:val="21"/>
                      <w:szCs w:val="21"/>
                      <w:lang w:val="en-US" w:eastAsia="zh-CN" w:bidi="ar-SA"/>
                    </w:rPr>
                    <w:t>防渗性能等效黏土防渗层Mb≥6m，渗透系数K≤1×10</w:t>
                  </w:r>
                  <w:r>
                    <w:rPr>
                      <w:rFonts w:hint="default" w:ascii="Times New Roman" w:hAnsi="Times New Roman" w:eastAsia="宋体" w:cs="Times New Roman"/>
                      <w:color w:val="0000FF"/>
                      <w:kern w:val="0"/>
                      <w:sz w:val="21"/>
                      <w:szCs w:val="21"/>
                      <w:vertAlign w:val="superscript"/>
                      <w:lang w:val="en-US" w:eastAsia="zh-CN" w:bidi="ar-SA"/>
                    </w:rPr>
                    <w:t>-</w:t>
                  </w:r>
                  <w:r>
                    <w:rPr>
                      <w:rFonts w:hint="default" w:ascii="Times New Roman" w:hAnsi="Times New Roman" w:cs="Times New Roman"/>
                      <w:color w:val="0000FF"/>
                      <w:kern w:val="0"/>
                      <w:sz w:val="21"/>
                      <w:szCs w:val="21"/>
                      <w:vertAlign w:val="superscript"/>
                      <w:lang w:val="en-US" w:eastAsia="zh-CN" w:bidi="ar-SA"/>
                    </w:rPr>
                    <w:t>7</w:t>
                  </w:r>
                  <w:r>
                    <w:rPr>
                      <w:rFonts w:hint="default" w:ascii="Times New Roman" w:hAnsi="Times New Roman" w:eastAsia="宋体" w:cs="Times New Roman"/>
                      <w:color w:val="0000FF"/>
                      <w:kern w:val="0"/>
                      <w:sz w:val="21"/>
                      <w:szCs w:val="21"/>
                      <w:lang w:val="en-US" w:eastAsia="zh-CN" w:bidi="ar-SA"/>
                    </w:rPr>
                    <w:t>cm/s或参照GB18598执行。</w:t>
                  </w:r>
                </w:p>
              </w:tc>
            </w:tr>
            <w:tr w14:paraId="7ED929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1421" w:type="pct"/>
                  <w:tcBorders>
                    <w:left w:val="single" w:color="auto" w:sz="4" w:space="0"/>
                    <w:bottom w:val="single" w:color="auto" w:sz="4" w:space="0"/>
                  </w:tcBorders>
                  <w:noWrap w:val="0"/>
                  <w:vAlign w:val="center"/>
                </w:tcPr>
                <w:p w14:paraId="794045C3">
                  <w:pPr>
                    <w:widowControl w:val="0"/>
                    <w:spacing w:before="0" w:beforeAutospacing="0" w:after="0" w:afterAutospacing="0"/>
                    <w:jc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color w:val="0000FF"/>
                      <w:kern w:val="2"/>
                      <w:sz w:val="21"/>
                      <w:szCs w:val="24"/>
                      <w:lang w:val="en-US" w:eastAsia="zh-CN" w:bidi="ar-SA"/>
                    </w:rPr>
                    <w:t>厂区道路、办公楼等</w:t>
                  </w:r>
                </w:p>
              </w:tc>
              <w:tc>
                <w:tcPr>
                  <w:tcW w:w="986" w:type="pct"/>
                  <w:tcBorders>
                    <w:bottom w:val="single" w:color="auto" w:sz="4" w:space="0"/>
                  </w:tcBorders>
                  <w:noWrap w:val="0"/>
                  <w:vAlign w:val="center"/>
                </w:tcPr>
                <w:p w14:paraId="59C02460">
                  <w:pPr>
                    <w:jc w:val="center"/>
                    <w:rPr>
                      <w:rFonts w:hint="default" w:ascii="Times New Roman" w:hAnsi="Times New Roman" w:cs="Times New Roman"/>
                      <w:color w:val="0000FF"/>
                      <w:szCs w:val="22"/>
                    </w:rPr>
                  </w:pPr>
                  <w:r>
                    <w:rPr>
                      <w:rFonts w:hint="default" w:ascii="Times New Roman" w:hAnsi="Times New Roman" w:cs="Times New Roman"/>
                      <w:color w:val="0000FF"/>
                    </w:rPr>
                    <w:t>简单防渗区</w:t>
                  </w:r>
                </w:p>
              </w:tc>
              <w:tc>
                <w:tcPr>
                  <w:tcW w:w="2592" w:type="pct"/>
                  <w:tcBorders>
                    <w:bottom w:val="single" w:color="auto" w:sz="4" w:space="0"/>
                    <w:right w:val="single" w:color="auto" w:sz="4" w:space="0"/>
                  </w:tcBorders>
                  <w:noWrap w:val="0"/>
                  <w:vAlign w:val="center"/>
                </w:tcPr>
                <w:p w14:paraId="6B4DDBC4">
                  <w:pPr>
                    <w:widowControl w:val="0"/>
                    <w:spacing w:before="0" w:beforeAutospacing="0" w:after="0" w:afterAutospacing="0"/>
                    <w:jc w:val="center"/>
                    <w:rPr>
                      <w:rFonts w:hint="default" w:ascii="Times New Roman" w:hAnsi="Times New Roman" w:eastAsia="宋体" w:cs="Times New Roman"/>
                      <w:color w:val="0000FF"/>
                      <w:kern w:val="2"/>
                      <w:sz w:val="21"/>
                      <w:szCs w:val="20"/>
                      <w:lang w:val="en-US" w:eastAsia="zh-CN" w:bidi="ar-SA"/>
                    </w:rPr>
                  </w:pPr>
                  <w:r>
                    <w:rPr>
                      <w:rFonts w:hint="default" w:ascii="Times New Roman" w:hAnsi="Times New Roman" w:eastAsia="宋体" w:cs="Times New Roman"/>
                      <w:color w:val="0000FF"/>
                      <w:kern w:val="2"/>
                      <w:sz w:val="21"/>
                      <w:szCs w:val="20"/>
                      <w:lang w:val="en-US" w:eastAsia="zh-CN" w:bidi="ar-SA"/>
                    </w:rPr>
                    <w:t>一般地面硬化</w:t>
                  </w:r>
                </w:p>
              </w:tc>
            </w:tr>
          </w:tbl>
          <w:p w14:paraId="685AECF0">
            <w:pPr>
              <w:spacing w:line="360" w:lineRule="auto"/>
              <w:ind w:firstLine="482" w:firstLineChars="200"/>
              <w:rPr>
                <w:rFonts w:hint="default" w:ascii="Times New Roman" w:hAnsi="Times New Roman" w:cs="Times New Roman"/>
                <w:b/>
                <w:color w:val="auto"/>
                <w:sz w:val="24"/>
              </w:rPr>
            </w:pPr>
          </w:p>
          <w:p w14:paraId="08F22710">
            <w:pPr>
              <w:spacing w:line="360" w:lineRule="auto"/>
              <w:ind w:firstLine="482" w:firstLineChars="200"/>
              <w:rPr>
                <w:b/>
                <w:color w:val="0000FF"/>
                <w:sz w:val="24"/>
              </w:rPr>
            </w:pPr>
            <w:r>
              <w:rPr>
                <w:rFonts w:hint="eastAsia"/>
                <w:b/>
                <w:color w:val="0000FF"/>
                <w:sz w:val="24"/>
              </w:rPr>
              <w:t>5.3</w:t>
            </w:r>
            <w:r>
              <w:rPr>
                <w:b/>
                <w:color w:val="0000FF"/>
                <w:sz w:val="24"/>
              </w:rPr>
              <w:t>跟踪监测计划</w:t>
            </w:r>
          </w:p>
          <w:p w14:paraId="68EF61A4">
            <w:pPr>
              <w:spacing w:line="360" w:lineRule="auto"/>
              <w:ind w:firstLine="480" w:firstLineChars="200"/>
              <w:rPr>
                <w:rFonts w:cs="宋体"/>
                <w:color w:val="0000FF"/>
                <w:kern w:val="0"/>
                <w:sz w:val="24"/>
                <w:szCs w:val="20"/>
              </w:rPr>
            </w:pPr>
            <w:r>
              <w:rPr>
                <w:rFonts w:cs="宋体"/>
                <w:color w:val="0000FF"/>
                <w:kern w:val="0"/>
                <w:sz w:val="24"/>
                <w:szCs w:val="20"/>
              </w:rPr>
              <w:t>为了及时准确掌握厂区下游地区地下水环境质量状况和地下水体中污染物的动态变化，</w:t>
            </w:r>
            <w:r>
              <w:rPr>
                <w:rFonts w:hint="eastAsia" w:cs="宋体"/>
                <w:color w:val="0000FF"/>
                <w:kern w:val="0"/>
                <w:sz w:val="24"/>
                <w:szCs w:val="20"/>
              </w:rPr>
              <w:t>项目厂区</w:t>
            </w:r>
            <w:r>
              <w:rPr>
                <w:rFonts w:cs="宋体"/>
                <w:color w:val="0000FF"/>
                <w:kern w:val="0"/>
                <w:sz w:val="24"/>
                <w:szCs w:val="20"/>
              </w:rPr>
              <w:t>建立覆盖项目场地的地下水长期监控系统，包括科学、合理地设置地下水污染监控井，建立完善的监测制度，配备先进的检测仪器和设备，以便及时发现并及时控制。</w:t>
            </w:r>
          </w:p>
          <w:p w14:paraId="1FB0D254">
            <w:pPr>
              <w:spacing w:line="360" w:lineRule="auto"/>
              <w:ind w:firstLine="480" w:firstLineChars="200"/>
              <w:rPr>
                <w:color w:val="0000FF"/>
                <w:sz w:val="24"/>
                <w:szCs w:val="24"/>
              </w:rPr>
            </w:pPr>
            <w:r>
              <w:rPr>
                <w:color w:val="0000FF"/>
                <w:sz w:val="24"/>
                <w:szCs w:val="24"/>
              </w:rPr>
              <w:t>依据</w:t>
            </w:r>
            <w:r>
              <w:rPr>
                <w:rFonts w:hint="default" w:ascii="Times New Roman" w:hAnsi="Times New Roman" w:cs="Times New Roman"/>
                <w:color w:val="0000FF"/>
                <w:sz w:val="24"/>
                <w:szCs w:val="24"/>
                <w:highlight w:val="none"/>
                <w:lang w:val="en-US" w:eastAsia="zh-CN"/>
              </w:rPr>
              <w:t>《排污单位自行监测技术指南  总则》（HJ819—2017）</w:t>
            </w:r>
            <w:r>
              <w:rPr>
                <w:rFonts w:hint="default" w:ascii="Times New Roman" w:hAnsi="Times New Roman" w:eastAsia="宋体" w:cs="Times New Roman"/>
                <w:b w:val="0"/>
                <w:bCs/>
                <w:caps w:val="0"/>
                <w:color w:val="0000FF"/>
                <w:sz w:val="24"/>
                <w:szCs w:val="24"/>
                <w:highlight w:val="none"/>
              </w:rPr>
              <w:t>要求</w:t>
            </w:r>
            <w:r>
              <w:rPr>
                <w:rFonts w:hint="eastAsia" w:ascii="Times New Roman" w:hAnsi="Times New Roman" w:eastAsia="宋体" w:cs="Times New Roman"/>
                <w:b w:val="0"/>
                <w:bCs/>
                <w:caps w:val="0"/>
                <w:color w:val="0000FF"/>
                <w:sz w:val="24"/>
                <w:szCs w:val="24"/>
                <w:highlight w:val="none"/>
                <w:lang w:eastAsia="zh-CN"/>
              </w:rPr>
              <w:t>，</w:t>
            </w:r>
            <w:r>
              <w:rPr>
                <w:rFonts w:hint="eastAsia" w:ascii="Times New Roman" w:hAnsi="Times New Roman" w:eastAsia="宋体" w:cs="Times New Roman"/>
                <w:b w:val="0"/>
                <w:bCs/>
                <w:caps w:val="0"/>
                <w:color w:val="0000FF"/>
                <w:sz w:val="24"/>
                <w:szCs w:val="24"/>
                <w:highlight w:val="none"/>
                <w:lang w:val="en-US" w:eastAsia="zh-CN"/>
              </w:rPr>
              <w:t>参照</w:t>
            </w:r>
            <w:r>
              <w:rPr>
                <w:color w:val="0000FF"/>
                <w:sz w:val="24"/>
                <w:szCs w:val="24"/>
              </w:rPr>
              <w:t>《环境影响评价技术导则</w:t>
            </w:r>
            <w:r>
              <w:rPr>
                <w:rFonts w:hint="eastAsia"/>
                <w:color w:val="0000FF"/>
                <w:sz w:val="24"/>
                <w:szCs w:val="24"/>
              </w:rPr>
              <w:t xml:space="preserve"> 地下水环境</w:t>
            </w:r>
            <w:r>
              <w:rPr>
                <w:color w:val="0000FF"/>
                <w:sz w:val="24"/>
                <w:szCs w:val="24"/>
              </w:rPr>
              <w:t>》（HJ</w:t>
            </w:r>
            <w:r>
              <w:rPr>
                <w:rFonts w:hint="eastAsia"/>
                <w:color w:val="0000FF"/>
                <w:sz w:val="24"/>
                <w:szCs w:val="24"/>
              </w:rPr>
              <w:t>610-2016</w:t>
            </w:r>
            <w:r>
              <w:rPr>
                <w:color w:val="0000FF"/>
                <w:sz w:val="24"/>
                <w:szCs w:val="24"/>
              </w:rPr>
              <w:t>）</w:t>
            </w:r>
            <w:r>
              <w:rPr>
                <w:rFonts w:hint="eastAsia"/>
                <w:color w:val="0000FF"/>
                <w:sz w:val="24"/>
                <w:szCs w:val="24"/>
                <w:lang w:eastAsia="zh-CN"/>
              </w:rPr>
              <w:t>、</w:t>
            </w:r>
            <w:r>
              <w:rPr>
                <w:rFonts w:hint="eastAsia" w:cs="Times New Roman"/>
                <w:color w:val="0000FF"/>
                <w:sz w:val="24"/>
                <w:lang w:val="en-US" w:eastAsia="zh-CN"/>
              </w:rPr>
              <w:t>《</w:t>
            </w:r>
            <w:r>
              <w:rPr>
                <w:rFonts w:ascii="宋体" w:hAnsi="宋体" w:eastAsia="宋体" w:cs="宋体"/>
                <w:color w:val="0000FF"/>
                <w:sz w:val="24"/>
                <w:szCs w:val="24"/>
              </w:rPr>
              <w:t>排污单位自行监测技术指南 陆上石油天然气开采工业</w:t>
            </w:r>
            <w:r>
              <w:rPr>
                <w:rFonts w:hint="eastAsia" w:cs="Times New Roman"/>
                <w:color w:val="0000FF"/>
                <w:sz w:val="24"/>
                <w:lang w:val="en-US" w:eastAsia="zh-CN"/>
              </w:rPr>
              <w:t>》（HJ 1248—2022）</w:t>
            </w:r>
            <w:r>
              <w:rPr>
                <w:color w:val="0000FF"/>
                <w:sz w:val="24"/>
                <w:szCs w:val="24"/>
              </w:rPr>
              <w:t>相关要求，结合项目所在区域的水文地质条件，在厂区</w:t>
            </w:r>
            <w:r>
              <w:rPr>
                <w:rFonts w:hint="eastAsia"/>
                <w:color w:val="0000FF"/>
                <w:sz w:val="24"/>
                <w:szCs w:val="24"/>
                <w:lang w:val="en-US" w:eastAsia="zh-CN"/>
              </w:rPr>
              <w:t>地下水流向下游方向</w:t>
            </w:r>
            <w:r>
              <w:rPr>
                <w:color w:val="0000FF"/>
                <w:sz w:val="24"/>
                <w:szCs w:val="24"/>
              </w:rPr>
              <w:t>布设1个地下水监测井，地下水监测计划见</w:t>
            </w:r>
            <w:r>
              <w:rPr>
                <w:rFonts w:hint="eastAsia"/>
                <w:color w:val="0000FF"/>
                <w:sz w:val="24"/>
                <w:szCs w:val="24"/>
                <w:lang w:eastAsia="zh-CN"/>
              </w:rPr>
              <w:t>下表</w:t>
            </w:r>
            <w:r>
              <w:rPr>
                <w:color w:val="0000FF"/>
                <w:sz w:val="24"/>
                <w:szCs w:val="24"/>
              </w:rPr>
              <w:t>。</w:t>
            </w:r>
          </w:p>
          <w:p w14:paraId="3AA4C2B8">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b/>
                <w:bCs/>
                <w:color w:val="0000FF"/>
                <w:sz w:val="21"/>
                <w:szCs w:val="21"/>
              </w:rPr>
            </w:pPr>
            <w:r>
              <w:rPr>
                <w:b/>
                <w:bCs/>
                <w:color w:val="0000FF"/>
                <w:sz w:val="21"/>
                <w:szCs w:val="21"/>
              </w:rPr>
              <w:t>表</w:t>
            </w:r>
            <w:r>
              <w:rPr>
                <w:rFonts w:hint="eastAsia"/>
                <w:b/>
                <w:bCs/>
                <w:color w:val="0000FF"/>
                <w:sz w:val="21"/>
                <w:szCs w:val="21"/>
                <w:lang w:val="en-US" w:eastAsia="zh-CN"/>
              </w:rPr>
              <w:t>4.5-2</w:t>
            </w:r>
            <w:r>
              <w:rPr>
                <w:b/>
                <w:bCs/>
                <w:color w:val="0000FF"/>
                <w:sz w:val="21"/>
                <w:szCs w:val="21"/>
              </w:rPr>
              <w:t xml:space="preserve"> 地下水环境影响跟踪监测井布设情况一览表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6"/>
              <w:gridCol w:w="943"/>
              <w:gridCol w:w="3009"/>
              <w:gridCol w:w="3009"/>
              <w:gridCol w:w="706"/>
            </w:tblGrid>
            <w:tr w14:paraId="40064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l2br w:val="nil"/>
                    <w:tr2bl w:val="nil"/>
                  </w:tcBorders>
                  <w:noWrap w:val="0"/>
                  <w:vAlign w:val="center"/>
                </w:tcPr>
                <w:p w14:paraId="077B1B8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b/>
                      <w:bCs/>
                      <w:color w:val="0000FF"/>
                      <w:sz w:val="21"/>
                      <w:szCs w:val="21"/>
                    </w:rPr>
                  </w:pPr>
                  <w:r>
                    <w:rPr>
                      <w:b/>
                      <w:bCs/>
                      <w:color w:val="0000FF"/>
                      <w:sz w:val="21"/>
                      <w:szCs w:val="21"/>
                    </w:rPr>
                    <w:t>序号</w:t>
                  </w:r>
                </w:p>
              </w:tc>
              <w:tc>
                <w:tcPr>
                  <w:tcW w:w="573" w:type="pct"/>
                  <w:tcBorders>
                    <w:tl2br w:val="nil"/>
                    <w:tr2bl w:val="nil"/>
                  </w:tcBorders>
                  <w:noWrap w:val="0"/>
                  <w:vAlign w:val="center"/>
                </w:tcPr>
                <w:p w14:paraId="4290D5B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b/>
                      <w:bCs/>
                      <w:color w:val="0000FF"/>
                      <w:sz w:val="21"/>
                      <w:szCs w:val="21"/>
                    </w:rPr>
                  </w:pPr>
                  <w:r>
                    <w:rPr>
                      <w:b/>
                      <w:bCs/>
                      <w:color w:val="0000FF"/>
                      <w:sz w:val="21"/>
                      <w:szCs w:val="21"/>
                    </w:rPr>
                    <w:t>监测</w:t>
                  </w:r>
                  <w:r>
                    <w:rPr>
                      <w:rFonts w:hint="eastAsia"/>
                      <w:b/>
                      <w:bCs/>
                      <w:color w:val="0000FF"/>
                      <w:sz w:val="21"/>
                      <w:szCs w:val="21"/>
                      <w:lang w:eastAsia="zh-CN"/>
                    </w:rPr>
                    <w:t>井</w:t>
                  </w:r>
                  <w:r>
                    <w:rPr>
                      <w:b/>
                      <w:bCs/>
                      <w:color w:val="0000FF"/>
                      <w:sz w:val="21"/>
                      <w:szCs w:val="21"/>
                    </w:rPr>
                    <w:t>位置</w:t>
                  </w:r>
                </w:p>
              </w:tc>
              <w:tc>
                <w:tcPr>
                  <w:tcW w:w="1829" w:type="pct"/>
                  <w:tcBorders>
                    <w:tl2br w:val="nil"/>
                    <w:tr2bl w:val="nil"/>
                  </w:tcBorders>
                  <w:noWrap w:val="0"/>
                  <w:vAlign w:val="center"/>
                </w:tcPr>
                <w:p w14:paraId="1BC6052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eastAsia="宋体"/>
                      <w:b/>
                      <w:bCs/>
                      <w:color w:val="0000FF"/>
                      <w:sz w:val="21"/>
                      <w:szCs w:val="21"/>
                      <w:lang w:val="en-US" w:eastAsia="zh-CN"/>
                    </w:rPr>
                  </w:pPr>
                  <w:r>
                    <w:rPr>
                      <w:rFonts w:hint="eastAsia"/>
                      <w:b/>
                      <w:bCs/>
                      <w:color w:val="0000FF"/>
                      <w:sz w:val="21"/>
                      <w:szCs w:val="21"/>
                      <w:lang w:val="en-US" w:eastAsia="zh-CN"/>
                    </w:rPr>
                    <w:t>监测井坐标</w:t>
                  </w:r>
                </w:p>
              </w:tc>
              <w:tc>
                <w:tcPr>
                  <w:tcW w:w="1829" w:type="pct"/>
                  <w:tcBorders>
                    <w:tl2br w:val="nil"/>
                    <w:tr2bl w:val="nil"/>
                  </w:tcBorders>
                  <w:noWrap w:val="0"/>
                  <w:vAlign w:val="center"/>
                </w:tcPr>
                <w:p w14:paraId="63200F4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b/>
                      <w:bCs/>
                      <w:color w:val="0000FF"/>
                      <w:sz w:val="21"/>
                      <w:szCs w:val="21"/>
                      <w:lang w:eastAsia="zh-CN"/>
                    </w:rPr>
                  </w:pPr>
                  <w:r>
                    <w:rPr>
                      <w:b/>
                      <w:bCs/>
                      <w:color w:val="0000FF"/>
                      <w:sz w:val="21"/>
                      <w:szCs w:val="21"/>
                    </w:rPr>
                    <w:t>监测</w:t>
                  </w:r>
                  <w:r>
                    <w:rPr>
                      <w:rFonts w:hint="eastAsia"/>
                      <w:b/>
                      <w:bCs/>
                      <w:color w:val="0000FF"/>
                      <w:sz w:val="21"/>
                      <w:szCs w:val="21"/>
                      <w:lang w:val="en-US" w:eastAsia="zh-CN"/>
                    </w:rPr>
                    <w:t>因子</w:t>
                  </w:r>
                </w:p>
              </w:tc>
              <w:tc>
                <w:tcPr>
                  <w:tcW w:w="429" w:type="pct"/>
                  <w:tcBorders>
                    <w:tl2br w:val="nil"/>
                    <w:tr2bl w:val="nil"/>
                  </w:tcBorders>
                  <w:noWrap w:val="0"/>
                  <w:vAlign w:val="center"/>
                </w:tcPr>
                <w:p w14:paraId="19E6306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b/>
                      <w:bCs/>
                      <w:color w:val="0000FF"/>
                      <w:sz w:val="21"/>
                      <w:szCs w:val="21"/>
                    </w:rPr>
                  </w:pPr>
                  <w:r>
                    <w:rPr>
                      <w:b/>
                      <w:bCs/>
                      <w:color w:val="0000FF"/>
                      <w:sz w:val="21"/>
                      <w:szCs w:val="21"/>
                    </w:rPr>
                    <w:t>监测频率</w:t>
                  </w:r>
                </w:p>
              </w:tc>
            </w:tr>
            <w:tr w14:paraId="7D817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38" w:type="pct"/>
                  <w:tcBorders>
                    <w:tl2br w:val="nil"/>
                    <w:tr2bl w:val="nil"/>
                  </w:tcBorders>
                  <w:noWrap w:val="0"/>
                  <w:vAlign w:val="center"/>
                </w:tcPr>
                <w:p w14:paraId="4322B7BA">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color w:val="0000FF"/>
                      <w:sz w:val="21"/>
                      <w:szCs w:val="21"/>
                    </w:rPr>
                  </w:pPr>
                  <w:r>
                    <w:rPr>
                      <w:color w:val="0000FF"/>
                      <w:sz w:val="21"/>
                      <w:szCs w:val="21"/>
                    </w:rPr>
                    <w:t>1</w:t>
                  </w:r>
                </w:p>
              </w:tc>
              <w:tc>
                <w:tcPr>
                  <w:tcW w:w="573" w:type="pct"/>
                  <w:tcBorders>
                    <w:tl2br w:val="nil"/>
                    <w:tr2bl w:val="nil"/>
                  </w:tcBorders>
                  <w:noWrap w:val="0"/>
                  <w:vAlign w:val="center"/>
                </w:tcPr>
                <w:p w14:paraId="3BB7CC5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color w:val="0000FF"/>
                      <w:sz w:val="21"/>
                      <w:szCs w:val="21"/>
                    </w:rPr>
                  </w:pPr>
                  <w:r>
                    <w:rPr>
                      <w:rFonts w:hint="eastAsia"/>
                      <w:color w:val="0000FF"/>
                      <w:sz w:val="21"/>
                      <w:szCs w:val="21"/>
                      <w:lang w:val="en-US" w:eastAsia="zh-CN"/>
                    </w:rPr>
                    <w:t>厂区</w:t>
                  </w:r>
                  <w:r>
                    <w:rPr>
                      <w:rFonts w:hint="eastAsia"/>
                      <w:color w:val="0000FF"/>
                      <w:sz w:val="21"/>
                      <w:szCs w:val="21"/>
                      <w:lang w:eastAsia="zh-CN"/>
                    </w:rPr>
                    <w:t>下游</w:t>
                  </w:r>
                  <w:r>
                    <w:rPr>
                      <w:color w:val="0000FF"/>
                      <w:sz w:val="21"/>
                      <w:szCs w:val="21"/>
                    </w:rPr>
                    <w:t>50</w:t>
                  </w:r>
                  <w:r>
                    <w:rPr>
                      <w:rFonts w:hint="eastAsia"/>
                      <w:color w:val="0000FF"/>
                      <w:sz w:val="21"/>
                      <w:szCs w:val="21"/>
                    </w:rPr>
                    <w:t>m范围内</w:t>
                  </w:r>
                </w:p>
              </w:tc>
              <w:tc>
                <w:tcPr>
                  <w:tcW w:w="1829" w:type="pct"/>
                  <w:tcBorders>
                    <w:tl2br w:val="nil"/>
                    <w:tr2bl w:val="nil"/>
                  </w:tcBorders>
                  <w:noWrap w:val="0"/>
                  <w:vAlign w:val="center"/>
                </w:tcPr>
                <w:p w14:paraId="4E0B2D4C">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color w:val="0000FF"/>
                      <w:sz w:val="21"/>
                      <w:szCs w:val="21"/>
                      <w:lang w:val="en-US" w:eastAsia="zh-CN"/>
                    </w:rPr>
                  </w:pPr>
                  <w:r>
                    <w:rPr>
                      <w:rFonts w:hint="eastAsia"/>
                      <w:color w:val="0000FF"/>
                      <w:sz w:val="21"/>
                      <w:szCs w:val="21"/>
                      <w:lang w:val="en-US" w:eastAsia="zh-CN"/>
                    </w:rPr>
                    <w:t>E109°38′57.297″</w:t>
                  </w:r>
                </w:p>
                <w:p w14:paraId="7B455F1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color w:val="0000FF"/>
                      <w:sz w:val="21"/>
                      <w:szCs w:val="21"/>
                      <w:lang w:val="en-US" w:eastAsia="zh-CN"/>
                    </w:rPr>
                  </w:pPr>
                  <w:r>
                    <w:rPr>
                      <w:rFonts w:hint="eastAsia"/>
                      <w:color w:val="0000FF"/>
                      <w:sz w:val="21"/>
                      <w:szCs w:val="21"/>
                      <w:lang w:val="en-US" w:eastAsia="zh-CN"/>
                    </w:rPr>
                    <w:t>N40°34′54.117″</w:t>
                  </w:r>
                </w:p>
              </w:tc>
              <w:tc>
                <w:tcPr>
                  <w:tcW w:w="1829" w:type="pct"/>
                  <w:tcBorders>
                    <w:tl2br w:val="nil"/>
                    <w:tr2bl w:val="nil"/>
                  </w:tcBorders>
                  <w:noWrap w:val="0"/>
                  <w:vAlign w:val="center"/>
                </w:tcPr>
                <w:p w14:paraId="2AFAFBE8">
                  <w:pPr>
                    <w:keepNext w:val="0"/>
                    <w:keepLines w:val="0"/>
                    <w:widowControl/>
                    <w:suppressLineNumbers w:val="0"/>
                    <w:jc w:val="center"/>
                    <w:rPr>
                      <w:color w:val="0000FF"/>
                      <w:sz w:val="21"/>
                      <w:szCs w:val="21"/>
                    </w:rPr>
                  </w:pPr>
                  <w:r>
                    <w:rPr>
                      <w:rFonts w:hint="eastAsia"/>
                      <w:color w:val="0000FF"/>
                      <w:sz w:val="21"/>
                      <w:szCs w:val="21"/>
                      <w:lang w:val="en-US" w:eastAsia="zh-CN"/>
                    </w:rPr>
                    <w:t>pH、</w:t>
                  </w:r>
                  <w:r>
                    <w:rPr>
                      <w:color w:val="0000FF"/>
                      <w:sz w:val="21"/>
                      <w:szCs w:val="21"/>
                    </w:rPr>
                    <w:t>石油类、石油烃（C10~C40）、汞、砷、六价铬</w:t>
                  </w:r>
                </w:p>
              </w:tc>
              <w:tc>
                <w:tcPr>
                  <w:tcW w:w="429" w:type="pct"/>
                  <w:tcBorders>
                    <w:tl2br w:val="nil"/>
                    <w:tr2bl w:val="nil"/>
                  </w:tcBorders>
                  <w:noWrap w:val="0"/>
                  <w:vAlign w:val="center"/>
                </w:tcPr>
                <w:p w14:paraId="3DB9800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olor w:val="0000FF"/>
                      <w:sz w:val="21"/>
                      <w:szCs w:val="21"/>
                      <w:lang w:val="en-US" w:eastAsia="zh-CN"/>
                    </w:rPr>
                  </w:pPr>
                  <w:r>
                    <w:rPr>
                      <w:rFonts w:hint="eastAsia"/>
                      <w:color w:val="0000FF"/>
                      <w:sz w:val="21"/>
                      <w:szCs w:val="21"/>
                    </w:rPr>
                    <w:t>1</w:t>
                  </w:r>
                  <w:r>
                    <w:rPr>
                      <w:color w:val="0000FF"/>
                      <w:sz w:val="21"/>
                      <w:szCs w:val="21"/>
                    </w:rPr>
                    <w:t>次/</w:t>
                  </w:r>
                  <w:r>
                    <w:rPr>
                      <w:rFonts w:hint="eastAsia"/>
                      <w:color w:val="0000FF"/>
                      <w:sz w:val="21"/>
                      <w:szCs w:val="21"/>
                      <w:lang w:eastAsia="zh-CN"/>
                    </w:rPr>
                    <w:t>年</w:t>
                  </w:r>
                </w:p>
              </w:tc>
            </w:tr>
          </w:tbl>
          <w:p w14:paraId="66617FD5">
            <w:pPr>
              <w:widowControl/>
              <w:adjustRightInd w:val="0"/>
              <w:snapToGrid w:val="0"/>
              <w:spacing w:line="360" w:lineRule="auto"/>
              <w:ind w:firstLine="480" w:firstLineChars="200"/>
              <w:jc w:val="left"/>
              <w:rPr>
                <w:rFonts w:cs="宋体"/>
                <w:color w:val="0000FF"/>
                <w:kern w:val="0"/>
                <w:sz w:val="24"/>
                <w:szCs w:val="20"/>
              </w:rPr>
            </w:pPr>
          </w:p>
          <w:p w14:paraId="1589B322">
            <w:pPr>
              <w:spacing w:line="360" w:lineRule="auto"/>
              <w:ind w:firstLine="482" w:firstLineChars="200"/>
              <w:rPr>
                <w:rFonts w:hint="default" w:ascii="Times New Roman" w:hAnsi="Times New Roman" w:cs="Times New Roman"/>
                <w:b/>
                <w:bCs/>
                <w:color w:val="0000FF"/>
                <w:sz w:val="24"/>
                <w:szCs w:val="22"/>
              </w:rPr>
            </w:pPr>
            <w:r>
              <w:rPr>
                <w:rFonts w:hint="default" w:ascii="Times New Roman" w:hAnsi="Times New Roman" w:cs="Times New Roman"/>
                <w:b/>
                <w:bCs/>
                <w:color w:val="0000FF"/>
                <w:sz w:val="24"/>
                <w:szCs w:val="22"/>
              </w:rPr>
              <w:t>6</w:t>
            </w:r>
            <w:r>
              <w:rPr>
                <w:rFonts w:hint="default" w:ascii="Times New Roman" w:hAnsi="Times New Roman" w:cs="Times New Roman"/>
                <w:b/>
                <w:bCs/>
                <w:color w:val="0000FF"/>
                <w:sz w:val="24"/>
                <w:szCs w:val="22"/>
                <w:lang w:eastAsia="zh-CN"/>
              </w:rPr>
              <w:t>、</w:t>
            </w:r>
            <w:r>
              <w:rPr>
                <w:rFonts w:hint="default" w:ascii="Times New Roman" w:hAnsi="Times New Roman" w:cs="Times New Roman"/>
                <w:b/>
                <w:bCs/>
                <w:color w:val="0000FF"/>
                <w:sz w:val="24"/>
                <w:szCs w:val="22"/>
              </w:rPr>
              <w:t>土壤</w:t>
            </w:r>
          </w:p>
          <w:p w14:paraId="3F3DFBCA">
            <w:pPr>
              <w:spacing w:line="360" w:lineRule="auto"/>
              <w:ind w:firstLine="480" w:firstLineChars="200"/>
              <w:rPr>
                <w:rFonts w:hint="default" w:ascii="Times New Roman" w:hAnsi="Times New Roman" w:eastAsia="宋体" w:cs="Times New Roman"/>
                <w:color w:val="0000FF"/>
                <w:sz w:val="24"/>
                <w:szCs w:val="24"/>
              </w:rPr>
            </w:pPr>
            <w:r>
              <w:rPr>
                <w:rFonts w:hint="default" w:ascii="Times New Roman" w:hAnsi="Times New Roman" w:cs="Times New Roman"/>
                <w:color w:val="0000FF"/>
                <w:sz w:val="24"/>
                <w:highlight w:val="none"/>
                <w:lang w:val="en-US" w:eastAsia="zh-CN"/>
              </w:rPr>
              <w:t>本项目无生产废水产生，项目建成后，厂区地面进行硬化，厂区土壤</w:t>
            </w:r>
            <w:r>
              <w:rPr>
                <w:rFonts w:hint="default" w:ascii="Times New Roman" w:hAnsi="Times New Roman" w:cs="Times New Roman"/>
                <w:color w:val="0000FF"/>
                <w:sz w:val="24"/>
                <w:highlight w:val="none"/>
              </w:rPr>
              <w:t>防治措施按照“源头控制、分区防治、污染监控、应急响应”相结合的原则</w:t>
            </w:r>
            <w:r>
              <w:rPr>
                <w:rFonts w:hint="default" w:ascii="Times New Roman" w:hAnsi="Times New Roman" w:cs="Times New Roman"/>
                <w:color w:val="0000FF"/>
                <w:sz w:val="24"/>
                <w:highlight w:val="none"/>
                <w:lang w:eastAsia="zh-CN"/>
              </w:rPr>
              <w:t>，</w:t>
            </w:r>
            <w:r>
              <w:rPr>
                <w:rFonts w:hint="default" w:ascii="Times New Roman" w:hAnsi="Times New Roman" w:cs="Times New Roman"/>
                <w:color w:val="0000FF"/>
                <w:sz w:val="24"/>
                <w:lang w:eastAsia="zh-CN"/>
              </w:rPr>
              <w:t>危险废物暂存间、</w:t>
            </w:r>
            <w:r>
              <w:rPr>
                <w:rFonts w:hint="default" w:ascii="Times New Roman" w:hAnsi="Times New Roman" w:cs="Times New Roman"/>
                <w:color w:val="0000FF"/>
                <w:sz w:val="24"/>
                <w:lang w:val="en-US" w:eastAsia="zh-CN"/>
              </w:rPr>
              <w:t>气罐区、槽车卸车区、灌装用房采用重点防渗，</w:t>
            </w:r>
            <w:r>
              <w:rPr>
                <w:rFonts w:hint="default" w:ascii="Times New Roman" w:hAnsi="Times New Roman" w:cs="Times New Roman"/>
                <w:color w:val="0000FF"/>
                <w:sz w:val="24"/>
                <w:highlight w:val="none"/>
                <w:lang w:val="en-US" w:eastAsia="zh-CN"/>
              </w:rPr>
              <w:t>企业在加强日常管理，对于储罐区等容易发生土壤污染的区域重点巡查，定期更换、维护设备、管道等，不会进一步影响周边的土壤环境，确保做好防渗工作的前提下，对土壤的影响较小</w:t>
            </w:r>
            <w:r>
              <w:rPr>
                <w:rFonts w:hint="default" w:ascii="Times New Roman" w:hAnsi="Times New Roman" w:eastAsia="宋体" w:cs="Times New Roman"/>
                <w:color w:val="0000FF"/>
                <w:sz w:val="24"/>
                <w:szCs w:val="24"/>
              </w:rPr>
              <w:t>。</w:t>
            </w:r>
          </w:p>
          <w:p w14:paraId="1679D497">
            <w:pPr>
              <w:spacing w:line="360" w:lineRule="auto"/>
              <w:ind w:firstLine="480" w:firstLineChars="200"/>
              <w:rPr>
                <w:color w:val="0000FF"/>
                <w:sz w:val="24"/>
                <w:szCs w:val="24"/>
              </w:rPr>
            </w:pPr>
            <w:r>
              <w:rPr>
                <w:rFonts w:hint="eastAsia" w:ascii="Times New Roman" w:hAnsi="Times New Roman" w:cs="Times New Roman"/>
                <w:color w:val="0000FF"/>
                <w:sz w:val="24"/>
                <w:szCs w:val="24"/>
                <w:highlight w:val="none"/>
                <w:lang w:val="en-US" w:eastAsia="zh-CN"/>
              </w:rPr>
              <w:t>依据</w:t>
            </w:r>
            <w:r>
              <w:rPr>
                <w:rFonts w:hint="default" w:ascii="Times New Roman" w:hAnsi="Times New Roman" w:cs="Times New Roman"/>
                <w:color w:val="0000FF"/>
                <w:sz w:val="24"/>
                <w:szCs w:val="24"/>
                <w:highlight w:val="none"/>
                <w:lang w:val="en-US" w:eastAsia="zh-CN"/>
              </w:rPr>
              <w:t>《排污单位自行监测技术指南  总则》（HJ819—2017）</w:t>
            </w:r>
            <w:r>
              <w:rPr>
                <w:rFonts w:hint="default" w:ascii="Times New Roman" w:hAnsi="Times New Roman" w:eastAsia="宋体" w:cs="Times New Roman"/>
                <w:b w:val="0"/>
                <w:bCs/>
                <w:caps w:val="0"/>
                <w:color w:val="0000FF"/>
                <w:sz w:val="24"/>
                <w:szCs w:val="24"/>
                <w:highlight w:val="none"/>
              </w:rPr>
              <w:t>要求</w:t>
            </w:r>
            <w:r>
              <w:rPr>
                <w:rFonts w:hint="eastAsia" w:ascii="Times New Roman" w:hAnsi="Times New Roman" w:eastAsia="宋体" w:cs="Times New Roman"/>
                <w:b w:val="0"/>
                <w:bCs/>
                <w:caps w:val="0"/>
                <w:color w:val="0000FF"/>
                <w:sz w:val="24"/>
                <w:szCs w:val="24"/>
                <w:highlight w:val="none"/>
                <w:lang w:eastAsia="zh-CN"/>
              </w:rPr>
              <w:t>，</w:t>
            </w:r>
            <w:r>
              <w:rPr>
                <w:rFonts w:hint="eastAsia" w:ascii="Times New Roman" w:hAnsi="Times New Roman" w:eastAsia="宋体" w:cs="Times New Roman"/>
                <w:b w:val="0"/>
                <w:bCs/>
                <w:caps w:val="0"/>
                <w:color w:val="0000FF"/>
                <w:sz w:val="24"/>
                <w:szCs w:val="24"/>
                <w:highlight w:val="none"/>
                <w:lang w:val="en-US" w:eastAsia="zh-CN"/>
              </w:rPr>
              <w:t>参照</w:t>
            </w:r>
            <w:r>
              <w:rPr>
                <w:rFonts w:hint="eastAsia" w:cs="Times New Roman"/>
                <w:color w:val="0000FF"/>
                <w:sz w:val="24"/>
                <w:lang w:val="en-US" w:eastAsia="zh-CN"/>
              </w:rPr>
              <w:t>《</w:t>
            </w:r>
            <w:r>
              <w:rPr>
                <w:rFonts w:ascii="宋体" w:hAnsi="宋体" w:eastAsia="宋体" w:cs="宋体"/>
                <w:color w:val="0000FF"/>
                <w:sz w:val="24"/>
                <w:szCs w:val="24"/>
              </w:rPr>
              <w:t>排污单位自行监测技术指南 陆上石油天然气开采工业</w:t>
            </w:r>
            <w:r>
              <w:rPr>
                <w:rFonts w:hint="eastAsia" w:cs="Times New Roman"/>
                <w:color w:val="0000FF"/>
                <w:sz w:val="24"/>
                <w:lang w:val="en-US" w:eastAsia="zh-CN"/>
              </w:rPr>
              <w:t>》（HJ 1248—2022）</w:t>
            </w:r>
            <w:r>
              <w:rPr>
                <w:color w:val="0000FF"/>
                <w:sz w:val="24"/>
                <w:szCs w:val="24"/>
              </w:rPr>
              <w:t>相关要求，</w:t>
            </w:r>
            <w:r>
              <w:rPr>
                <w:rFonts w:hint="eastAsia"/>
                <w:color w:val="0000FF"/>
                <w:sz w:val="24"/>
                <w:szCs w:val="24"/>
                <w:lang w:val="en-US" w:eastAsia="zh-CN"/>
              </w:rPr>
              <w:t>对本项目土壤进行跟踪监测，</w:t>
            </w:r>
            <w:r>
              <w:rPr>
                <w:rFonts w:hint="eastAsia" w:eastAsia="宋体"/>
                <w:color w:val="0000FF"/>
                <w:sz w:val="24"/>
                <w:szCs w:val="24"/>
                <w:lang w:val="en-US" w:eastAsia="zh-CN"/>
              </w:rPr>
              <w:t>土壤</w:t>
            </w:r>
            <w:r>
              <w:rPr>
                <w:color w:val="0000FF"/>
                <w:sz w:val="24"/>
                <w:szCs w:val="24"/>
              </w:rPr>
              <w:t>监测计划见</w:t>
            </w:r>
            <w:r>
              <w:rPr>
                <w:rFonts w:hint="eastAsia"/>
                <w:color w:val="0000FF"/>
                <w:sz w:val="24"/>
                <w:szCs w:val="24"/>
                <w:lang w:eastAsia="zh-CN"/>
              </w:rPr>
              <w:t>下表</w:t>
            </w:r>
            <w:r>
              <w:rPr>
                <w:color w:val="0000FF"/>
                <w:sz w:val="24"/>
                <w:szCs w:val="24"/>
              </w:rPr>
              <w:t>。</w:t>
            </w:r>
          </w:p>
          <w:p w14:paraId="30C18B21">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b/>
                <w:bCs/>
                <w:color w:val="0000FF"/>
                <w:sz w:val="21"/>
                <w:szCs w:val="21"/>
              </w:rPr>
            </w:pPr>
            <w:r>
              <w:rPr>
                <w:b/>
                <w:bCs/>
                <w:color w:val="0000FF"/>
                <w:sz w:val="21"/>
                <w:szCs w:val="21"/>
              </w:rPr>
              <w:t>表</w:t>
            </w:r>
            <w:r>
              <w:rPr>
                <w:rFonts w:hint="eastAsia"/>
                <w:b/>
                <w:bCs/>
                <w:color w:val="0000FF"/>
                <w:sz w:val="21"/>
                <w:szCs w:val="21"/>
                <w:lang w:val="en-US" w:eastAsia="zh-CN"/>
              </w:rPr>
              <w:t>4.6-1</w:t>
            </w:r>
            <w:r>
              <w:rPr>
                <w:b/>
                <w:bCs/>
                <w:color w:val="0000FF"/>
                <w:sz w:val="21"/>
                <w:szCs w:val="21"/>
              </w:rPr>
              <w:t xml:space="preserve">  </w:t>
            </w:r>
            <w:r>
              <w:rPr>
                <w:rFonts w:hint="eastAsia"/>
                <w:b/>
                <w:bCs/>
                <w:color w:val="0000FF"/>
                <w:sz w:val="21"/>
                <w:szCs w:val="21"/>
                <w:lang w:val="en-US" w:eastAsia="zh-CN"/>
              </w:rPr>
              <w:t>土壤</w:t>
            </w:r>
            <w:r>
              <w:rPr>
                <w:b/>
                <w:bCs/>
                <w:color w:val="0000FF"/>
                <w:sz w:val="21"/>
                <w:szCs w:val="21"/>
              </w:rPr>
              <w:t>环境影响跟踪监测布</w:t>
            </w:r>
            <w:r>
              <w:rPr>
                <w:rFonts w:hint="eastAsia"/>
                <w:b/>
                <w:bCs/>
                <w:color w:val="0000FF"/>
                <w:sz w:val="21"/>
                <w:szCs w:val="21"/>
                <w:lang w:val="en-US" w:eastAsia="zh-CN"/>
              </w:rPr>
              <w:t>点</w:t>
            </w:r>
            <w:r>
              <w:rPr>
                <w:b/>
                <w:bCs/>
                <w:color w:val="0000FF"/>
                <w:sz w:val="21"/>
                <w:szCs w:val="21"/>
              </w:rPr>
              <w:t>情况一览表</w:t>
            </w:r>
          </w:p>
          <w:tbl>
            <w:tblPr>
              <w:tblStyle w:val="3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1389"/>
              <w:gridCol w:w="2372"/>
              <w:gridCol w:w="3141"/>
              <w:gridCol w:w="739"/>
            </w:tblGrid>
            <w:tr w14:paraId="43A6D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4" w:type="pct"/>
                  <w:tcBorders>
                    <w:tl2br w:val="nil"/>
                    <w:tr2bl w:val="nil"/>
                  </w:tcBorders>
                  <w:noWrap w:val="0"/>
                  <w:vAlign w:val="center"/>
                </w:tcPr>
                <w:p w14:paraId="363F73B7">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b/>
                      <w:bCs/>
                      <w:color w:val="0000FF"/>
                      <w:sz w:val="21"/>
                      <w:szCs w:val="21"/>
                    </w:rPr>
                  </w:pPr>
                  <w:r>
                    <w:rPr>
                      <w:b/>
                      <w:bCs/>
                      <w:color w:val="0000FF"/>
                      <w:sz w:val="21"/>
                      <w:szCs w:val="21"/>
                    </w:rPr>
                    <w:t>序号</w:t>
                  </w:r>
                </w:p>
              </w:tc>
              <w:tc>
                <w:tcPr>
                  <w:tcW w:w="844" w:type="pct"/>
                  <w:tcBorders>
                    <w:tl2br w:val="nil"/>
                    <w:tr2bl w:val="nil"/>
                  </w:tcBorders>
                  <w:noWrap w:val="0"/>
                  <w:vAlign w:val="center"/>
                </w:tcPr>
                <w:p w14:paraId="0AF517C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b/>
                      <w:bCs/>
                      <w:color w:val="0000FF"/>
                      <w:sz w:val="21"/>
                      <w:szCs w:val="21"/>
                    </w:rPr>
                  </w:pPr>
                  <w:r>
                    <w:rPr>
                      <w:b/>
                      <w:bCs/>
                      <w:color w:val="0000FF"/>
                      <w:sz w:val="21"/>
                      <w:szCs w:val="21"/>
                    </w:rPr>
                    <w:t>监测</w:t>
                  </w:r>
                  <w:r>
                    <w:rPr>
                      <w:rFonts w:hint="eastAsia"/>
                      <w:b/>
                      <w:bCs/>
                      <w:color w:val="0000FF"/>
                      <w:sz w:val="21"/>
                      <w:szCs w:val="21"/>
                      <w:lang w:val="en-US" w:eastAsia="zh-CN"/>
                    </w:rPr>
                    <w:t>点</w:t>
                  </w:r>
                  <w:r>
                    <w:rPr>
                      <w:b/>
                      <w:bCs/>
                      <w:color w:val="0000FF"/>
                      <w:sz w:val="21"/>
                      <w:szCs w:val="21"/>
                    </w:rPr>
                    <w:t>位置</w:t>
                  </w:r>
                </w:p>
              </w:tc>
              <w:tc>
                <w:tcPr>
                  <w:tcW w:w="1442" w:type="pct"/>
                  <w:tcBorders>
                    <w:tl2br w:val="nil"/>
                    <w:tr2bl w:val="nil"/>
                  </w:tcBorders>
                  <w:noWrap w:val="0"/>
                  <w:vAlign w:val="center"/>
                </w:tcPr>
                <w:p w14:paraId="7D9B251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eastAsia="宋体"/>
                      <w:b/>
                      <w:bCs/>
                      <w:color w:val="0000FF"/>
                      <w:sz w:val="21"/>
                      <w:szCs w:val="21"/>
                      <w:lang w:val="en-US" w:eastAsia="zh-CN"/>
                    </w:rPr>
                  </w:pPr>
                  <w:r>
                    <w:rPr>
                      <w:rFonts w:hint="eastAsia"/>
                      <w:b/>
                      <w:bCs/>
                      <w:color w:val="0000FF"/>
                      <w:sz w:val="21"/>
                      <w:szCs w:val="21"/>
                      <w:lang w:val="en-US" w:eastAsia="zh-CN"/>
                    </w:rPr>
                    <w:t>点位坐标</w:t>
                  </w:r>
                </w:p>
              </w:tc>
              <w:tc>
                <w:tcPr>
                  <w:tcW w:w="1909" w:type="pct"/>
                  <w:tcBorders>
                    <w:tl2br w:val="nil"/>
                    <w:tr2bl w:val="nil"/>
                  </w:tcBorders>
                  <w:noWrap w:val="0"/>
                  <w:vAlign w:val="center"/>
                </w:tcPr>
                <w:p w14:paraId="7076AC1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b/>
                      <w:bCs/>
                      <w:color w:val="0000FF"/>
                      <w:sz w:val="21"/>
                      <w:szCs w:val="21"/>
                      <w:lang w:eastAsia="zh-CN"/>
                    </w:rPr>
                  </w:pPr>
                  <w:r>
                    <w:rPr>
                      <w:b/>
                      <w:bCs/>
                      <w:color w:val="0000FF"/>
                      <w:sz w:val="21"/>
                      <w:szCs w:val="21"/>
                    </w:rPr>
                    <w:t>监测</w:t>
                  </w:r>
                  <w:r>
                    <w:rPr>
                      <w:rFonts w:hint="eastAsia"/>
                      <w:b/>
                      <w:bCs/>
                      <w:color w:val="0000FF"/>
                      <w:sz w:val="21"/>
                      <w:szCs w:val="21"/>
                      <w:lang w:val="en-US" w:eastAsia="zh-CN"/>
                    </w:rPr>
                    <w:t>因子</w:t>
                  </w:r>
                </w:p>
              </w:tc>
              <w:tc>
                <w:tcPr>
                  <w:tcW w:w="449" w:type="pct"/>
                  <w:tcBorders>
                    <w:tl2br w:val="nil"/>
                    <w:tr2bl w:val="nil"/>
                  </w:tcBorders>
                  <w:noWrap w:val="0"/>
                  <w:vAlign w:val="center"/>
                </w:tcPr>
                <w:p w14:paraId="66343435">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b/>
                      <w:bCs/>
                      <w:color w:val="0000FF"/>
                      <w:sz w:val="21"/>
                      <w:szCs w:val="21"/>
                    </w:rPr>
                  </w:pPr>
                  <w:r>
                    <w:rPr>
                      <w:b/>
                      <w:bCs/>
                      <w:color w:val="0000FF"/>
                      <w:sz w:val="21"/>
                      <w:szCs w:val="21"/>
                    </w:rPr>
                    <w:t>监测频率</w:t>
                  </w:r>
                </w:p>
              </w:tc>
            </w:tr>
            <w:tr w14:paraId="2AF23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354" w:type="pct"/>
                  <w:tcBorders>
                    <w:tl2br w:val="nil"/>
                    <w:tr2bl w:val="nil"/>
                  </w:tcBorders>
                  <w:noWrap w:val="0"/>
                  <w:vAlign w:val="center"/>
                </w:tcPr>
                <w:p w14:paraId="3C3A92BE">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color w:val="0000FF"/>
                      <w:sz w:val="21"/>
                      <w:szCs w:val="21"/>
                    </w:rPr>
                  </w:pPr>
                  <w:r>
                    <w:rPr>
                      <w:color w:val="0000FF"/>
                      <w:sz w:val="21"/>
                      <w:szCs w:val="21"/>
                    </w:rPr>
                    <w:t>1</w:t>
                  </w:r>
                </w:p>
              </w:tc>
              <w:tc>
                <w:tcPr>
                  <w:tcW w:w="844" w:type="pct"/>
                  <w:tcBorders>
                    <w:tl2br w:val="nil"/>
                    <w:tr2bl w:val="nil"/>
                  </w:tcBorders>
                  <w:noWrap w:val="0"/>
                  <w:vAlign w:val="center"/>
                </w:tcPr>
                <w:p w14:paraId="798EB3C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color w:val="0000FF"/>
                      <w:sz w:val="21"/>
                      <w:szCs w:val="21"/>
                    </w:rPr>
                  </w:pPr>
                  <w:r>
                    <w:rPr>
                      <w:rFonts w:hint="eastAsia"/>
                      <w:color w:val="0000FF"/>
                      <w:sz w:val="21"/>
                      <w:szCs w:val="21"/>
                      <w:lang w:val="en-US" w:eastAsia="zh-CN"/>
                    </w:rPr>
                    <w:t>厂区内地下水流向</w:t>
                  </w:r>
                  <w:r>
                    <w:rPr>
                      <w:rFonts w:hint="eastAsia"/>
                      <w:color w:val="0000FF"/>
                      <w:sz w:val="21"/>
                      <w:szCs w:val="21"/>
                      <w:lang w:eastAsia="zh-CN"/>
                    </w:rPr>
                    <w:t>下游</w:t>
                  </w:r>
                </w:p>
              </w:tc>
              <w:tc>
                <w:tcPr>
                  <w:tcW w:w="1442" w:type="pct"/>
                  <w:tcBorders>
                    <w:tl2br w:val="nil"/>
                    <w:tr2bl w:val="nil"/>
                  </w:tcBorders>
                  <w:noWrap w:val="0"/>
                  <w:vAlign w:val="center"/>
                </w:tcPr>
                <w:p w14:paraId="617BB7D1">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color w:val="0000FF"/>
                      <w:sz w:val="21"/>
                      <w:szCs w:val="21"/>
                      <w:lang w:val="en-US" w:eastAsia="zh-CN"/>
                    </w:rPr>
                  </w:pPr>
                  <w:r>
                    <w:rPr>
                      <w:rFonts w:hint="eastAsia"/>
                      <w:color w:val="0000FF"/>
                      <w:sz w:val="21"/>
                      <w:szCs w:val="21"/>
                      <w:lang w:val="en-US" w:eastAsia="zh-CN"/>
                    </w:rPr>
                    <w:t>E109°38′57.537″</w:t>
                  </w:r>
                </w:p>
                <w:p w14:paraId="1765C5B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color w:val="0000FF"/>
                      <w:sz w:val="21"/>
                      <w:szCs w:val="21"/>
                      <w:lang w:val="en-US" w:eastAsia="zh-CN"/>
                    </w:rPr>
                  </w:pPr>
                  <w:r>
                    <w:rPr>
                      <w:rFonts w:hint="eastAsia"/>
                      <w:color w:val="0000FF"/>
                      <w:sz w:val="21"/>
                      <w:szCs w:val="21"/>
                      <w:lang w:val="en-US" w:eastAsia="zh-CN"/>
                    </w:rPr>
                    <w:t>N40°34′54.208″</w:t>
                  </w:r>
                </w:p>
              </w:tc>
              <w:tc>
                <w:tcPr>
                  <w:tcW w:w="1909" w:type="pct"/>
                  <w:tcBorders>
                    <w:tl2br w:val="nil"/>
                    <w:tr2bl w:val="nil"/>
                  </w:tcBorders>
                  <w:noWrap w:val="0"/>
                  <w:vAlign w:val="center"/>
                </w:tcPr>
                <w:p w14:paraId="2D1DE8E2">
                  <w:pPr>
                    <w:keepNext w:val="0"/>
                    <w:keepLines w:val="0"/>
                    <w:widowControl/>
                    <w:suppressLineNumbers w:val="0"/>
                    <w:jc w:val="center"/>
                    <w:rPr>
                      <w:rFonts w:hint="eastAsia" w:eastAsia="宋体"/>
                      <w:color w:val="0000FF"/>
                      <w:sz w:val="21"/>
                      <w:szCs w:val="21"/>
                      <w:lang w:val="en-US" w:eastAsia="zh-CN"/>
                    </w:rPr>
                  </w:pPr>
                  <w:r>
                    <w:rPr>
                      <w:rFonts w:hint="eastAsia"/>
                      <w:color w:val="0000FF"/>
                      <w:sz w:val="21"/>
                      <w:szCs w:val="21"/>
                      <w:lang w:val="en-US" w:eastAsia="zh-CN"/>
                    </w:rPr>
                    <w:t>pH、</w:t>
                  </w:r>
                  <w:r>
                    <w:rPr>
                      <w:color w:val="0000FF"/>
                      <w:sz w:val="21"/>
                      <w:szCs w:val="21"/>
                    </w:rPr>
                    <w:t>石油类、石油烃（C10~C40）、汞、砷、六价铬</w:t>
                  </w:r>
                </w:p>
              </w:tc>
              <w:tc>
                <w:tcPr>
                  <w:tcW w:w="449" w:type="pct"/>
                  <w:tcBorders>
                    <w:tl2br w:val="nil"/>
                    <w:tr2bl w:val="nil"/>
                  </w:tcBorders>
                  <w:noWrap w:val="0"/>
                  <w:vAlign w:val="center"/>
                </w:tcPr>
                <w:p w14:paraId="0796D64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eastAsia="宋体"/>
                      <w:color w:val="0000FF"/>
                      <w:sz w:val="21"/>
                      <w:szCs w:val="21"/>
                      <w:lang w:val="en-US" w:eastAsia="zh-CN"/>
                    </w:rPr>
                  </w:pPr>
                  <w:r>
                    <w:rPr>
                      <w:rFonts w:hint="eastAsia"/>
                      <w:color w:val="0000FF"/>
                      <w:sz w:val="21"/>
                      <w:szCs w:val="21"/>
                    </w:rPr>
                    <w:t>1</w:t>
                  </w:r>
                  <w:r>
                    <w:rPr>
                      <w:color w:val="0000FF"/>
                      <w:sz w:val="21"/>
                      <w:szCs w:val="21"/>
                    </w:rPr>
                    <w:t>次/</w:t>
                  </w:r>
                  <w:r>
                    <w:rPr>
                      <w:rFonts w:hint="eastAsia"/>
                      <w:color w:val="0000FF"/>
                      <w:sz w:val="21"/>
                      <w:szCs w:val="21"/>
                      <w:lang w:eastAsia="zh-CN"/>
                    </w:rPr>
                    <w:t>年</w:t>
                  </w:r>
                </w:p>
              </w:tc>
            </w:tr>
          </w:tbl>
          <w:p w14:paraId="6BBF4385">
            <w:pPr>
              <w:pStyle w:val="15"/>
              <w:rPr>
                <w:rFonts w:hint="default"/>
                <w:color w:val="0000FF"/>
              </w:rPr>
            </w:pPr>
          </w:p>
          <w:p w14:paraId="60698FDF">
            <w:pPr>
              <w:spacing w:line="360" w:lineRule="auto"/>
              <w:rPr>
                <w:rFonts w:hint="default" w:ascii="Times New Roman" w:hAnsi="Times New Roman" w:cs="Times New Roman"/>
                <w:b/>
                <w:bCs/>
                <w:color w:val="0000FF"/>
                <w:sz w:val="24"/>
                <w:szCs w:val="22"/>
                <w:lang w:val="en-US" w:eastAsia="zh-CN"/>
              </w:rPr>
            </w:pPr>
            <w:r>
              <w:rPr>
                <w:rFonts w:hint="default" w:ascii="Times New Roman" w:hAnsi="Times New Roman" w:cs="Times New Roman"/>
                <w:b/>
                <w:bCs/>
                <w:color w:val="0000FF"/>
                <w:sz w:val="24"/>
                <w:szCs w:val="22"/>
                <w:lang w:val="en-US" w:eastAsia="zh-CN"/>
              </w:rPr>
              <w:drawing>
                <wp:inline distT="0" distB="0" distL="114300" distR="114300">
                  <wp:extent cx="5219700" cy="3690620"/>
                  <wp:effectExtent l="0" t="0" r="0" b="5080"/>
                  <wp:docPr id="84" name="图片 84" descr="土壤地下水跟踪监测点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土壤地下水跟踪监测点布点图"/>
                          <pic:cNvPicPr>
                            <a:picLocks noChangeAspect="1"/>
                          </pic:cNvPicPr>
                        </pic:nvPicPr>
                        <pic:blipFill>
                          <a:blip r:embed="rId50"/>
                          <a:stretch>
                            <a:fillRect/>
                          </a:stretch>
                        </pic:blipFill>
                        <pic:spPr>
                          <a:xfrm>
                            <a:off x="0" y="0"/>
                            <a:ext cx="5219700" cy="3690620"/>
                          </a:xfrm>
                          <a:prstGeom prst="rect">
                            <a:avLst/>
                          </a:prstGeom>
                        </pic:spPr>
                      </pic:pic>
                    </a:graphicData>
                  </a:graphic>
                </wp:inline>
              </w:drawing>
            </w:r>
          </w:p>
          <w:p w14:paraId="78B55BBF">
            <w:pPr>
              <w:pStyle w:val="15"/>
              <w:jc w:val="center"/>
              <w:rPr>
                <w:rFonts w:hint="default"/>
                <w:color w:val="0000FF"/>
                <w:lang w:val="en-US" w:eastAsia="zh-CN"/>
              </w:rPr>
            </w:pPr>
            <w:r>
              <w:rPr>
                <w:rFonts w:hint="eastAsia" w:ascii="Times New Roman" w:hAnsi="Times New Roman" w:cs="Times New Roman"/>
                <w:b/>
                <w:bCs/>
                <w:color w:val="0000FF"/>
                <w:sz w:val="24"/>
                <w:szCs w:val="22"/>
                <w:lang w:val="en-US" w:eastAsia="zh-CN"/>
              </w:rPr>
              <w:t>图4.6-1   土壤地下水跟踪监测点布点图</w:t>
            </w:r>
          </w:p>
          <w:p w14:paraId="6048F010">
            <w:pPr>
              <w:spacing w:line="360" w:lineRule="auto"/>
              <w:ind w:firstLine="482" w:firstLineChars="200"/>
              <w:rPr>
                <w:rFonts w:hint="default" w:ascii="Times New Roman" w:hAnsi="Times New Roman" w:cs="Times New Roman"/>
                <w:b/>
                <w:bCs/>
                <w:color w:val="auto"/>
                <w:sz w:val="24"/>
                <w:szCs w:val="22"/>
                <w:lang w:val="en-US" w:eastAsia="zh-CN"/>
              </w:rPr>
            </w:pPr>
            <w:r>
              <w:rPr>
                <w:rFonts w:hint="default" w:ascii="Times New Roman" w:hAnsi="Times New Roman" w:cs="Times New Roman"/>
                <w:b/>
                <w:bCs/>
                <w:color w:val="auto"/>
                <w:sz w:val="24"/>
                <w:szCs w:val="22"/>
                <w:lang w:val="en-US" w:eastAsia="zh-CN"/>
              </w:rPr>
              <w:t>7、营运期生态环境影响分析</w:t>
            </w:r>
          </w:p>
          <w:p w14:paraId="0184A860">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本项目位于</w:t>
            </w:r>
            <w:r>
              <w:rPr>
                <w:rFonts w:hint="default" w:ascii="Times New Roman" w:hAnsi="Times New Roman" w:eastAsia="宋体" w:cs="Times New Roman"/>
                <w:color w:val="0000FF"/>
                <w:kern w:val="0"/>
                <w:sz w:val="24"/>
                <w:szCs w:val="24"/>
                <w:shd w:val="clear" w:color="auto" w:fill="auto"/>
                <w:lang w:val="en-US" w:eastAsia="zh-CN"/>
              </w:rPr>
              <w:t>内蒙古包头九原工业园区—新材料产业园</w:t>
            </w:r>
            <w:r>
              <w:rPr>
                <w:rFonts w:hint="default" w:ascii="Times New Roman" w:hAnsi="Times New Roman" w:cs="Times New Roman"/>
                <w:color w:val="auto"/>
                <w:sz w:val="24"/>
                <w:highlight w:val="none"/>
                <w:lang w:val="en-US" w:eastAsia="zh-CN"/>
              </w:rPr>
              <w:t>，项目选址不涉及自然保护区、风景名胜区、世界文化自然遗产地等生态敏感区域，项目营运期对场内外的生态环境影响较小。</w:t>
            </w:r>
          </w:p>
          <w:p w14:paraId="35E4767D">
            <w:pPr>
              <w:spacing w:line="360" w:lineRule="auto"/>
              <w:ind w:firstLine="482" w:firstLineChars="200"/>
              <w:rPr>
                <w:rFonts w:hint="default" w:ascii="Times New Roman" w:hAnsi="Times New Roman" w:cs="Times New Roman"/>
                <w:b/>
                <w:bCs/>
                <w:color w:val="auto"/>
                <w:sz w:val="24"/>
                <w:szCs w:val="22"/>
                <w:lang w:val="en-US" w:eastAsia="zh-CN"/>
              </w:rPr>
            </w:pPr>
            <w:r>
              <w:rPr>
                <w:rFonts w:hint="default" w:ascii="Times New Roman" w:hAnsi="Times New Roman" w:cs="Times New Roman"/>
                <w:b/>
                <w:bCs/>
                <w:color w:val="auto"/>
                <w:sz w:val="24"/>
                <w:szCs w:val="22"/>
                <w:lang w:val="en-US" w:eastAsia="zh-CN"/>
              </w:rPr>
              <w:t>8、环境风险影响分析</w:t>
            </w:r>
          </w:p>
          <w:p w14:paraId="4BDAF03A">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根据《建设项目环境影响报告表</w:t>
            </w:r>
            <w:r>
              <w:rPr>
                <w:rFonts w:hint="eastAsia" w:cs="Times New Roman"/>
                <w:color w:val="auto"/>
                <w:sz w:val="24"/>
                <w:highlight w:val="none"/>
                <w:lang w:val="en-US" w:eastAsia="zh-CN"/>
              </w:rPr>
              <w:t>编制</w:t>
            </w:r>
            <w:r>
              <w:rPr>
                <w:rFonts w:hint="default" w:ascii="Times New Roman" w:hAnsi="Times New Roman" w:cs="Times New Roman"/>
                <w:color w:val="auto"/>
                <w:sz w:val="24"/>
                <w:highlight w:val="none"/>
                <w:lang w:val="en-US" w:eastAsia="zh-CN"/>
              </w:rPr>
              <w:t>技术指南》（污染影响类）（试行）</w:t>
            </w:r>
          </w:p>
          <w:p w14:paraId="67EF11D8">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表1“专项评价设置表”，本项目液化石油气的存储量为46.40t，超过《建设项目环境风险评价技术导则》（HJ169-2018）附录B中石油气临界量10t，丙烷的存储量为40.56，超过《建设项目环境风险评价技术导则》（HJ169-2018）附录B中丙烷临界量10t。因此，需设置环境风险专项评价。环境风险影响分析详见环境风险专项评价。</w:t>
            </w:r>
          </w:p>
          <w:p w14:paraId="519C3795">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环境风险专项评价可知通过采取环评建议的措施，项目在建成后将能有效地防止泄漏、火灾、爆炸等事故的发生，一旦发生事故，依靠厂区内的安全防护设施和事故应急措施也能及时控制事故，防止事故的蔓延。因此，建设项目环境风险在措施落实的情况下，项目环境风险在可控范围内。</w:t>
            </w:r>
          </w:p>
          <w:p w14:paraId="53ED1805">
            <w:pPr>
              <w:spacing w:line="360" w:lineRule="auto"/>
              <w:ind w:firstLine="482" w:firstLineChars="200"/>
              <w:rPr>
                <w:rFonts w:hint="default" w:ascii="Times New Roman" w:hAnsi="Times New Roman" w:cs="Times New Roman"/>
                <w:b/>
                <w:bCs/>
                <w:color w:val="auto"/>
                <w:sz w:val="24"/>
                <w:szCs w:val="22"/>
                <w:lang w:val="en-US" w:eastAsia="zh-CN"/>
              </w:rPr>
            </w:pPr>
            <w:r>
              <w:rPr>
                <w:rFonts w:hint="default" w:ascii="Times New Roman" w:hAnsi="Times New Roman" w:cs="Times New Roman"/>
                <w:b/>
                <w:bCs/>
                <w:color w:val="auto"/>
                <w:sz w:val="24"/>
                <w:szCs w:val="22"/>
                <w:lang w:val="en-US" w:eastAsia="zh-CN"/>
              </w:rPr>
              <w:t>9、环保投资</w:t>
            </w:r>
          </w:p>
          <w:p w14:paraId="0568ECA1">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本次新增项目总投资10000万元，全部由企业自筹，其中环保投资估算81万元，占总投资的0.81%，投资估算见下表。</w:t>
            </w:r>
          </w:p>
          <w:p w14:paraId="620D4C0A">
            <w:pPr>
              <w:spacing w:line="360" w:lineRule="auto"/>
              <w:ind w:firstLine="482" w:firstLineChars="200"/>
              <w:jc w:val="center"/>
              <w:rPr>
                <w:rFonts w:hint="default"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表</w:t>
            </w:r>
            <w:r>
              <w:rPr>
                <w:rFonts w:hint="eastAsia" w:cs="Times New Roman"/>
                <w:b/>
                <w:bCs/>
                <w:color w:val="auto"/>
                <w:sz w:val="24"/>
                <w:highlight w:val="none"/>
                <w:lang w:val="en-US" w:eastAsia="zh-CN"/>
              </w:rPr>
              <w:t>4.9-1</w:t>
            </w:r>
            <w:r>
              <w:rPr>
                <w:rFonts w:hint="default" w:ascii="Times New Roman" w:hAnsi="Times New Roman" w:cs="Times New Roman"/>
                <w:b/>
                <w:bCs/>
                <w:color w:val="auto"/>
                <w:sz w:val="24"/>
                <w:highlight w:val="none"/>
                <w:lang w:val="en-US" w:eastAsia="zh-CN"/>
              </w:rPr>
              <w:t xml:space="preserve">   总工程环保投资估算一览表</w:t>
            </w:r>
          </w:p>
          <w:tbl>
            <w:tblPr>
              <w:tblStyle w:val="33"/>
              <w:tblW w:w="81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8"/>
              <w:gridCol w:w="1927"/>
              <w:gridCol w:w="2068"/>
              <w:gridCol w:w="2582"/>
            </w:tblGrid>
            <w:tr w14:paraId="5EC11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Align w:val="center"/>
                </w:tcPr>
                <w:p w14:paraId="71EE6DCE">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类别</w:t>
                  </w:r>
                </w:p>
              </w:tc>
              <w:tc>
                <w:tcPr>
                  <w:tcW w:w="1927" w:type="dxa"/>
                  <w:vAlign w:val="center"/>
                </w:tcPr>
                <w:p w14:paraId="0779AA56">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污染源</w:t>
                  </w:r>
                </w:p>
              </w:tc>
              <w:tc>
                <w:tcPr>
                  <w:tcW w:w="2068" w:type="dxa"/>
                  <w:vAlign w:val="center"/>
                </w:tcPr>
                <w:p w14:paraId="22D109E7">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环保设施/措施</w:t>
                  </w:r>
                </w:p>
              </w:tc>
              <w:tc>
                <w:tcPr>
                  <w:tcW w:w="2582" w:type="dxa"/>
                  <w:vAlign w:val="center"/>
                </w:tcPr>
                <w:p w14:paraId="52477822">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投资额（万元）</w:t>
                  </w:r>
                </w:p>
              </w:tc>
            </w:tr>
            <w:tr w14:paraId="21302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restart"/>
                  <w:vAlign w:val="center"/>
                </w:tcPr>
                <w:p w14:paraId="2C6C193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废气</w:t>
                  </w:r>
                </w:p>
              </w:tc>
              <w:tc>
                <w:tcPr>
                  <w:tcW w:w="1927" w:type="dxa"/>
                  <w:vAlign w:val="center"/>
                </w:tcPr>
                <w:p w14:paraId="69E93B7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焚烧废气</w:t>
                  </w:r>
                </w:p>
              </w:tc>
              <w:tc>
                <w:tcPr>
                  <w:tcW w:w="2068" w:type="dxa"/>
                  <w:vAlign w:val="center"/>
                </w:tcPr>
                <w:p w14:paraId="21464C8D">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低氮燃烧+喷淋塔</w:t>
                  </w:r>
                </w:p>
              </w:tc>
              <w:tc>
                <w:tcPr>
                  <w:tcW w:w="2582" w:type="dxa"/>
                  <w:vAlign w:val="center"/>
                </w:tcPr>
                <w:p w14:paraId="01A581E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10</w:t>
                  </w:r>
                </w:p>
              </w:tc>
            </w:tr>
            <w:tr w14:paraId="37FF7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continue"/>
                  <w:vAlign w:val="center"/>
                </w:tcPr>
                <w:p w14:paraId="2CF014E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927" w:type="dxa"/>
                  <w:vAlign w:val="center"/>
                </w:tcPr>
                <w:p w14:paraId="7D65E67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抛丸废气</w:t>
                  </w:r>
                </w:p>
              </w:tc>
              <w:tc>
                <w:tcPr>
                  <w:tcW w:w="2068" w:type="dxa"/>
                  <w:vAlign w:val="center"/>
                </w:tcPr>
                <w:p w14:paraId="4070C60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集气罩+布袋除尘器</w:t>
                  </w:r>
                </w:p>
              </w:tc>
              <w:tc>
                <w:tcPr>
                  <w:tcW w:w="2582" w:type="dxa"/>
                  <w:vAlign w:val="center"/>
                </w:tcPr>
                <w:p w14:paraId="6E6BC26B">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5</w:t>
                  </w:r>
                </w:p>
              </w:tc>
            </w:tr>
            <w:tr w14:paraId="5EDBA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continue"/>
                  <w:vAlign w:val="center"/>
                </w:tcPr>
                <w:p w14:paraId="52C979E7">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927" w:type="dxa"/>
                  <w:vAlign w:val="center"/>
                </w:tcPr>
                <w:p w14:paraId="25727A3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喷塑废气</w:t>
                  </w:r>
                </w:p>
              </w:tc>
              <w:tc>
                <w:tcPr>
                  <w:tcW w:w="2068" w:type="dxa"/>
                  <w:vAlign w:val="center"/>
                </w:tcPr>
                <w:p w14:paraId="5F53373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全封闭喷塑间+滤筒除尘器</w:t>
                  </w:r>
                </w:p>
              </w:tc>
              <w:tc>
                <w:tcPr>
                  <w:tcW w:w="2582" w:type="dxa"/>
                  <w:vAlign w:val="center"/>
                </w:tcPr>
                <w:p w14:paraId="20069CE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8</w:t>
                  </w:r>
                </w:p>
              </w:tc>
            </w:tr>
            <w:tr w14:paraId="02CB0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continue"/>
                  <w:vAlign w:val="center"/>
                </w:tcPr>
                <w:p w14:paraId="5B903AFB">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927" w:type="dxa"/>
                  <w:vAlign w:val="center"/>
                </w:tcPr>
                <w:p w14:paraId="30C1514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固化/丝印废气</w:t>
                  </w:r>
                </w:p>
              </w:tc>
              <w:tc>
                <w:tcPr>
                  <w:tcW w:w="2068" w:type="dxa"/>
                  <w:vAlign w:val="center"/>
                </w:tcPr>
                <w:p w14:paraId="5513ADF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集气罩</w:t>
                  </w:r>
                </w:p>
              </w:tc>
              <w:tc>
                <w:tcPr>
                  <w:tcW w:w="2582" w:type="dxa"/>
                  <w:vAlign w:val="center"/>
                </w:tcPr>
                <w:p w14:paraId="75953CE0">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2</w:t>
                  </w:r>
                </w:p>
              </w:tc>
            </w:tr>
            <w:tr w14:paraId="075D1B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continue"/>
                  <w:vAlign w:val="center"/>
                </w:tcPr>
                <w:p w14:paraId="07BE46C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927" w:type="dxa"/>
                  <w:vAlign w:val="center"/>
                </w:tcPr>
                <w:p w14:paraId="0B10A83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车间通风设施</w:t>
                  </w:r>
                </w:p>
              </w:tc>
              <w:tc>
                <w:tcPr>
                  <w:tcW w:w="2068" w:type="dxa"/>
                  <w:vAlign w:val="center"/>
                </w:tcPr>
                <w:p w14:paraId="4253C572">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换气设备</w:t>
                  </w:r>
                </w:p>
              </w:tc>
              <w:tc>
                <w:tcPr>
                  <w:tcW w:w="2582" w:type="dxa"/>
                  <w:vAlign w:val="center"/>
                </w:tcPr>
                <w:p w14:paraId="18B3ACF1">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5</w:t>
                  </w:r>
                </w:p>
              </w:tc>
            </w:tr>
            <w:tr w14:paraId="19F3D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Align w:val="center"/>
                </w:tcPr>
                <w:p w14:paraId="10518A56">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废水</w:t>
                  </w:r>
                </w:p>
              </w:tc>
              <w:tc>
                <w:tcPr>
                  <w:tcW w:w="1927" w:type="dxa"/>
                  <w:vAlign w:val="center"/>
                </w:tcPr>
                <w:p w14:paraId="2B7E6A1B">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生产区</w:t>
                  </w:r>
                </w:p>
              </w:tc>
              <w:tc>
                <w:tcPr>
                  <w:tcW w:w="2068" w:type="dxa"/>
                  <w:vAlign w:val="center"/>
                </w:tcPr>
                <w:p w14:paraId="7A539A7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化粪池、管道铺设</w:t>
                  </w:r>
                </w:p>
              </w:tc>
              <w:tc>
                <w:tcPr>
                  <w:tcW w:w="2582" w:type="dxa"/>
                  <w:vAlign w:val="center"/>
                </w:tcPr>
                <w:p w14:paraId="0213636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8</w:t>
                  </w:r>
                </w:p>
              </w:tc>
            </w:tr>
            <w:tr w14:paraId="69E196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558" w:type="dxa"/>
                  <w:vMerge w:val="restart"/>
                  <w:vAlign w:val="center"/>
                </w:tcPr>
                <w:p w14:paraId="1585A96F">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固废</w:t>
                  </w:r>
                </w:p>
              </w:tc>
              <w:tc>
                <w:tcPr>
                  <w:tcW w:w="1927" w:type="dxa"/>
                  <w:vAlign w:val="center"/>
                </w:tcPr>
                <w:p w14:paraId="05F099D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生活垃圾</w:t>
                  </w:r>
                </w:p>
              </w:tc>
              <w:tc>
                <w:tcPr>
                  <w:tcW w:w="2068" w:type="dxa"/>
                  <w:vAlign w:val="center"/>
                </w:tcPr>
                <w:p w14:paraId="4553EDEE">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垃圾箱</w:t>
                  </w:r>
                </w:p>
              </w:tc>
              <w:tc>
                <w:tcPr>
                  <w:tcW w:w="2582" w:type="dxa"/>
                  <w:vAlign w:val="center"/>
                </w:tcPr>
                <w:p w14:paraId="3696ED9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2</w:t>
                  </w:r>
                </w:p>
              </w:tc>
            </w:tr>
            <w:tr w14:paraId="3BE3C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continue"/>
                  <w:vAlign w:val="center"/>
                </w:tcPr>
                <w:p w14:paraId="2EB15564">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927" w:type="dxa"/>
                  <w:vAlign w:val="center"/>
                </w:tcPr>
                <w:p w14:paraId="78DBBD6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固体废物</w:t>
                  </w:r>
                </w:p>
              </w:tc>
              <w:tc>
                <w:tcPr>
                  <w:tcW w:w="2068" w:type="dxa"/>
                  <w:vAlign w:val="center"/>
                </w:tcPr>
                <w:p w14:paraId="0FB973CA">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lang w:val="en-US" w:eastAsia="zh-CN" w:bidi="ar-SA"/>
                      <w14:textFill>
                        <w14:solidFill>
                          <w14:schemeClr w14:val="tx1"/>
                        </w14:solidFill>
                      </w14:textFill>
                    </w:rPr>
                    <w:t>一般固废间、</w:t>
                  </w: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危废间及防渗措施</w:t>
                  </w:r>
                </w:p>
              </w:tc>
              <w:tc>
                <w:tcPr>
                  <w:tcW w:w="2582" w:type="dxa"/>
                  <w:vAlign w:val="center"/>
                </w:tcPr>
                <w:p w14:paraId="6E5093D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10</w:t>
                  </w:r>
                </w:p>
              </w:tc>
            </w:tr>
            <w:tr w14:paraId="66351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restart"/>
                  <w:vAlign w:val="center"/>
                </w:tcPr>
                <w:p w14:paraId="29690D63">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环境风险</w:t>
                  </w:r>
                </w:p>
              </w:tc>
              <w:tc>
                <w:tcPr>
                  <w:tcW w:w="1927" w:type="dxa"/>
                  <w:vMerge w:val="restart"/>
                  <w:vAlign w:val="center"/>
                </w:tcPr>
                <w:p w14:paraId="67449B5A">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风险事故</w:t>
                  </w:r>
                </w:p>
              </w:tc>
              <w:tc>
                <w:tcPr>
                  <w:tcW w:w="2068" w:type="dxa"/>
                  <w:vAlign w:val="center"/>
                </w:tcPr>
                <w:p w14:paraId="0CA1369B">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储罐区防渗措施</w:t>
                  </w:r>
                </w:p>
              </w:tc>
              <w:tc>
                <w:tcPr>
                  <w:tcW w:w="2582" w:type="dxa"/>
                  <w:vAlign w:val="center"/>
                </w:tcPr>
                <w:p w14:paraId="473D341E">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9</w:t>
                  </w:r>
                </w:p>
              </w:tc>
            </w:tr>
            <w:tr w14:paraId="3655F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continue"/>
                  <w:vAlign w:val="center"/>
                </w:tcPr>
                <w:p w14:paraId="57741991">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927" w:type="dxa"/>
                  <w:vMerge w:val="continue"/>
                  <w:vAlign w:val="center"/>
                </w:tcPr>
                <w:p w14:paraId="393991AF">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2068" w:type="dxa"/>
                  <w:vAlign w:val="center"/>
                </w:tcPr>
                <w:p w14:paraId="4CF9E889">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消防水池及防渗措施</w:t>
                  </w:r>
                </w:p>
              </w:tc>
              <w:tc>
                <w:tcPr>
                  <w:tcW w:w="2582" w:type="dxa"/>
                  <w:vAlign w:val="center"/>
                </w:tcPr>
                <w:p w14:paraId="1C5DBB5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s="Times New Roman"/>
                      <w:color w:val="000000" w:themeColor="text1"/>
                      <w:kern w:val="2"/>
                      <w:sz w:val="21"/>
                      <w:szCs w:val="21"/>
                      <w:lang w:val="en-US" w:eastAsia="zh-CN" w:bidi="ar-SA"/>
                      <w14:textFill>
                        <w14:solidFill>
                          <w14:schemeClr w14:val="tx1"/>
                        </w14:solidFill>
                      </w14:textFill>
                    </w:rPr>
                    <w:t>9</w:t>
                  </w:r>
                </w:p>
              </w:tc>
            </w:tr>
            <w:tr w14:paraId="3DF6A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Merge w:val="continue"/>
                  <w:vAlign w:val="center"/>
                </w:tcPr>
                <w:p w14:paraId="51BDE9E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927" w:type="dxa"/>
                  <w:vMerge w:val="continue"/>
                  <w:vAlign w:val="center"/>
                </w:tcPr>
                <w:p w14:paraId="34171E9C">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2068" w:type="dxa"/>
                  <w:vAlign w:val="center"/>
                </w:tcPr>
                <w:p w14:paraId="2653618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事故水池及防渗措施</w:t>
                  </w:r>
                </w:p>
              </w:tc>
              <w:tc>
                <w:tcPr>
                  <w:tcW w:w="2582" w:type="dxa"/>
                  <w:vAlign w:val="center"/>
                </w:tcPr>
                <w:p w14:paraId="122A0392">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8</w:t>
                  </w:r>
                </w:p>
              </w:tc>
            </w:tr>
            <w:tr w14:paraId="57CDC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8" w:type="dxa"/>
                  <w:vAlign w:val="center"/>
                </w:tcPr>
                <w:p w14:paraId="408902A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绿化</w:t>
                  </w:r>
                </w:p>
              </w:tc>
              <w:tc>
                <w:tcPr>
                  <w:tcW w:w="1927" w:type="dxa"/>
                  <w:vAlign w:val="center"/>
                </w:tcPr>
                <w:p w14:paraId="6C2D804A">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w:t>
                  </w:r>
                </w:p>
              </w:tc>
              <w:tc>
                <w:tcPr>
                  <w:tcW w:w="2068" w:type="dxa"/>
                  <w:vAlign w:val="center"/>
                </w:tcPr>
                <w:p w14:paraId="66128E45">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厂区绿化</w:t>
                  </w:r>
                </w:p>
              </w:tc>
              <w:tc>
                <w:tcPr>
                  <w:tcW w:w="2582" w:type="dxa"/>
                  <w:vAlign w:val="center"/>
                </w:tcPr>
                <w:p w14:paraId="707DBAA1">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5</w:t>
                  </w:r>
                </w:p>
              </w:tc>
            </w:tr>
            <w:tr w14:paraId="54CBA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53" w:type="dxa"/>
                  <w:gridSpan w:val="3"/>
                  <w:vAlign w:val="center"/>
                </w:tcPr>
                <w:p w14:paraId="6C1C8D29">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合计</w:t>
                  </w:r>
                </w:p>
              </w:tc>
              <w:tc>
                <w:tcPr>
                  <w:tcW w:w="2582" w:type="dxa"/>
                  <w:vAlign w:val="center"/>
                </w:tcPr>
                <w:p w14:paraId="55104A78">
                  <w:pPr>
                    <w:widowControl w:val="0"/>
                    <w:overflowPunct w:val="0"/>
                    <w:topLinePunct/>
                    <w:bidi w:val="0"/>
                    <w:spacing w:line="240" w:lineRule="auto"/>
                    <w:ind w:firstLine="0"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81</w:t>
                  </w:r>
                </w:p>
              </w:tc>
            </w:tr>
          </w:tbl>
          <w:p w14:paraId="2ED7CCF6">
            <w:pPr>
              <w:spacing w:line="360" w:lineRule="auto"/>
              <w:ind w:firstLine="482" w:firstLineChars="200"/>
              <w:rPr>
                <w:rFonts w:hint="default" w:ascii="Times New Roman" w:hAnsi="Times New Roman" w:cs="Times New Roman"/>
                <w:b/>
                <w:bCs/>
                <w:color w:val="auto"/>
                <w:sz w:val="24"/>
                <w:szCs w:val="22"/>
                <w:lang w:val="en-US" w:eastAsia="zh-CN"/>
              </w:rPr>
            </w:pPr>
          </w:p>
          <w:p w14:paraId="499C9EF1">
            <w:pPr>
              <w:spacing w:line="360" w:lineRule="auto"/>
              <w:ind w:firstLine="482" w:firstLineChars="200"/>
              <w:rPr>
                <w:rFonts w:hint="default" w:ascii="Times New Roman" w:hAnsi="Times New Roman" w:cs="Times New Roman"/>
                <w:b/>
                <w:bCs/>
                <w:color w:val="auto"/>
                <w:sz w:val="24"/>
                <w:szCs w:val="22"/>
                <w:lang w:val="en-US" w:eastAsia="zh-CN"/>
              </w:rPr>
            </w:pPr>
            <w:r>
              <w:rPr>
                <w:rFonts w:hint="default" w:ascii="Times New Roman" w:hAnsi="Times New Roman" w:cs="Times New Roman"/>
                <w:b/>
                <w:bCs/>
                <w:color w:val="auto"/>
                <w:sz w:val="24"/>
                <w:szCs w:val="22"/>
                <w:lang w:val="en-US" w:eastAsia="zh-CN"/>
              </w:rPr>
              <w:t>10、排污许可证衔接管理</w:t>
            </w:r>
          </w:p>
          <w:p w14:paraId="776FE47D">
            <w:pPr>
              <w:pStyle w:val="44"/>
              <w:rPr>
                <w:rFonts w:hint="default" w:ascii="Times New Roman" w:hAnsi="Times New Roman" w:cs="Times New Roman"/>
                <w:b/>
                <w:color w:val="auto"/>
                <w:kern w:val="0"/>
                <w:sz w:val="28"/>
                <w:szCs w:val="28"/>
                <w:vertAlign w:val="baseline"/>
              </w:rPr>
            </w:pPr>
            <w:r>
              <w:rPr>
                <w:rFonts w:hint="default" w:ascii="Times New Roman" w:hAnsi="Times New Roman" w:cs="Times New Roman"/>
                <w:color w:val="auto"/>
                <w:sz w:val="24"/>
                <w:highlight w:val="none"/>
                <w:lang w:val="en-US" w:eastAsia="zh-CN"/>
              </w:rPr>
              <w:t>控制污染物排放许可制（以下称排污许可制）是依法规范企事业单位排污行为的基础性环境管理制度，环境保护部门通过对企事业单位发放排污许可证并依证监管实施排污许可制。环境影响评价制度是建设项目的环境准入门槛，排污许可制是企事业单位生产运营期排污的法律依据，必须做好充分衔接，实现从污染预防到污染治理和排放控制的全过程监管。排污单位适用的污染物排放标准、重点污染物总量控制要求发生变化，需要对排污许可证进行变更的，审批部门可以依法对排污许可证相应事项进行变更。</w:t>
            </w:r>
          </w:p>
        </w:tc>
      </w:tr>
    </w:tbl>
    <w:p w14:paraId="1A684461">
      <w:pPr>
        <w:pStyle w:val="44"/>
        <w:ind w:left="0" w:leftChars="0" w:firstLine="0" w:firstLineChars="0"/>
        <w:rPr>
          <w:rFonts w:hint="default" w:ascii="Times New Roman" w:hAnsi="Times New Roman" w:cs="Times New Roman"/>
          <w:b/>
          <w:color w:val="auto"/>
          <w:kern w:val="0"/>
          <w:sz w:val="28"/>
          <w:szCs w:val="28"/>
        </w:rPr>
        <w:sectPr>
          <w:pgSz w:w="11907" w:h="16840"/>
          <w:pgMar w:top="1701" w:right="1531" w:bottom="2127"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14:paraId="589CE9D7">
      <w:pPr>
        <w:pStyle w:val="26"/>
        <w:jc w:val="center"/>
        <w:outlineLvl w:val="0"/>
        <w:rPr>
          <w:rFonts w:hint="default" w:ascii="Times New Roman" w:hAnsi="Times New Roman" w:eastAsia="黑体" w:cs="Times New Roman"/>
          <w:snapToGrid w:val="0"/>
          <w:color w:val="0000FF"/>
          <w:sz w:val="30"/>
          <w:szCs w:val="30"/>
        </w:rPr>
      </w:pPr>
      <w:r>
        <w:rPr>
          <w:rFonts w:hint="default" w:ascii="Times New Roman" w:hAnsi="Times New Roman" w:eastAsia="黑体" w:cs="Times New Roman"/>
          <w:snapToGrid w:val="0"/>
          <w:color w:val="0000FF"/>
          <w:sz w:val="30"/>
          <w:szCs w:val="30"/>
        </w:rPr>
        <w:t>五、</w:t>
      </w:r>
      <w:bookmarkStart w:id="11" w:name="_Hlk54167917"/>
      <w:r>
        <w:rPr>
          <w:rFonts w:hint="default" w:ascii="Times New Roman" w:hAnsi="Times New Roman" w:eastAsia="黑体" w:cs="Times New Roman"/>
          <w:snapToGrid w:val="0"/>
          <w:color w:val="0000FF"/>
          <w:sz w:val="30"/>
          <w:szCs w:val="30"/>
        </w:rPr>
        <w:t>环境保护措施监督检查清单</w:t>
      </w:r>
      <w:bookmarkEnd w:id="11"/>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40"/>
        <w:gridCol w:w="1577"/>
        <w:gridCol w:w="1238"/>
        <w:gridCol w:w="2602"/>
        <w:gridCol w:w="2742"/>
      </w:tblGrid>
      <w:tr w14:paraId="1DFC6F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tcBorders>
              <w:tl2br w:val="single" w:color="auto" w:sz="4" w:space="0"/>
            </w:tcBorders>
            <w:noWrap w:val="0"/>
            <w:vAlign w:val="center"/>
          </w:tcPr>
          <w:p w14:paraId="6DBF0475">
            <w:pPr>
              <w:keepNext w:val="0"/>
              <w:keepLines w:val="0"/>
              <w:pageBreakBefore w:val="0"/>
              <w:kinsoku/>
              <w:overflowPunct/>
              <w:topLinePunct w:val="0"/>
              <w:autoSpaceDE/>
              <w:autoSpaceDN/>
              <w:bidi w:val="0"/>
              <w:adjustRightInd w:val="0"/>
              <w:snapToGrid w:val="0"/>
              <w:spacing w:line="240" w:lineRule="auto"/>
              <w:ind w:left="0" w:leftChars="0" w:firstLine="0" w:firstLineChars="0"/>
              <w:rPr>
                <w:rFonts w:hint="default" w:ascii="Times New Roman" w:hAnsi="Times New Roman" w:eastAsia="宋体" w:cs="Times New Roman"/>
                <w:b/>
                <w:bCs/>
                <w:color w:val="0000FF"/>
                <w:sz w:val="24"/>
                <w:szCs w:val="24"/>
              </w:rPr>
            </w:pPr>
            <w:r>
              <w:rPr>
                <w:rFonts w:hint="default" w:ascii="Times New Roman" w:hAnsi="Times New Roman" w:eastAsia="宋体" w:cs="Times New Roman"/>
                <w:b/>
                <w:bCs/>
                <w:color w:val="0000FF"/>
                <w:sz w:val="24"/>
                <w:szCs w:val="24"/>
              </w:rPr>
              <w:t>内容</w:t>
            </w:r>
          </w:p>
          <w:p w14:paraId="19F051F8">
            <w:pPr>
              <w:keepNext w:val="0"/>
              <w:keepLines w:val="0"/>
              <w:pageBreakBefore w:val="0"/>
              <w:kinsoku/>
              <w:overflowPunct/>
              <w:topLinePunct w:val="0"/>
              <w:autoSpaceDE/>
              <w:autoSpaceDN/>
              <w:bidi w:val="0"/>
              <w:adjustRightInd w:val="0"/>
              <w:snapToGrid w:val="0"/>
              <w:spacing w:line="240" w:lineRule="auto"/>
              <w:ind w:left="0" w:leftChars="0"/>
              <w:rPr>
                <w:rFonts w:hint="default" w:ascii="Times New Roman" w:hAnsi="Times New Roman" w:eastAsia="宋体" w:cs="Times New Roman"/>
                <w:b/>
                <w:bCs/>
                <w:color w:val="0000FF"/>
                <w:sz w:val="24"/>
                <w:szCs w:val="24"/>
              </w:rPr>
            </w:pPr>
          </w:p>
          <w:p w14:paraId="40B8FFDF">
            <w:pPr>
              <w:keepNext w:val="0"/>
              <w:keepLines w:val="0"/>
              <w:pageBreakBefore w:val="0"/>
              <w:kinsoku/>
              <w:overflowPunct/>
              <w:topLinePunct w:val="0"/>
              <w:autoSpaceDE/>
              <w:autoSpaceDN/>
              <w:bidi w:val="0"/>
              <w:adjustRightInd w:val="0"/>
              <w:snapToGrid w:val="0"/>
              <w:spacing w:line="240" w:lineRule="auto"/>
              <w:ind w:left="0" w:leftChars="0"/>
              <w:rPr>
                <w:rFonts w:hint="default" w:ascii="Times New Roman" w:hAnsi="Times New Roman" w:eastAsia="宋体" w:cs="Times New Roman"/>
                <w:b/>
                <w:bCs/>
                <w:color w:val="0000FF"/>
                <w:sz w:val="24"/>
                <w:szCs w:val="24"/>
              </w:rPr>
            </w:pPr>
          </w:p>
          <w:p w14:paraId="38A55252">
            <w:pPr>
              <w:keepNext w:val="0"/>
              <w:keepLines w:val="0"/>
              <w:pageBreakBefore w:val="0"/>
              <w:kinsoku/>
              <w:overflowPunct/>
              <w:topLinePunct w:val="0"/>
              <w:autoSpaceDE/>
              <w:autoSpaceDN/>
              <w:bidi w:val="0"/>
              <w:adjustRightInd w:val="0"/>
              <w:snapToGrid w:val="0"/>
              <w:spacing w:line="240" w:lineRule="auto"/>
              <w:ind w:left="0" w:leftChars="0"/>
              <w:rPr>
                <w:rFonts w:hint="default" w:ascii="Times New Roman" w:hAnsi="Times New Roman" w:eastAsia="宋体" w:cs="Times New Roman"/>
                <w:b/>
                <w:bCs/>
                <w:color w:val="0000FF"/>
                <w:sz w:val="24"/>
                <w:szCs w:val="24"/>
              </w:rPr>
            </w:pPr>
            <w:r>
              <w:rPr>
                <w:rFonts w:hint="default" w:ascii="Times New Roman" w:hAnsi="Times New Roman" w:eastAsia="宋体" w:cs="Times New Roman"/>
                <w:b/>
                <w:bCs/>
                <w:color w:val="0000FF"/>
                <w:sz w:val="24"/>
                <w:szCs w:val="24"/>
              </w:rPr>
              <w:t>要素</w:t>
            </w:r>
          </w:p>
        </w:tc>
        <w:tc>
          <w:tcPr>
            <w:tcW w:w="1577" w:type="dxa"/>
            <w:noWrap w:val="0"/>
            <w:vAlign w:val="center"/>
          </w:tcPr>
          <w:p w14:paraId="7B90923D">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b/>
                <w:bCs/>
                <w:color w:val="0000FF"/>
                <w:sz w:val="24"/>
                <w:szCs w:val="24"/>
              </w:rPr>
            </w:pPr>
            <w:r>
              <w:rPr>
                <w:rFonts w:hint="default" w:ascii="Times New Roman" w:hAnsi="Times New Roman" w:eastAsia="宋体" w:cs="Times New Roman"/>
                <w:b/>
                <w:bCs/>
                <w:color w:val="0000FF"/>
                <w:sz w:val="24"/>
                <w:szCs w:val="24"/>
              </w:rPr>
              <w:t>排放口(编号、</w:t>
            </w:r>
          </w:p>
          <w:p w14:paraId="2D33D114">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b/>
                <w:bCs/>
                <w:color w:val="0000FF"/>
                <w:sz w:val="24"/>
                <w:szCs w:val="24"/>
              </w:rPr>
            </w:pPr>
            <w:r>
              <w:rPr>
                <w:rFonts w:hint="default" w:ascii="Times New Roman" w:hAnsi="Times New Roman" w:eastAsia="宋体" w:cs="Times New Roman"/>
                <w:b/>
                <w:bCs/>
                <w:color w:val="0000FF"/>
                <w:sz w:val="24"/>
                <w:szCs w:val="24"/>
              </w:rPr>
              <w:t>名称)/污染源</w:t>
            </w:r>
          </w:p>
        </w:tc>
        <w:tc>
          <w:tcPr>
            <w:tcW w:w="1238" w:type="dxa"/>
            <w:noWrap w:val="0"/>
            <w:vAlign w:val="center"/>
          </w:tcPr>
          <w:p w14:paraId="23D4B7E3">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b/>
                <w:bCs/>
                <w:color w:val="0000FF"/>
                <w:sz w:val="24"/>
                <w:szCs w:val="24"/>
              </w:rPr>
            </w:pPr>
            <w:r>
              <w:rPr>
                <w:rFonts w:hint="default" w:ascii="Times New Roman" w:hAnsi="Times New Roman" w:eastAsia="宋体" w:cs="Times New Roman"/>
                <w:b/>
                <w:bCs/>
                <w:color w:val="0000FF"/>
                <w:sz w:val="24"/>
                <w:szCs w:val="24"/>
              </w:rPr>
              <w:t>污染物项目</w:t>
            </w:r>
          </w:p>
        </w:tc>
        <w:tc>
          <w:tcPr>
            <w:tcW w:w="2602" w:type="dxa"/>
            <w:noWrap w:val="0"/>
            <w:vAlign w:val="center"/>
          </w:tcPr>
          <w:p w14:paraId="0D3ECB1D">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b/>
                <w:bCs/>
                <w:color w:val="0000FF"/>
                <w:sz w:val="24"/>
                <w:szCs w:val="24"/>
              </w:rPr>
            </w:pPr>
            <w:r>
              <w:rPr>
                <w:rFonts w:hint="default" w:ascii="Times New Roman" w:hAnsi="Times New Roman" w:eastAsia="宋体" w:cs="Times New Roman"/>
                <w:b/>
                <w:bCs/>
                <w:color w:val="0000FF"/>
                <w:sz w:val="24"/>
                <w:szCs w:val="24"/>
              </w:rPr>
              <w:t>环境保护措施</w:t>
            </w:r>
          </w:p>
        </w:tc>
        <w:tc>
          <w:tcPr>
            <w:tcW w:w="2742" w:type="dxa"/>
            <w:noWrap w:val="0"/>
            <w:vAlign w:val="center"/>
          </w:tcPr>
          <w:p w14:paraId="123B214A">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b/>
                <w:bCs/>
                <w:color w:val="0000FF"/>
                <w:sz w:val="24"/>
                <w:szCs w:val="24"/>
              </w:rPr>
            </w:pPr>
            <w:r>
              <w:rPr>
                <w:rFonts w:hint="default" w:ascii="Times New Roman" w:hAnsi="Times New Roman" w:eastAsia="宋体" w:cs="Times New Roman"/>
                <w:b/>
                <w:bCs/>
                <w:color w:val="0000FF"/>
                <w:sz w:val="24"/>
                <w:szCs w:val="24"/>
              </w:rPr>
              <w:t>执行标准</w:t>
            </w:r>
          </w:p>
        </w:tc>
      </w:tr>
      <w:tr w14:paraId="3A35CA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840" w:type="dxa"/>
            <w:vMerge w:val="restart"/>
            <w:noWrap w:val="0"/>
            <w:vAlign w:val="center"/>
          </w:tcPr>
          <w:p w14:paraId="24583682">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大气环境</w:t>
            </w:r>
          </w:p>
        </w:tc>
        <w:tc>
          <w:tcPr>
            <w:tcW w:w="1577" w:type="dxa"/>
            <w:vMerge w:val="restart"/>
            <w:noWrap w:val="0"/>
            <w:vAlign w:val="center"/>
          </w:tcPr>
          <w:p w14:paraId="25CC890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气瓶检验站废气排放口DA001</w:t>
            </w:r>
          </w:p>
          <w:p w14:paraId="68534DB0">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（焚烧废气、抛丸废气、</w:t>
            </w:r>
          </w:p>
          <w:p w14:paraId="1ADE810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喷塑废气、</w:t>
            </w:r>
          </w:p>
          <w:p w14:paraId="78A660E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固化/丝印废气）</w:t>
            </w:r>
          </w:p>
        </w:tc>
        <w:tc>
          <w:tcPr>
            <w:tcW w:w="1238" w:type="dxa"/>
            <w:noWrap w:val="0"/>
            <w:vAlign w:val="center"/>
          </w:tcPr>
          <w:p w14:paraId="7D34FDD0">
            <w:pPr>
              <w:pStyle w:val="40"/>
              <w:bidi w:val="0"/>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颗粒物</w:t>
            </w:r>
          </w:p>
        </w:tc>
        <w:tc>
          <w:tcPr>
            <w:tcW w:w="2602" w:type="dxa"/>
            <w:vMerge w:val="restart"/>
            <w:noWrap w:val="0"/>
            <w:vAlign w:val="center"/>
          </w:tcPr>
          <w:p w14:paraId="77C164D4">
            <w:pPr>
              <w:pStyle w:val="40"/>
              <w:bidi w:val="0"/>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焚烧废气</w:t>
            </w:r>
            <w:r>
              <w:rPr>
                <w:rFonts w:hint="eastAsia" w:ascii="Times New Roman" w:hAnsi="Times New Roman" w:eastAsia="宋体" w:cs="Times New Roman"/>
                <w:color w:val="0000FF"/>
                <w:sz w:val="24"/>
                <w:szCs w:val="24"/>
                <w:lang w:val="en-US" w:eastAsia="zh-CN"/>
              </w:rPr>
              <w:t>采用</w:t>
            </w:r>
            <w:r>
              <w:rPr>
                <w:rFonts w:hint="default" w:ascii="Times New Roman" w:hAnsi="Times New Roman" w:cs="Times New Roman"/>
                <w:color w:val="0000FF"/>
                <w:sz w:val="24"/>
                <w:szCs w:val="24"/>
                <w:lang w:val="en-US" w:eastAsia="zh-CN"/>
              </w:rPr>
              <w:t>低氮燃烧+水喷淋</w:t>
            </w:r>
            <w:r>
              <w:rPr>
                <w:rFonts w:hint="eastAsia" w:cs="Times New Roman"/>
                <w:color w:val="0000FF"/>
                <w:sz w:val="24"/>
                <w:szCs w:val="24"/>
                <w:lang w:val="en-US" w:eastAsia="zh-CN"/>
              </w:rPr>
              <w:t>处理</w:t>
            </w:r>
          </w:p>
          <w:p w14:paraId="4AEFCCD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i w:val="0"/>
                <w:caps w:val="0"/>
                <w:color w:val="0000FF"/>
                <w:sz w:val="24"/>
                <w:szCs w:val="24"/>
                <w:u w:val="none"/>
                <w:lang w:val="en-US" w:eastAsia="zh-CN"/>
              </w:rPr>
            </w:pPr>
            <w:r>
              <w:rPr>
                <w:rFonts w:hint="default" w:ascii="Times New Roman" w:hAnsi="Times New Roman" w:eastAsia="宋体" w:cs="Times New Roman"/>
                <w:color w:val="0000FF"/>
                <w:sz w:val="24"/>
                <w:szCs w:val="24"/>
                <w:lang w:val="en-US" w:eastAsia="zh-CN"/>
              </w:rPr>
              <w:t>抛丸废气</w:t>
            </w:r>
            <w:r>
              <w:rPr>
                <w:rFonts w:hint="default" w:ascii="Times New Roman" w:hAnsi="Times New Roman" w:cs="Times New Roman"/>
                <w:i w:val="0"/>
                <w:caps w:val="0"/>
                <w:color w:val="0000FF"/>
                <w:sz w:val="24"/>
                <w:szCs w:val="24"/>
                <w:u w:val="none"/>
                <w:lang w:val="en-US" w:eastAsia="zh-CN"/>
              </w:rPr>
              <w:t>布袋除尘器</w:t>
            </w:r>
            <w:r>
              <w:rPr>
                <w:rFonts w:hint="eastAsia" w:cs="Times New Roman"/>
                <w:i w:val="0"/>
                <w:caps w:val="0"/>
                <w:color w:val="0000FF"/>
                <w:sz w:val="24"/>
                <w:szCs w:val="24"/>
                <w:u w:val="none"/>
                <w:lang w:val="en-US" w:eastAsia="zh-CN"/>
              </w:rPr>
              <w:t>处理</w:t>
            </w:r>
          </w:p>
          <w:p w14:paraId="0B5369A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喷塑废气滤筒除尘器</w:t>
            </w:r>
            <w:r>
              <w:rPr>
                <w:rFonts w:hint="eastAsia" w:cs="Times New Roman"/>
                <w:color w:val="0000FF"/>
                <w:sz w:val="24"/>
                <w:szCs w:val="24"/>
                <w:lang w:val="en-US" w:eastAsia="zh-CN"/>
              </w:rPr>
              <w:t>处理</w:t>
            </w:r>
          </w:p>
          <w:p w14:paraId="75F5D3BA">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固化/丝印废气</w:t>
            </w:r>
            <w:r>
              <w:rPr>
                <w:rFonts w:hint="default" w:ascii="Times New Roman" w:hAnsi="Times New Roman" w:cs="Times New Roman"/>
                <w:color w:val="0000FF"/>
                <w:sz w:val="24"/>
                <w:szCs w:val="24"/>
                <w:lang w:val="en-US" w:eastAsia="zh-CN"/>
              </w:rPr>
              <w:t>集气罩</w:t>
            </w:r>
            <w:r>
              <w:rPr>
                <w:rFonts w:hint="eastAsia" w:cs="Times New Roman"/>
                <w:color w:val="0000FF"/>
                <w:sz w:val="24"/>
                <w:szCs w:val="24"/>
                <w:lang w:val="en-US" w:eastAsia="zh-CN"/>
              </w:rPr>
              <w:t>收集</w:t>
            </w:r>
          </w:p>
        </w:tc>
        <w:tc>
          <w:tcPr>
            <w:tcW w:w="2742" w:type="dxa"/>
            <w:vMerge w:val="restart"/>
            <w:noWrap w:val="0"/>
            <w:vAlign w:val="center"/>
          </w:tcPr>
          <w:p w14:paraId="462EA353">
            <w:pPr>
              <w:pStyle w:val="40"/>
              <w:bidi w:val="0"/>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《大气污染物综合排放标准》（GB16297-1996）</w:t>
            </w:r>
          </w:p>
        </w:tc>
      </w:tr>
      <w:tr w14:paraId="4B886A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840" w:type="dxa"/>
            <w:vMerge w:val="continue"/>
            <w:noWrap w:val="0"/>
            <w:vAlign w:val="center"/>
          </w:tcPr>
          <w:p w14:paraId="2E83456F">
            <w:pPr>
              <w:pStyle w:val="40"/>
              <w:bidi w:val="0"/>
              <w:rPr>
                <w:color w:val="0000FF"/>
              </w:rPr>
            </w:pPr>
          </w:p>
        </w:tc>
        <w:tc>
          <w:tcPr>
            <w:tcW w:w="1577" w:type="dxa"/>
            <w:vMerge w:val="continue"/>
            <w:noWrap w:val="0"/>
            <w:vAlign w:val="center"/>
          </w:tcPr>
          <w:p w14:paraId="27CB74DD">
            <w:pPr>
              <w:pStyle w:val="40"/>
              <w:bidi w:val="0"/>
              <w:rPr>
                <w:color w:val="0000FF"/>
              </w:rPr>
            </w:pPr>
          </w:p>
        </w:tc>
        <w:tc>
          <w:tcPr>
            <w:tcW w:w="1238" w:type="dxa"/>
            <w:noWrap w:val="0"/>
            <w:vAlign w:val="center"/>
          </w:tcPr>
          <w:p w14:paraId="4DBDE52C">
            <w:pPr>
              <w:pStyle w:val="40"/>
              <w:bidi w:val="0"/>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SO</w:t>
            </w:r>
            <w:r>
              <w:rPr>
                <w:rFonts w:hint="default" w:ascii="Times New Roman" w:hAnsi="Times New Roman" w:cs="Times New Roman"/>
                <w:color w:val="0000FF"/>
                <w:sz w:val="24"/>
                <w:szCs w:val="24"/>
                <w:vertAlign w:val="subscript"/>
                <w:lang w:val="en-US" w:eastAsia="zh-CN"/>
              </w:rPr>
              <w:t>2</w:t>
            </w:r>
          </w:p>
        </w:tc>
        <w:tc>
          <w:tcPr>
            <w:tcW w:w="2602" w:type="dxa"/>
            <w:vMerge w:val="continue"/>
            <w:noWrap w:val="0"/>
            <w:vAlign w:val="center"/>
          </w:tcPr>
          <w:p w14:paraId="42C2EEFC">
            <w:pPr>
              <w:pStyle w:val="40"/>
              <w:bidi w:val="0"/>
              <w:rPr>
                <w:rFonts w:hint="default" w:ascii="Times New Roman" w:hAnsi="Times New Roman" w:cs="Times New Roman"/>
                <w:color w:val="0000FF"/>
                <w:sz w:val="24"/>
                <w:szCs w:val="24"/>
                <w:lang w:val="en-US" w:eastAsia="zh-CN"/>
              </w:rPr>
            </w:pPr>
          </w:p>
        </w:tc>
        <w:tc>
          <w:tcPr>
            <w:tcW w:w="2742" w:type="dxa"/>
            <w:vMerge w:val="continue"/>
            <w:noWrap w:val="0"/>
            <w:vAlign w:val="center"/>
          </w:tcPr>
          <w:p w14:paraId="20C2BC63">
            <w:pPr>
              <w:pStyle w:val="40"/>
              <w:bidi w:val="0"/>
              <w:rPr>
                <w:rFonts w:hint="default" w:ascii="Times New Roman" w:hAnsi="Times New Roman" w:cs="Times New Roman"/>
                <w:color w:val="0000FF"/>
                <w:sz w:val="24"/>
                <w:szCs w:val="24"/>
                <w:lang w:val="en-US" w:eastAsia="zh-CN"/>
              </w:rPr>
            </w:pPr>
          </w:p>
        </w:tc>
      </w:tr>
      <w:tr w14:paraId="28EC93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840" w:type="dxa"/>
            <w:vMerge w:val="continue"/>
            <w:noWrap w:val="0"/>
            <w:vAlign w:val="center"/>
          </w:tcPr>
          <w:p w14:paraId="21BD2344">
            <w:pPr>
              <w:pStyle w:val="40"/>
              <w:bidi w:val="0"/>
              <w:rPr>
                <w:rFonts w:hint="default" w:ascii="Times New Roman" w:hAnsi="Times New Roman" w:cs="Times New Roman"/>
                <w:color w:val="0000FF"/>
                <w:sz w:val="24"/>
                <w:szCs w:val="24"/>
                <w:lang w:val="en-US" w:eastAsia="zh-CN"/>
              </w:rPr>
            </w:pPr>
          </w:p>
        </w:tc>
        <w:tc>
          <w:tcPr>
            <w:tcW w:w="1577" w:type="dxa"/>
            <w:vMerge w:val="continue"/>
            <w:noWrap w:val="0"/>
            <w:vAlign w:val="center"/>
          </w:tcPr>
          <w:p w14:paraId="655E68E3">
            <w:pPr>
              <w:pStyle w:val="40"/>
              <w:bidi w:val="0"/>
              <w:rPr>
                <w:rFonts w:hint="default" w:ascii="Times New Roman" w:hAnsi="Times New Roman" w:cs="Times New Roman"/>
                <w:color w:val="0000FF"/>
                <w:sz w:val="24"/>
                <w:szCs w:val="24"/>
                <w:lang w:val="en-US" w:eastAsia="zh-CN"/>
              </w:rPr>
            </w:pPr>
          </w:p>
        </w:tc>
        <w:tc>
          <w:tcPr>
            <w:tcW w:w="1238" w:type="dxa"/>
            <w:noWrap w:val="0"/>
            <w:vAlign w:val="center"/>
          </w:tcPr>
          <w:p w14:paraId="56BF5F52">
            <w:pPr>
              <w:pStyle w:val="40"/>
              <w:bidi w:val="0"/>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NOx</w:t>
            </w:r>
          </w:p>
        </w:tc>
        <w:tc>
          <w:tcPr>
            <w:tcW w:w="2602" w:type="dxa"/>
            <w:vMerge w:val="continue"/>
            <w:noWrap w:val="0"/>
            <w:vAlign w:val="center"/>
          </w:tcPr>
          <w:p w14:paraId="52F8F778">
            <w:pPr>
              <w:pStyle w:val="40"/>
              <w:bidi w:val="0"/>
              <w:rPr>
                <w:rFonts w:hint="default" w:ascii="Times New Roman" w:hAnsi="Times New Roman" w:cs="Times New Roman"/>
                <w:color w:val="0000FF"/>
                <w:sz w:val="24"/>
                <w:szCs w:val="24"/>
                <w:lang w:val="en-US" w:eastAsia="zh-CN"/>
              </w:rPr>
            </w:pPr>
          </w:p>
        </w:tc>
        <w:tc>
          <w:tcPr>
            <w:tcW w:w="2742" w:type="dxa"/>
            <w:vMerge w:val="continue"/>
            <w:noWrap w:val="0"/>
            <w:vAlign w:val="center"/>
          </w:tcPr>
          <w:p w14:paraId="3D21B56B">
            <w:pPr>
              <w:pStyle w:val="40"/>
              <w:bidi w:val="0"/>
              <w:rPr>
                <w:rFonts w:hint="default" w:ascii="Times New Roman" w:hAnsi="Times New Roman" w:cs="Times New Roman"/>
                <w:color w:val="0000FF"/>
                <w:sz w:val="24"/>
                <w:szCs w:val="24"/>
                <w:lang w:val="en-US" w:eastAsia="zh-CN"/>
              </w:rPr>
            </w:pPr>
          </w:p>
        </w:tc>
      </w:tr>
      <w:tr w14:paraId="4CD559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840" w:type="dxa"/>
            <w:vMerge w:val="continue"/>
            <w:noWrap w:val="0"/>
            <w:vAlign w:val="center"/>
          </w:tcPr>
          <w:p w14:paraId="31979FB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p>
        </w:tc>
        <w:tc>
          <w:tcPr>
            <w:tcW w:w="1577" w:type="dxa"/>
            <w:vMerge w:val="continue"/>
            <w:noWrap w:val="0"/>
            <w:vAlign w:val="center"/>
          </w:tcPr>
          <w:p w14:paraId="2006BE6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cs="Times New Roman"/>
                <w:color w:val="0000FF"/>
                <w:sz w:val="24"/>
                <w:szCs w:val="24"/>
                <w:lang w:val="en-US" w:eastAsia="zh-CN"/>
              </w:rPr>
            </w:pPr>
          </w:p>
        </w:tc>
        <w:tc>
          <w:tcPr>
            <w:tcW w:w="1238" w:type="dxa"/>
            <w:noWrap w:val="0"/>
            <w:vAlign w:val="center"/>
          </w:tcPr>
          <w:p w14:paraId="1E2EC9D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cs="Times New Roman"/>
                <w:color w:val="0000FF"/>
                <w:sz w:val="24"/>
                <w:szCs w:val="24"/>
                <w:lang w:val="en-US" w:eastAsia="zh-CN"/>
              </w:rPr>
              <w:t>非甲烷总烃</w:t>
            </w:r>
          </w:p>
        </w:tc>
        <w:tc>
          <w:tcPr>
            <w:tcW w:w="2602" w:type="dxa"/>
            <w:vMerge w:val="continue"/>
            <w:noWrap w:val="0"/>
            <w:vAlign w:val="center"/>
          </w:tcPr>
          <w:p w14:paraId="74AFD0C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i w:val="0"/>
                <w:caps w:val="0"/>
                <w:color w:val="0000FF"/>
                <w:sz w:val="24"/>
                <w:szCs w:val="24"/>
                <w:u w:val="none"/>
                <w:lang w:val="en-US" w:eastAsia="zh-CN"/>
              </w:rPr>
            </w:pPr>
          </w:p>
        </w:tc>
        <w:tc>
          <w:tcPr>
            <w:tcW w:w="2742" w:type="dxa"/>
            <w:noWrap w:val="0"/>
            <w:vAlign w:val="center"/>
          </w:tcPr>
          <w:p w14:paraId="53FFE2A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cs="Times New Roman"/>
                <w:color w:val="0000FF"/>
                <w:kern w:val="0"/>
                <w:sz w:val="24"/>
                <w:szCs w:val="24"/>
                <w:lang w:val="en-US" w:eastAsia="zh-CN"/>
              </w:rPr>
              <w:t>《印刷工业大气污染物排放标准》（GB41616-2022）</w:t>
            </w:r>
          </w:p>
        </w:tc>
      </w:tr>
      <w:tr w14:paraId="2F9856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5" w:hRule="atLeast"/>
          <w:jc w:val="center"/>
        </w:trPr>
        <w:tc>
          <w:tcPr>
            <w:tcW w:w="840" w:type="dxa"/>
            <w:vMerge w:val="continue"/>
            <w:noWrap w:val="0"/>
            <w:vAlign w:val="center"/>
          </w:tcPr>
          <w:p w14:paraId="5E81652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p>
        </w:tc>
        <w:tc>
          <w:tcPr>
            <w:tcW w:w="1577" w:type="dxa"/>
            <w:vMerge w:val="continue"/>
            <w:noWrap w:val="0"/>
            <w:vAlign w:val="center"/>
          </w:tcPr>
          <w:p w14:paraId="3950FE6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p>
        </w:tc>
        <w:tc>
          <w:tcPr>
            <w:tcW w:w="1238" w:type="dxa"/>
            <w:noWrap w:val="0"/>
            <w:vAlign w:val="center"/>
          </w:tcPr>
          <w:p w14:paraId="06937E61">
            <w:pPr>
              <w:pStyle w:val="40"/>
              <w:bidi w:val="0"/>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烟气黑度（林格曼级）</w:t>
            </w:r>
          </w:p>
        </w:tc>
        <w:tc>
          <w:tcPr>
            <w:tcW w:w="2602" w:type="dxa"/>
            <w:vMerge w:val="continue"/>
            <w:noWrap w:val="0"/>
            <w:vAlign w:val="center"/>
          </w:tcPr>
          <w:p w14:paraId="2281C5B5">
            <w:pPr>
              <w:pStyle w:val="40"/>
              <w:bidi w:val="0"/>
              <w:rPr>
                <w:rFonts w:hint="default" w:ascii="Times New Roman" w:hAnsi="Times New Roman" w:eastAsia="宋体" w:cs="Times New Roman"/>
                <w:color w:val="0000FF"/>
                <w:sz w:val="24"/>
                <w:szCs w:val="24"/>
                <w:lang w:val="en-US" w:eastAsia="zh-CN"/>
              </w:rPr>
            </w:pPr>
          </w:p>
        </w:tc>
        <w:tc>
          <w:tcPr>
            <w:tcW w:w="2742" w:type="dxa"/>
            <w:noWrap w:val="0"/>
            <w:vAlign w:val="center"/>
          </w:tcPr>
          <w:p w14:paraId="6F7A350F">
            <w:pPr>
              <w:pStyle w:val="40"/>
              <w:bidi w:val="0"/>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《工业炉窑大气污染物排放标准》（GB9078-1996）</w:t>
            </w:r>
            <w:r>
              <w:rPr>
                <w:rFonts w:hint="eastAsia" w:ascii="Times New Roman" w:hAnsi="Times New Roman" w:eastAsia="宋体" w:cs="Times New Roman"/>
                <w:color w:val="0000FF"/>
                <w:sz w:val="24"/>
                <w:szCs w:val="24"/>
                <w:lang w:val="en-US" w:eastAsia="zh-CN"/>
              </w:rPr>
              <w:t>（其他炉窑）</w:t>
            </w:r>
          </w:p>
        </w:tc>
      </w:tr>
      <w:tr w14:paraId="1D806A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3" w:hRule="atLeast"/>
          <w:jc w:val="center"/>
        </w:trPr>
        <w:tc>
          <w:tcPr>
            <w:tcW w:w="840" w:type="dxa"/>
            <w:vMerge w:val="continue"/>
            <w:noWrap w:val="0"/>
            <w:vAlign w:val="center"/>
          </w:tcPr>
          <w:p w14:paraId="1E20646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p>
        </w:tc>
        <w:tc>
          <w:tcPr>
            <w:tcW w:w="1577" w:type="dxa"/>
            <w:vMerge w:val="restart"/>
            <w:noWrap w:val="0"/>
            <w:vAlign w:val="center"/>
          </w:tcPr>
          <w:p w14:paraId="1180DD5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0000FF"/>
                <w:sz w:val="24"/>
                <w:szCs w:val="24"/>
                <w:lang w:val="en-US" w:eastAsia="zh-CN"/>
              </w:rPr>
            </w:pPr>
            <w:r>
              <w:rPr>
                <w:rFonts w:hint="eastAsia" w:cs="Times New Roman"/>
                <w:color w:val="0000FF"/>
                <w:sz w:val="24"/>
                <w:szCs w:val="24"/>
                <w:lang w:val="en-US" w:eastAsia="zh-CN"/>
              </w:rPr>
              <w:t>厂界外</w:t>
            </w:r>
            <w:r>
              <w:rPr>
                <w:rFonts w:hint="default" w:ascii="Times New Roman" w:hAnsi="Times New Roman" w:eastAsia="宋体" w:cs="Times New Roman"/>
                <w:color w:val="0000FF"/>
                <w:sz w:val="24"/>
                <w:szCs w:val="24"/>
                <w:lang w:val="en-US" w:eastAsia="zh-CN"/>
              </w:rPr>
              <w:t>无组织废气</w:t>
            </w:r>
          </w:p>
        </w:tc>
        <w:tc>
          <w:tcPr>
            <w:tcW w:w="1238" w:type="dxa"/>
            <w:shd w:val="clear" w:color="auto" w:fill="auto"/>
            <w:noWrap w:val="0"/>
            <w:vAlign w:val="center"/>
          </w:tcPr>
          <w:p w14:paraId="10CABCCD">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eastAsia="宋体" w:cs="Times New Roman"/>
                <w:color w:val="0000FF"/>
                <w:sz w:val="24"/>
                <w:szCs w:val="24"/>
                <w:lang w:val="en-US" w:eastAsia="zh-CN"/>
              </w:rPr>
              <w:t>非甲烷总烃</w:t>
            </w:r>
          </w:p>
        </w:tc>
        <w:tc>
          <w:tcPr>
            <w:tcW w:w="2602" w:type="dxa"/>
            <w:shd w:val="clear" w:color="auto" w:fill="auto"/>
            <w:noWrap w:val="0"/>
            <w:vAlign w:val="center"/>
          </w:tcPr>
          <w:p w14:paraId="286451C8">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i w:val="0"/>
                <w:caps w:val="0"/>
                <w:color w:val="0000FF"/>
                <w:kern w:val="2"/>
                <w:sz w:val="24"/>
                <w:szCs w:val="24"/>
                <w:u w:val="none"/>
                <w:lang w:val="en-US" w:eastAsia="zh-CN" w:bidi="ar-SA"/>
              </w:rPr>
            </w:pPr>
            <w:r>
              <w:rPr>
                <w:rFonts w:hint="default" w:ascii="Times New Roman" w:hAnsi="Times New Roman" w:eastAsia="宋体" w:cs="Times New Roman"/>
                <w:i w:val="0"/>
                <w:caps w:val="0"/>
                <w:color w:val="0000FF"/>
                <w:sz w:val="24"/>
                <w:szCs w:val="24"/>
                <w:u w:val="none"/>
                <w:lang w:val="en-US" w:eastAsia="zh-CN"/>
              </w:rPr>
              <w:t>无组织逸散</w:t>
            </w:r>
          </w:p>
        </w:tc>
        <w:tc>
          <w:tcPr>
            <w:tcW w:w="2742" w:type="dxa"/>
            <w:vMerge w:val="restart"/>
            <w:shd w:val="clear" w:color="auto" w:fill="auto"/>
            <w:noWrap w:val="0"/>
            <w:vAlign w:val="center"/>
          </w:tcPr>
          <w:p w14:paraId="1345AB6F">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aps w:val="0"/>
                <w:color w:val="0000FF"/>
                <w:sz w:val="24"/>
                <w:szCs w:val="24"/>
                <w:lang w:eastAsia="zh-CN"/>
              </w:rPr>
            </w:pPr>
            <w:r>
              <w:rPr>
                <w:rFonts w:hint="default" w:ascii="Times New Roman" w:hAnsi="Times New Roman" w:eastAsia="宋体" w:cs="Times New Roman"/>
                <w:caps w:val="0"/>
                <w:color w:val="0000FF"/>
                <w:sz w:val="24"/>
                <w:szCs w:val="24"/>
                <w:lang w:val="en-US" w:eastAsia="zh-CN"/>
              </w:rPr>
              <w:t>《大气污染物综合排放标准》（GB16297-1996）</w:t>
            </w:r>
          </w:p>
        </w:tc>
      </w:tr>
      <w:tr w14:paraId="671CF5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840" w:type="dxa"/>
            <w:vMerge w:val="continue"/>
            <w:noWrap w:val="0"/>
            <w:vAlign w:val="center"/>
          </w:tcPr>
          <w:p w14:paraId="2C429680">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vMerge w:val="continue"/>
            <w:noWrap w:val="0"/>
            <w:vAlign w:val="center"/>
          </w:tcPr>
          <w:p w14:paraId="10189C62">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lang w:val="en-US" w:eastAsia="zh-CN"/>
              </w:rPr>
            </w:pPr>
          </w:p>
        </w:tc>
        <w:tc>
          <w:tcPr>
            <w:tcW w:w="1238" w:type="dxa"/>
            <w:noWrap w:val="0"/>
            <w:vAlign w:val="center"/>
          </w:tcPr>
          <w:p w14:paraId="135BF886">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lang w:eastAsia="zh-CN"/>
              </w:rPr>
            </w:pPr>
            <w:r>
              <w:rPr>
                <w:rFonts w:hint="default" w:ascii="Times New Roman" w:hAnsi="Times New Roman" w:cs="Times New Roman"/>
                <w:color w:val="0000FF"/>
                <w:sz w:val="24"/>
                <w:szCs w:val="24"/>
                <w:lang w:val="en-US" w:eastAsia="zh-CN"/>
              </w:rPr>
              <w:t>颗粒物</w:t>
            </w:r>
          </w:p>
        </w:tc>
        <w:tc>
          <w:tcPr>
            <w:tcW w:w="2602" w:type="dxa"/>
            <w:noWrap w:val="0"/>
            <w:vAlign w:val="center"/>
          </w:tcPr>
          <w:p w14:paraId="4A42B29F">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i w:val="0"/>
                <w:caps w:val="0"/>
                <w:color w:val="0000FF"/>
                <w:sz w:val="24"/>
                <w:szCs w:val="24"/>
                <w:u w:val="none"/>
                <w:lang w:val="en-US" w:eastAsia="zh-CN"/>
              </w:rPr>
            </w:pPr>
            <w:r>
              <w:rPr>
                <w:rFonts w:hint="default" w:ascii="Times New Roman" w:hAnsi="Times New Roman" w:cs="Times New Roman"/>
                <w:i w:val="0"/>
                <w:caps w:val="0"/>
                <w:color w:val="0000FF"/>
                <w:sz w:val="24"/>
                <w:szCs w:val="24"/>
                <w:u w:val="none"/>
                <w:lang w:val="en-US" w:eastAsia="zh-CN"/>
              </w:rPr>
              <w:t>车间沉降后无组织逸散</w:t>
            </w:r>
          </w:p>
        </w:tc>
        <w:tc>
          <w:tcPr>
            <w:tcW w:w="2742" w:type="dxa"/>
            <w:vMerge w:val="continue"/>
            <w:noWrap w:val="0"/>
            <w:vAlign w:val="center"/>
          </w:tcPr>
          <w:p w14:paraId="177ABA52">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aps w:val="0"/>
                <w:color w:val="0000FF"/>
                <w:sz w:val="24"/>
                <w:szCs w:val="24"/>
                <w:lang w:eastAsia="zh-CN"/>
              </w:rPr>
            </w:pPr>
          </w:p>
        </w:tc>
      </w:tr>
      <w:tr w14:paraId="140076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0" w:hRule="atLeast"/>
          <w:jc w:val="center"/>
        </w:trPr>
        <w:tc>
          <w:tcPr>
            <w:tcW w:w="840" w:type="dxa"/>
            <w:vMerge w:val="continue"/>
            <w:noWrap w:val="0"/>
            <w:vAlign w:val="center"/>
          </w:tcPr>
          <w:p w14:paraId="17FA42E9">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vMerge w:val="continue"/>
            <w:noWrap w:val="0"/>
            <w:vAlign w:val="center"/>
          </w:tcPr>
          <w:p w14:paraId="2B94C522">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lang w:val="en-US" w:eastAsia="zh-CN"/>
              </w:rPr>
            </w:pPr>
          </w:p>
        </w:tc>
        <w:tc>
          <w:tcPr>
            <w:tcW w:w="1238" w:type="dxa"/>
            <w:noWrap w:val="0"/>
            <w:vAlign w:val="center"/>
          </w:tcPr>
          <w:p w14:paraId="02A7E8E4">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cs="Times New Roman"/>
                <w:color w:val="0000FF"/>
                <w:sz w:val="24"/>
                <w:szCs w:val="24"/>
                <w:lang w:val="en-US" w:eastAsia="zh-CN"/>
              </w:rPr>
            </w:pPr>
            <w:r>
              <w:rPr>
                <w:rFonts w:hint="default" w:ascii="Times New Roman" w:hAnsi="Times New Roman" w:cs="Times New Roman"/>
                <w:color w:val="0000FF"/>
                <w:sz w:val="24"/>
                <w:szCs w:val="24"/>
                <w:lang w:val="en-US" w:eastAsia="zh-CN"/>
              </w:rPr>
              <w:t>臭气浓度</w:t>
            </w:r>
          </w:p>
        </w:tc>
        <w:tc>
          <w:tcPr>
            <w:tcW w:w="2602" w:type="dxa"/>
            <w:noWrap w:val="0"/>
            <w:vAlign w:val="center"/>
          </w:tcPr>
          <w:p w14:paraId="4C353E00">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cs="Times New Roman"/>
                <w:i w:val="0"/>
                <w:caps w:val="0"/>
                <w:color w:val="0000FF"/>
                <w:sz w:val="24"/>
                <w:szCs w:val="24"/>
                <w:u w:val="none"/>
                <w:lang w:val="en-US" w:eastAsia="zh-CN"/>
              </w:rPr>
            </w:pPr>
            <w:r>
              <w:rPr>
                <w:rFonts w:hint="default" w:ascii="Times New Roman" w:hAnsi="Times New Roman" w:eastAsia="宋体" w:cs="Times New Roman"/>
                <w:i w:val="0"/>
                <w:caps w:val="0"/>
                <w:color w:val="0000FF"/>
                <w:sz w:val="24"/>
                <w:szCs w:val="24"/>
                <w:u w:val="none"/>
                <w:lang w:val="en-US" w:eastAsia="zh-CN"/>
              </w:rPr>
              <w:t>无组织逸散</w:t>
            </w:r>
          </w:p>
        </w:tc>
        <w:tc>
          <w:tcPr>
            <w:tcW w:w="2742" w:type="dxa"/>
            <w:noWrap w:val="0"/>
            <w:vAlign w:val="center"/>
          </w:tcPr>
          <w:p w14:paraId="1E68535F">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《恶臭污染物排放标准》(GB14554-93)</w:t>
            </w:r>
          </w:p>
        </w:tc>
      </w:tr>
      <w:tr w14:paraId="0B4972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0" w:hRule="atLeast"/>
          <w:jc w:val="center"/>
        </w:trPr>
        <w:tc>
          <w:tcPr>
            <w:tcW w:w="840" w:type="dxa"/>
            <w:vMerge w:val="continue"/>
            <w:noWrap w:val="0"/>
            <w:vAlign w:val="center"/>
          </w:tcPr>
          <w:p w14:paraId="1EDD7A2C">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vMerge w:val="restart"/>
            <w:noWrap w:val="0"/>
            <w:vAlign w:val="center"/>
          </w:tcPr>
          <w:p w14:paraId="6CB14DD2">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lang w:val="en-US" w:eastAsia="zh-CN"/>
              </w:rPr>
            </w:pPr>
            <w:r>
              <w:rPr>
                <w:rFonts w:hint="eastAsia" w:cs="Times New Roman"/>
                <w:color w:val="0000FF"/>
                <w:sz w:val="24"/>
                <w:szCs w:val="24"/>
                <w:lang w:val="en-US" w:eastAsia="zh-CN"/>
              </w:rPr>
              <w:t>厂界内无组织废气</w:t>
            </w:r>
          </w:p>
        </w:tc>
        <w:tc>
          <w:tcPr>
            <w:tcW w:w="1238" w:type="dxa"/>
            <w:noWrap w:val="0"/>
            <w:vAlign w:val="center"/>
          </w:tcPr>
          <w:p w14:paraId="6129F336">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非甲烷总烃</w:t>
            </w:r>
          </w:p>
        </w:tc>
        <w:tc>
          <w:tcPr>
            <w:tcW w:w="2602" w:type="dxa"/>
            <w:noWrap w:val="0"/>
            <w:vAlign w:val="center"/>
          </w:tcPr>
          <w:p w14:paraId="15A14217">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cs="Times New Roman"/>
                <w:i w:val="0"/>
                <w:caps w:val="0"/>
                <w:color w:val="0000FF"/>
                <w:sz w:val="24"/>
                <w:szCs w:val="24"/>
                <w:u w:val="none"/>
                <w:lang w:val="en-US" w:eastAsia="zh-CN"/>
              </w:rPr>
            </w:pPr>
            <w:r>
              <w:rPr>
                <w:rFonts w:hint="default" w:ascii="Times New Roman" w:hAnsi="Times New Roman" w:eastAsia="宋体" w:cs="Times New Roman"/>
                <w:i w:val="0"/>
                <w:caps w:val="0"/>
                <w:color w:val="0000FF"/>
                <w:sz w:val="24"/>
                <w:szCs w:val="24"/>
                <w:u w:val="none"/>
                <w:lang w:val="en-US" w:eastAsia="zh-CN"/>
              </w:rPr>
              <w:t>无组织逸散</w:t>
            </w:r>
          </w:p>
        </w:tc>
        <w:tc>
          <w:tcPr>
            <w:tcW w:w="2742" w:type="dxa"/>
            <w:noWrap w:val="0"/>
            <w:vAlign w:val="center"/>
          </w:tcPr>
          <w:p w14:paraId="752D48A0">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《挥发性有机物无组织排放控制标准（GB 37822-2019）》附录A表A.1</w:t>
            </w:r>
            <w:r>
              <w:rPr>
                <w:rFonts w:hint="default" w:ascii="Times New Roman" w:hAnsi="Times New Roman" w:cs="Times New Roman"/>
                <w:caps w:val="0"/>
                <w:color w:val="0000FF"/>
                <w:sz w:val="24"/>
                <w:szCs w:val="24"/>
                <w:lang w:val="en-US" w:eastAsia="zh-CN"/>
              </w:rPr>
              <w:t>特别排放</w:t>
            </w:r>
            <w:r>
              <w:rPr>
                <w:rFonts w:hint="default" w:ascii="Times New Roman" w:hAnsi="Times New Roman" w:eastAsia="宋体" w:cs="Times New Roman"/>
                <w:caps w:val="0"/>
                <w:color w:val="0000FF"/>
                <w:sz w:val="24"/>
                <w:szCs w:val="24"/>
                <w:lang w:val="en-US" w:eastAsia="zh-CN"/>
              </w:rPr>
              <w:t>限值要求</w:t>
            </w:r>
          </w:p>
        </w:tc>
      </w:tr>
      <w:tr w14:paraId="32DDA6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0" w:hRule="atLeast"/>
          <w:jc w:val="center"/>
        </w:trPr>
        <w:tc>
          <w:tcPr>
            <w:tcW w:w="840" w:type="dxa"/>
            <w:vMerge w:val="continue"/>
            <w:noWrap w:val="0"/>
            <w:vAlign w:val="center"/>
          </w:tcPr>
          <w:p w14:paraId="53DE1976">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vMerge w:val="continue"/>
            <w:noWrap w:val="0"/>
            <w:vAlign w:val="center"/>
          </w:tcPr>
          <w:p w14:paraId="5C960FF2">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lang w:val="en-US" w:eastAsia="zh-CN"/>
              </w:rPr>
            </w:pPr>
          </w:p>
        </w:tc>
        <w:tc>
          <w:tcPr>
            <w:tcW w:w="1238" w:type="dxa"/>
            <w:noWrap w:val="0"/>
            <w:vAlign w:val="center"/>
          </w:tcPr>
          <w:p w14:paraId="6C13C972">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cs="Times New Roman"/>
                <w:color w:val="0000FF"/>
                <w:sz w:val="24"/>
                <w:szCs w:val="24"/>
                <w:lang w:val="en-US" w:eastAsia="zh-CN"/>
              </w:rPr>
            </w:pPr>
            <w:r>
              <w:rPr>
                <w:rFonts w:hint="eastAsia" w:cs="Times New Roman"/>
                <w:color w:val="0000FF"/>
                <w:sz w:val="24"/>
                <w:szCs w:val="24"/>
                <w:lang w:val="en-US" w:eastAsia="zh-CN"/>
              </w:rPr>
              <w:t>颗粒物</w:t>
            </w:r>
          </w:p>
        </w:tc>
        <w:tc>
          <w:tcPr>
            <w:tcW w:w="2602" w:type="dxa"/>
            <w:noWrap w:val="0"/>
            <w:vAlign w:val="center"/>
          </w:tcPr>
          <w:p w14:paraId="488DE7D8">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cs="Times New Roman"/>
                <w:i w:val="0"/>
                <w:caps w:val="0"/>
                <w:color w:val="0000FF"/>
                <w:sz w:val="24"/>
                <w:szCs w:val="24"/>
                <w:u w:val="none"/>
                <w:lang w:val="en-US" w:eastAsia="zh-CN"/>
              </w:rPr>
            </w:pPr>
            <w:r>
              <w:rPr>
                <w:rFonts w:hint="default" w:ascii="Times New Roman" w:hAnsi="Times New Roman" w:eastAsia="宋体" w:cs="Times New Roman"/>
                <w:i w:val="0"/>
                <w:caps w:val="0"/>
                <w:color w:val="0000FF"/>
                <w:sz w:val="24"/>
                <w:szCs w:val="24"/>
                <w:u w:val="none"/>
                <w:lang w:val="en-US" w:eastAsia="zh-CN"/>
              </w:rPr>
              <w:t>无组织逸散</w:t>
            </w:r>
          </w:p>
        </w:tc>
        <w:tc>
          <w:tcPr>
            <w:tcW w:w="2742" w:type="dxa"/>
            <w:noWrap w:val="0"/>
            <w:vAlign w:val="center"/>
          </w:tcPr>
          <w:p w14:paraId="1D70307D">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《工业炉窑大气污染物排放标准》（GB9078-1996）表3-其他炉窑（有车间厂房）</w:t>
            </w:r>
          </w:p>
        </w:tc>
      </w:tr>
      <w:tr w14:paraId="4F089C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noWrap w:val="0"/>
            <w:vAlign w:val="center"/>
          </w:tcPr>
          <w:p w14:paraId="4D870494">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水环境</w:t>
            </w:r>
          </w:p>
        </w:tc>
        <w:tc>
          <w:tcPr>
            <w:tcW w:w="1577" w:type="dxa"/>
            <w:noWrap w:val="0"/>
            <w:vAlign w:val="center"/>
          </w:tcPr>
          <w:p w14:paraId="733E5942">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color w:val="0000FF"/>
                <w:sz w:val="24"/>
                <w:szCs w:val="24"/>
                <w:lang w:val="en-US" w:eastAsia="zh-CN"/>
              </w:rPr>
            </w:pPr>
            <w:r>
              <w:rPr>
                <w:rFonts w:hint="default" w:ascii="Times New Roman" w:hAnsi="Times New Roman" w:cs="Times New Roman"/>
                <w:color w:val="0000FF"/>
                <w:sz w:val="24"/>
                <w:szCs w:val="24"/>
                <w:lang w:val="en-US" w:eastAsia="zh-CN"/>
              </w:rPr>
              <w:t>综合</w:t>
            </w:r>
            <w:r>
              <w:rPr>
                <w:rFonts w:hint="default" w:ascii="Times New Roman" w:hAnsi="Times New Roman" w:eastAsia="宋体" w:cs="Times New Roman"/>
                <w:color w:val="0000FF"/>
                <w:sz w:val="24"/>
                <w:szCs w:val="24"/>
                <w:lang w:val="en-US" w:eastAsia="zh-CN"/>
              </w:rPr>
              <w:t>污水</w:t>
            </w:r>
          </w:p>
        </w:tc>
        <w:tc>
          <w:tcPr>
            <w:tcW w:w="1238" w:type="dxa"/>
            <w:noWrap w:val="0"/>
            <w:vAlign w:val="center"/>
          </w:tcPr>
          <w:p w14:paraId="13941AA8">
            <w:pPr>
              <w:jc w:val="center"/>
              <w:rPr>
                <w:rFonts w:hint="default" w:ascii="Times New Roman" w:hAnsi="Times New Roman" w:eastAsia="宋体" w:cs="Times New Roman"/>
                <w:color w:val="0000FF"/>
                <w:sz w:val="24"/>
                <w:szCs w:val="24"/>
                <w:vertAlign w:val="baseline"/>
                <w:lang w:val="en-US" w:eastAsia="zh-CN"/>
              </w:rPr>
            </w:pPr>
            <w:r>
              <w:rPr>
                <w:rFonts w:hint="default" w:ascii="Times New Roman" w:hAnsi="Times New Roman" w:cs="Times New Roman"/>
                <w:color w:val="0000FF"/>
                <w:sz w:val="24"/>
                <w:szCs w:val="24"/>
                <w:lang w:val="en-US" w:eastAsia="zh-CN"/>
              </w:rPr>
              <w:t>pH、</w:t>
            </w:r>
            <w:r>
              <w:rPr>
                <w:rFonts w:hint="default" w:ascii="Times New Roman" w:hAnsi="Times New Roman" w:cs="Times New Roman"/>
                <w:color w:val="0000FF"/>
                <w:sz w:val="24"/>
                <w:szCs w:val="24"/>
              </w:rPr>
              <w:t>氨氮</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rPr>
              <w:t>SS</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rPr>
              <w:t>COD</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rPr>
              <w:t>BOD</w:t>
            </w:r>
            <w:r>
              <w:rPr>
                <w:rFonts w:hint="default" w:ascii="Times New Roman" w:hAnsi="Times New Roman" w:cs="Times New Roman"/>
                <w:color w:val="0000FF"/>
                <w:sz w:val="24"/>
                <w:szCs w:val="24"/>
                <w:vertAlign w:val="subscript"/>
              </w:rPr>
              <w:t>5</w:t>
            </w:r>
          </w:p>
        </w:tc>
        <w:tc>
          <w:tcPr>
            <w:tcW w:w="2602" w:type="dxa"/>
            <w:noWrap w:val="0"/>
            <w:vAlign w:val="center"/>
          </w:tcPr>
          <w:p w14:paraId="62350544">
            <w:pPr>
              <w:keepNext w:val="0"/>
              <w:keepLines w:val="0"/>
              <w:pageBreakBefore w:val="0"/>
              <w:widowControl/>
              <w:suppressLineNumbers w:val="0"/>
              <w:kinsoku/>
              <w:wordWrap/>
              <w:overflowPunct/>
              <w:topLinePunct w:val="0"/>
              <w:autoSpaceDE/>
              <w:autoSpaceDN/>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生活污水排至园区污水管网，最终进入九原水质净化厂</w:t>
            </w:r>
          </w:p>
        </w:tc>
        <w:tc>
          <w:tcPr>
            <w:tcW w:w="2742" w:type="dxa"/>
            <w:noWrap w:val="0"/>
            <w:vAlign w:val="center"/>
          </w:tcPr>
          <w:p w14:paraId="7C74FF98">
            <w:pPr>
              <w:keepNext w:val="0"/>
              <w:keepLines w:val="0"/>
              <w:pageBreakBefore w:val="0"/>
              <w:widowControl/>
              <w:suppressLineNumbers w:val="0"/>
              <w:kinsoku/>
              <w:overflowPunct/>
              <w:topLinePunct w:val="0"/>
              <w:autoSpaceDE/>
              <w:autoSpaceDN/>
              <w:bidi w:val="0"/>
              <w:adjustRightInd w:val="0"/>
              <w:snapToGrid w:val="0"/>
              <w:spacing w:line="240" w:lineRule="auto"/>
              <w:ind w:left="0" w:leftChars="0"/>
              <w:jc w:val="center"/>
              <w:textAlignment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cs="Times New Roman"/>
                <w:color w:val="0000FF"/>
                <w:sz w:val="24"/>
                <w:szCs w:val="24"/>
                <w:highlight w:val="none"/>
              </w:rPr>
              <w:t>《污水综合排放标准》（GB8978-1996）中三级标准要求</w:t>
            </w:r>
          </w:p>
        </w:tc>
      </w:tr>
      <w:tr w14:paraId="1CFDB6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noWrap w:val="0"/>
            <w:vAlign w:val="center"/>
          </w:tcPr>
          <w:p w14:paraId="348F40D7">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声环境</w:t>
            </w:r>
          </w:p>
        </w:tc>
        <w:tc>
          <w:tcPr>
            <w:tcW w:w="1577" w:type="dxa"/>
            <w:noWrap w:val="0"/>
            <w:vAlign w:val="center"/>
          </w:tcPr>
          <w:p w14:paraId="0A75CB16">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0000FF"/>
                <w:sz w:val="24"/>
                <w:szCs w:val="24"/>
                <w:lang w:val="en-US" w:eastAsia="zh-CN"/>
              </w:rPr>
            </w:pPr>
            <w:r>
              <w:rPr>
                <w:rFonts w:hint="default" w:ascii="Times New Roman" w:hAnsi="Times New Roman" w:cs="Times New Roman"/>
                <w:color w:val="0000FF"/>
                <w:sz w:val="24"/>
                <w:szCs w:val="24"/>
                <w:lang w:val="en-US" w:eastAsia="zh-CN"/>
              </w:rPr>
              <w:t>生产及环保噪声设备</w:t>
            </w:r>
          </w:p>
        </w:tc>
        <w:tc>
          <w:tcPr>
            <w:tcW w:w="1238" w:type="dxa"/>
            <w:noWrap w:val="0"/>
            <w:vAlign w:val="center"/>
          </w:tcPr>
          <w:p w14:paraId="33ECA0DB">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连续等效A声级</w:t>
            </w:r>
          </w:p>
        </w:tc>
        <w:tc>
          <w:tcPr>
            <w:tcW w:w="2602" w:type="dxa"/>
            <w:noWrap w:val="0"/>
            <w:vAlign w:val="center"/>
          </w:tcPr>
          <w:p w14:paraId="1198A3F5">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基础减震和厂房隔声</w:t>
            </w:r>
          </w:p>
        </w:tc>
        <w:tc>
          <w:tcPr>
            <w:tcW w:w="2742" w:type="dxa"/>
            <w:noWrap w:val="0"/>
            <w:vAlign w:val="center"/>
          </w:tcPr>
          <w:p w14:paraId="546DAA71">
            <w:pPr>
              <w:keepNext w:val="0"/>
              <w:keepLines w:val="0"/>
              <w:pageBreakBefore w:val="0"/>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0000FF"/>
                <w:sz w:val="24"/>
                <w:szCs w:val="24"/>
                <w:lang w:eastAsia="zh-CN"/>
              </w:rPr>
            </w:pPr>
            <w:r>
              <w:rPr>
                <w:rFonts w:hint="default" w:ascii="Times New Roman" w:hAnsi="Times New Roman" w:eastAsia="宋体" w:cs="Times New Roman"/>
                <w:color w:val="0000FF"/>
                <w:sz w:val="24"/>
                <w:szCs w:val="24"/>
                <w:lang w:eastAsia="zh-CN"/>
              </w:rPr>
              <w:t>《工业企业厂界环境噪声排放标准》（GB12348-2008）</w:t>
            </w:r>
            <w:r>
              <w:rPr>
                <w:rFonts w:hint="default" w:ascii="Times New Roman" w:hAnsi="Times New Roman" w:eastAsia="宋体" w:cs="Times New Roman"/>
                <w:color w:val="0000FF"/>
                <w:sz w:val="24"/>
                <w:szCs w:val="24"/>
                <w:lang w:val="en-US" w:eastAsia="zh-CN"/>
              </w:rPr>
              <w:t>3</w:t>
            </w:r>
            <w:r>
              <w:rPr>
                <w:rFonts w:hint="default" w:ascii="Times New Roman" w:hAnsi="Times New Roman" w:eastAsia="宋体" w:cs="Times New Roman"/>
                <w:color w:val="0000FF"/>
                <w:sz w:val="24"/>
                <w:szCs w:val="24"/>
                <w:lang w:eastAsia="zh-CN"/>
              </w:rPr>
              <w:t>类标准</w:t>
            </w:r>
          </w:p>
        </w:tc>
      </w:tr>
      <w:tr w14:paraId="793337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noWrap w:val="0"/>
            <w:vAlign w:val="center"/>
          </w:tcPr>
          <w:p w14:paraId="2B535F89">
            <w:pPr>
              <w:adjustRightInd w:val="0"/>
              <w:snapToGrid w:val="0"/>
              <w:jc w:val="center"/>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highlight w:val="none"/>
              </w:rPr>
              <w:t>电磁辐射</w:t>
            </w:r>
          </w:p>
        </w:tc>
        <w:tc>
          <w:tcPr>
            <w:tcW w:w="1577" w:type="dxa"/>
            <w:noWrap w:val="0"/>
            <w:vAlign w:val="center"/>
          </w:tcPr>
          <w:p w14:paraId="0E5B8320">
            <w:pPr>
              <w:adjustRightInd w:val="0"/>
              <w:snapToGrid w:val="0"/>
              <w:jc w:val="center"/>
              <w:rPr>
                <w:rFonts w:hint="default" w:ascii="Times New Roman" w:hAnsi="Times New Roman" w:eastAsia="宋体" w:cs="Times New Roman"/>
                <w:i w:val="0"/>
                <w:color w:val="0000FF"/>
                <w:sz w:val="24"/>
                <w:szCs w:val="24"/>
                <w:u w:val="none"/>
                <w:lang w:val="en-US" w:eastAsia="zh-CN"/>
              </w:rPr>
            </w:pPr>
            <w:r>
              <w:rPr>
                <w:rFonts w:hint="default" w:ascii="Times New Roman" w:hAnsi="Times New Roman" w:eastAsia="宋体" w:cs="Times New Roman"/>
                <w:i w:val="0"/>
                <w:color w:val="0000FF"/>
                <w:sz w:val="24"/>
                <w:szCs w:val="24"/>
                <w:u w:val="none"/>
                <w:lang w:val="en-US" w:eastAsia="zh-CN"/>
              </w:rPr>
              <w:t>/</w:t>
            </w:r>
          </w:p>
        </w:tc>
        <w:tc>
          <w:tcPr>
            <w:tcW w:w="1238" w:type="dxa"/>
            <w:noWrap w:val="0"/>
            <w:vAlign w:val="center"/>
          </w:tcPr>
          <w:p w14:paraId="0ADE89E8">
            <w:pPr>
              <w:adjustRightInd w:val="0"/>
              <w:snapToGrid w:val="0"/>
              <w:jc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w:t>
            </w:r>
          </w:p>
        </w:tc>
        <w:tc>
          <w:tcPr>
            <w:tcW w:w="2602" w:type="dxa"/>
            <w:noWrap w:val="0"/>
            <w:vAlign w:val="center"/>
          </w:tcPr>
          <w:p w14:paraId="5062EAEF">
            <w:pPr>
              <w:adjustRightInd w:val="0"/>
              <w:snapToGrid w:val="0"/>
              <w:jc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w:t>
            </w:r>
          </w:p>
        </w:tc>
        <w:tc>
          <w:tcPr>
            <w:tcW w:w="2742" w:type="dxa"/>
            <w:noWrap w:val="0"/>
            <w:vAlign w:val="center"/>
          </w:tcPr>
          <w:p w14:paraId="7DB31CC6">
            <w:pPr>
              <w:adjustRightInd w:val="0"/>
              <w:snapToGrid w:val="0"/>
              <w:jc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w:t>
            </w:r>
          </w:p>
        </w:tc>
      </w:tr>
      <w:tr w14:paraId="30ADC4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restart"/>
            <w:noWrap w:val="0"/>
            <w:vAlign w:val="center"/>
          </w:tcPr>
          <w:p w14:paraId="7616DFCE">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固体废物</w:t>
            </w:r>
          </w:p>
        </w:tc>
        <w:tc>
          <w:tcPr>
            <w:tcW w:w="1577" w:type="dxa"/>
            <w:noWrap w:val="0"/>
            <w:vAlign w:val="center"/>
          </w:tcPr>
          <w:p w14:paraId="59D52B93">
            <w:pPr>
              <w:adjustRightInd w:val="0"/>
              <w:snapToGrid w:val="0"/>
              <w:jc w:val="center"/>
              <w:rPr>
                <w:rFonts w:hint="default" w:ascii="Times New Roman" w:hAnsi="Times New Roman" w:eastAsia="宋体" w:cs="Times New Roman"/>
                <w:i w:val="0"/>
                <w:color w:val="0000FF"/>
                <w:sz w:val="24"/>
                <w:szCs w:val="24"/>
                <w:u w:val="none"/>
                <w:lang w:val="en-US" w:eastAsia="zh-CN"/>
              </w:rPr>
            </w:pPr>
            <w:r>
              <w:rPr>
                <w:rFonts w:hint="default" w:ascii="Times New Roman" w:hAnsi="Times New Roman" w:eastAsia="宋体" w:cs="Times New Roman"/>
                <w:i w:val="0"/>
                <w:color w:val="0000FF"/>
                <w:sz w:val="24"/>
                <w:szCs w:val="24"/>
                <w:u w:val="none"/>
                <w:lang w:val="en-US" w:eastAsia="zh-CN"/>
              </w:rPr>
              <w:t>职工生活</w:t>
            </w:r>
          </w:p>
        </w:tc>
        <w:tc>
          <w:tcPr>
            <w:tcW w:w="1238" w:type="dxa"/>
            <w:noWrap w:val="0"/>
            <w:vAlign w:val="center"/>
          </w:tcPr>
          <w:p w14:paraId="19A10EFE">
            <w:pPr>
              <w:adjustRightInd w:val="0"/>
              <w:snapToGrid w:val="0"/>
              <w:jc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生活垃圾</w:t>
            </w:r>
          </w:p>
        </w:tc>
        <w:tc>
          <w:tcPr>
            <w:tcW w:w="2602" w:type="dxa"/>
            <w:noWrap w:val="0"/>
            <w:vAlign w:val="center"/>
          </w:tcPr>
          <w:p w14:paraId="0BFC99F5">
            <w:pPr>
              <w:adjustRightInd w:val="0"/>
              <w:snapToGrid w:val="0"/>
              <w:jc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委托环卫部门清运</w:t>
            </w:r>
          </w:p>
        </w:tc>
        <w:tc>
          <w:tcPr>
            <w:tcW w:w="2742" w:type="dxa"/>
            <w:noWrap w:val="0"/>
            <w:vAlign w:val="center"/>
          </w:tcPr>
          <w:p w14:paraId="1FF4F53D">
            <w:pPr>
              <w:adjustRightInd w:val="0"/>
              <w:snapToGrid w:val="0"/>
              <w:jc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w:t>
            </w:r>
          </w:p>
        </w:tc>
      </w:tr>
      <w:tr w14:paraId="75BDB9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543C0B38">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shd w:val="clear" w:color="auto" w:fill="auto"/>
            <w:noWrap w:val="0"/>
            <w:vAlign w:val="center"/>
          </w:tcPr>
          <w:p w14:paraId="24CF7817">
            <w:pPr>
              <w:keepNext w:val="0"/>
              <w:keepLines w:val="0"/>
              <w:widowControl/>
              <w:suppressLineNumbers w:val="0"/>
              <w:jc w:val="center"/>
              <w:textAlignment w:val="center"/>
              <w:rPr>
                <w:rFonts w:hint="default" w:ascii="Times New Roman" w:hAnsi="Times New Roman" w:eastAsia="宋体" w:cs="Times New Roman"/>
                <w:i w:val="0"/>
                <w:snapToGrid w:val="0"/>
                <w:color w:val="0000FF"/>
                <w:kern w:val="0"/>
                <w:sz w:val="24"/>
                <w:szCs w:val="24"/>
                <w:u w:val="none"/>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气瓶检验-气瓶压扁</w:t>
            </w:r>
          </w:p>
        </w:tc>
        <w:tc>
          <w:tcPr>
            <w:tcW w:w="1238" w:type="dxa"/>
            <w:shd w:val="clear" w:color="auto" w:fill="auto"/>
            <w:noWrap w:val="0"/>
            <w:vAlign w:val="center"/>
          </w:tcPr>
          <w:p w14:paraId="383DFC81">
            <w:pPr>
              <w:keepNext w:val="0"/>
              <w:keepLines w:val="0"/>
              <w:widowControl/>
              <w:suppressLineNumbers w:val="0"/>
              <w:jc w:val="center"/>
              <w:textAlignment w:val="center"/>
              <w:rPr>
                <w:rFonts w:hint="default" w:ascii="Times New Roman" w:hAnsi="Times New Roman" w:eastAsia="宋体" w:cs="Times New Roman"/>
                <w:snapToGrid w:val="0"/>
                <w:color w:val="0000FF"/>
                <w:kern w:val="0"/>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报废钢瓶</w:t>
            </w:r>
          </w:p>
        </w:tc>
        <w:tc>
          <w:tcPr>
            <w:tcW w:w="2602" w:type="dxa"/>
            <w:shd w:val="clear" w:color="auto" w:fill="auto"/>
            <w:noWrap w:val="0"/>
            <w:vAlign w:val="center"/>
          </w:tcPr>
          <w:p w14:paraId="40F33C3A">
            <w:pPr>
              <w:keepNext w:val="0"/>
              <w:keepLines w:val="0"/>
              <w:widowControl/>
              <w:suppressLineNumbers w:val="0"/>
              <w:jc w:val="center"/>
              <w:textAlignment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收集后交专业物资回收公司回收处理</w:t>
            </w:r>
          </w:p>
        </w:tc>
        <w:tc>
          <w:tcPr>
            <w:tcW w:w="2742" w:type="dxa"/>
            <w:vMerge w:val="restart"/>
            <w:noWrap w:val="0"/>
            <w:vAlign w:val="center"/>
          </w:tcPr>
          <w:p w14:paraId="6D184A02">
            <w:pPr>
              <w:keepNext w:val="0"/>
              <w:keepLines w:val="0"/>
              <w:pageBreakBefore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FF"/>
                <w:sz w:val="24"/>
                <w:szCs w:val="24"/>
                <w:lang w:val="en-US" w:eastAsia="zh-CN"/>
              </w:rPr>
            </w:pPr>
            <w:r>
              <w:rPr>
                <w:rFonts w:hint="default" w:ascii="Times New Roman" w:hAnsi="Times New Roman" w:cs="Times New Roman"/>
                <w:color w:val="0000FF"/>
                <w:sz w:val="24"/>
                <w:szCs w:val="24"/>
              </w:rPr>
              <w:t>《</w:t>
            </w:r>
            <w:r>
              <w:rPr>
                <w:rFonts w:hint="default" w:ascii="Times New Roman" w:hAnsi="Times New Roman" w:cs="Times New Roman"/>
                <w:color w:val="0000FF"/>
                <w:sz w:val="24"/>
                <w:szCs w:val="24"/>
                <w:lang w:eastAsia="zh-CN"/>
              </w:rPr>
              <w:t>一般工业固体废物贮存和填埋污染控制标准</w:t>
            </w:r>
            <w:r>
              <w:rPr>
                <w:rFonts w:hint="default" w:ascii="Times New Roman" w:hAnsi="Times New Roman" w:cs="Times New Roman"/>
                <w:color w:val="0000FF"/>
                <w:sz w:val="24"/>
                <w:szCs w:val="24"/>
              </w:rPr>
              <w:t>》(GB18599-20</w:t>
            </w:r>
            <w:r>
              <w:rPr>
                <w:rFonts w:hint="default" w:ascii="Times New Roman" w:hAnsi="Times New Roman" w:cs="Times New Roman"/>
                <w:color w:val="0000FF"/>
                <w:sz w:val="24"/>
                <w:szCs w:val="24"/>
                <w:lang w:val="en-US" w:eastAsia="zh-CN"/>
              </w:rPr>
              <w:t>20</w:t>
            </w:r>
            <w:r>
              <w:rPr>
                <w:rFonts w:hint="default" w:ascii="Times New Roman" w:hAnsi="Times New Roman" w:cs="Times New Roman"/>
                <w:color w:val="0000FF"/>
                <w:sz w:val="24"/>
                <w:szCs w:val="24"/>
              </w:rPr>
              <w:t>)</w:t>
            </w:r>
          </w:p>
        </w:tc>
      </w:tr>
      <w:tr w14:paraId="53F54D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7B9E0C5D">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2E5AC29D">
            <w:pPr>
              <w:keepNext w:val="0"/>
              <w:keepLines w:val="0"/>
              <w:widowControl/>
              <w:suppressLineNumbers w:val="0"/>
              <w:jc w:val="center"/>
              <w:textAlignment w:val="center"/>
              <w:rPr>
                <w:rFonts w:hint="default" w:ascii="Times New Roman" w:hAnsi="Times New Roman" w:eastAsia="宋体" w:cs="Times New Roman"/>
                <w:i w:val="0"/>
                <w:color w:val="0000FF"/>
                <w:sz w:val="24"/>
                <w:szCs w:val="24"/>
                <w:u w:val="none"/>
                <w:lang w:val="en-US" w:eastAsia="zh-CN"/>
              </w:rPr>
            </w:pPr>
            <w:r>
              <w:rPr>
                <w:rFonts w:hint="default" w:ascii="Times New Roman" w:hAnsi="Times New Roman" w:eastAsia="宋体" w:cs="Times New Roman"/>
                <w:i w:val="0"/>
                <w:iCs w:val="0"/>
                <w:color w:val="0000FF"/>
                <w:kern w:val="0"/>
                <w:sz w:val="24"/>
                <w:szCs w:val="24"/>
                <w:u w:val="none"/>
                <w:lang w:val="en-US" w:eastAsia="zh-CN" w:bidi="ar"/>
              </w:rPr>
              <w:t>气瓶焚烧</w:t>
            </w:r>
          </w:p>
        </w:tc>
        <w:tc>
          <w:tcPr>
            <w:tcW w:w="1238" w:type="dxa"/>
            <w:noWrap w:val="0"/>
            <w:vAlign w:val="center"/>
          </w:tcPr>
          <w:p w14:paraId="2640EA87">
            <w:pPr>
              <w:keepNext w:val="0"/>
              <w:keepLines w:val="0"/>
              <w:widowControl/>
              <w:suppressLineNumbers w:val="0"/>
              <w:jc w:val="center"/>
              <w:textAlignment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焚烧炉渣</w:t>
            </w:r>
          </w:p>
        </w:tc>
        <w:tc>
          <w:tcPr>
            <w:tcW w:w="2602" w:type="dxa"/>
            <w:noWrap w:val="0"/>
            <w:vAlign w:val="center"/>
          </w:tcPr>
          <w:p w14:paraId="3319ACFF">
            <w:pPr>
              <w:keepNext w:val="0"/>
              <w:keepLines w:val="0"/>
              <w:widowControl/>
              <w:suppressLineNumbers w:val="0"/>
              <w:jc w:val="center"/>
              <w:textAlignment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收集后交专业物资回收公司回收处理</w:t>
            </w:r>
          </w:p>
        </w:tc>
        <w:tc>
          <w:tcPr>
            <w:tcW w:w="2742" w:type="dxa"/>
            <w:vMerge w:val="continue"/>
            <w:noWrap w:val="0"/>
            <w:vAlign w:val="center"/>
          </w:tcPr>
          <w:p w14:paraId="4F5A17ED">
            <w:pPr>
              <w:keepNext w:val="0"/>
              <w:keepLines w:val="0"/>
              <w:pageBreakBefore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0000FF"/>
                <w:sz w:val="24"/>
                <w:szCs w:val="24"/>
                <w:lang w:val="en-US" w:eastAsia="zh-CN"/>
              </w:rPr>
            </w:pPr>
          </w:p>
        </w:tc>
      </w:tr>
      <w:tr w14:paraId="1CEE5E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3AFD52FF">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6062A2AD">
            <w:pPr>
              <w:keepNext w:val="0"/>
              <w:keepLines w:val="0"/>
              <w:widowControl/>
              <w:suppressLineNumbers w:val="0"/>
              <w:jc w:val="center"/>
              <w:textAlignment w:val="center"/>
              <w:rPr>
                <w:rFonts w:hint="default" w:ascii="Times New Roman" w:hAnsi="Times New Roman" w:eastAsia="宋体" w:cs="Times New Roman"/>
                <w:i w:val="0"/>
                <w:color w:val="0000FF"/>
                <w:sz w:val="24"/>
                <w:szCs w:val="24"/>
                <w:u w:val="none"/>
                <w:lang w:eastAsia="zh-CN"/>
              </w:rPr>
            </w:pPr>
            <w:r>
              <w:rPr>
                <w:rFonts w:hint="default" w:ascii="Times New Roman" w:hAnsi="Times New Roman" w:eastAsia="宋体" w:cs="Times New Roman"/>
                <w:i w:val="0"/>
                <w:iCs w:val="0"/>
                <w:color w:val="0000FF"/>
                <w:kern w:val="0"/>
                <w:sz w:val="24"/>
                <w:szCs w:val="24"/>
                <w:u w:val="none"/>
                <w:lang w:val="en-US" w:eastAsia="zh-CN" w:bidi="ar"/>
              </w:rPr>
              <w:t>焚烧废气处理-水喷淋</w:t>
            </w:r>
          </w:p>
        </w:tc>
        <w:tc>
          <w:tcPr>
            <w:tcW w:w="1238" w:type="dxa"/>
            <w:noWrap w:val="0"/>
            <w:vAlign w:val="center"/>
          </w:tcPr>
          <w:p w14:paraId="4DF88F99">
            <w:pPr>
              <w:keepNext w:val="0"/>
              <w:keepLines w:val="0"/>
              <w:widowControl/>
              <w:suppressLineNumbers w:val="0"/>
              <w:jc w:val="center"/>
              <w:textAlignment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污泥</w:t>
            </w:r>
          </w:p>
        </w:tc>
        <w:tc>
          <w:tcPr>
            <w:tcW w:w="2602" w:type="dxa"/>
            <w:noWrap w:val="0"/>
            <w:vAlign w:val="center"/>
          </w:tcPr>
          <w:p w14:paraId="5EB36D90">
            <w:pPr>
              <w:keepNext w:val="0"/>
              <w:keepLines w:val="0"/>
              <w:widowControl/>
              <w:suppressLineNumbers w:val="0"/>
              <w:jc w:val="center"/>
              <w:textAlignment w:val="center"/>
              <w:rPr>
                <w:rFonts w:hint="default" w:ascii="Times New Roman" w:hAnsi="Times New Roman" w:eastAsia="宋体" w:cs="Times New Roman"/>
                <w:color w:val="0000FF"/>
                <w:sz w:val="24"/>
                <w:szCs w:val="24"/>
              </w:rPr>
            </w:pPr>
            <w:r>
              <w:rPr>
                <w:rFonts w:hint="default" w:ascii="Times New Roman" w:hAnsi="Times New Roman" w:eastAsia="宋体" w:cs="Times New Roman"/>
                <w:i w:val="0"/>
                <w:iCs w:val="0"/>
                <w:color w:val="0000FF"/>
                <w:kern w:val="0"/>
                <w:sz w:val="24"/>
                <w:szCs w:val="24"/>
                <w:u w:val="none"/>
                <w:lang w:val="en-US" w:eastAsia="zh-CN" w:bidi="ar"/>
              </w:rPr>
              <w:t>定期清捞后外委回收处理</w:t>
            </w:r>
          </w:p>
        </w:tc>
        <w:tc>
          <w:tcPr>
            <w:tcW w:w="2742" w:type="dxa"/>
            <w:vMerge w:val="continue"/>
            <w:noWrap w:val="0"/>
            <w:vAlign w:val="center"/>
          </w:tcPr>
          <w:p w14:paraId="57E4FA96">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282FD2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47ABDECD">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4B7FC894">
            <w:pPr>
              <w:keepNext w:val="0"/>
              <w:keepLines w:val="0"/>
              <w:widowControl/>
              <w:suppressLineNumbers w:val="0"/>
              <w:jc w:val="center"/>
              <w:textAlignment w:val="center"/>
              <w:rPr>
                <w:rFonts w:hint="default" w:ascii="Times New Roman" w:hAnsi="Times New Roman" w:eastAsia="宋体" w:cs="Times New Roman"/>
                <w:i w:val="0"/>
                <w:color w:val="0000FF"/>
                <w:sz w:val="24"/>
                <w:szCs w:val="24"/>
                <w:u w:val="none"/>
                <w:lang w:eastAsia="zh-CN"/>
              </w:rPr>
            </w:pPr>
            <w:r>
              <w:rPr>
                <w:rFonts w:hint="default" w:ascii="Times New Roman" w:hAnsi="Times New Roman" w:eastAsia="宋体" w:cs="Times New Roman"/>
                <w:i w:val="0"/>
                <w:iCs w:val="0"/>
                <w:color w:val="0000FF"/>
                <w:kern w:val="0"/>
                <w:sz w:val="24"/>
                <w:szCs w:val="24"/>
                <w:u w:val="none"/>
                <w:lang w:val="en-US" w:eastAsia="zh-CN" w:bidi="ar"/>
              </w:rPr>
              <w:t>抛丸废气处理</w:t>
            </w:r>
          </w:p>
        </w:tc>
        <w:tc>
          <w:tcPr>
            <w:tcW w:w="1238" w:type="dxa"/>
            <w:noWrap w:val="0"/>
            <w:vAlign w:val="center"/>
          </w:tcPr>
          <w:p w14:paraId="1572F050">
            <w:pPr>
              <w:keepNext w:val="0"/>
              <w:keepLines w:val="0"/>
              <w:widowControl/>
              <w:suppressLineNumbers w:val="0"/>
              <w:jc w:val="center"/>
              <w:textAlignment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除尘灰</w:t>
            </w:r>
          </w:p>
        </w:tc>
        <w:tc>
          <w:tcPr>
            <w:tcW w:w="2602" w:type="dxa"/>
            <w:noWrap w:val="0"/>
            <w:vAlign w:val="center"/>
          </w:tcPr>
          <w:p w14:paraId="69D926F5">
            <w:pPr>
              <w:keepNext w:val="0"/>
              <w:keepLines w:val="0"/>
              <w:widowControl/>
              <w:suppressLineNumbers w:val="0"/>
              <w:jc w:val="center"/>
              <w:textAlignment w:val="center"/>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收集后交专业物资回收公司回收处理</w:t>
            </w:r>
          </w:p>
        </w:tc>
        <w:tc>
          <w:tcPr>
            <w:tcW w:w="2742" w:type="dxa"/>
            <w:vMerge w:val="continue"/>
            <w:noWrap w:val="0"/>
            <w:vAlign w:val="center"/>
          </w:tcPr>
          <w:p w14:paraId="4E954263">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59E1E1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2524BF52">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4F0CB083">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4"/>
                <w:szCs w:val="24"/>
                <w:u w:val="none"/>
                <w:lang w:val="en-US" w:eastAsia="zh-CN" w:bidi="ar"/>
              </w:rPr>
            </w:pPr>
            <w:r>
              <w:rPr>
                <w:rFonts w:hint="eastAsia" w:ascii="Times New Roman" w:hAnsi="Times New Roman" w:eastAsia="宋体" w:cs="Times New Roman"/>
                <w:i w:val="0"/>
                <w:iCs w:val="0"/>
                <w:color w:val="0000FF"/>
                <w:kern w:val="0"/>
                <w:sz w:val="24"/>
                <w:szCs w:val="24"/>
                <w:u w:val="none"/>
                <w:lang w:val="en-US" w:eastAsia="zh-CN" w:bidi="ar"/>
              </w:rPr>
              <w:t>抛丸</w:t>
            </w:r>
          </w:p>
        </w:tc>
        <w:tc>
          <w:tcPr>
            <w:tcW w:w="1238" w:type="dxa"/>
            <w:noWrap w:val="0"/>
            <w:vAlign w:val="center"/>
          </w:tcPr>
          <w:p w14:paraId="469354C8">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4"/>
                <w:szCs w:val="24"/>
                <w:u w:val="none"/>
                <w:lang w:val="en-US" w:eastAsia="zh-CN" w:bidi="ar"/>
              </w:rPr>
            </w:pPr>
            <w:r>
              <w:rPr>
                <w:rFonts w:hint="eastAsia" w:ascii="Times New Roman" w:hAnsi="Times New Roman" w:eastAsia="宋体" w:cs="Times New Roman"/>
                <w:i w:val="0"/>
                <w:iCs w:val="0"/>
                <w:color w:val="0000FF"/>
                <w:kern w:val="0"/>
                <w:sz w:val="24"/>
                <w:szCs w:val="24"/>
                <w:u w:val="none"/>
                <w:lang w:val="en-US" w:eastAsia="zh-CN" w:bidi="ar"/>
              </w:rPr>
              <w:t>废钢丸</w:t>
            </w:r>
          </w:p>
        </w:tc>
        <w:tc>
          <w:tcPr>
            <w:tcW w:w="2602" w:type="dxa"/>
            <w:noWrap w:val="0"/>
            <w:vAlign w:val="center"/>
          </w:tcPr>
          <w:p w14:paraId="287F48EE">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4"/>
                <w:szCs w:val="24"/>
                <w:u w:val="none"/>
                <w:lang w:val="en-US" w:eastAsia="zh-CN" w:bidi="ar"/>
              </w:rPr>
            </w:pPr>
            <w:r>
              <w:rPr>
                <w:rFonts w:hint="default" w:ascii="Times New Roman" w:hAnsi="Times New Roman" w:eastAsia="宋体" w:cs="Times New Roman"/>
                <w:i w:val="0"/>
                <w:iCs w:val="0"/>
                <w:color w:val="0000FF"/>
                <w:kern w:val="0"/>
                <w:sz w:val="24"/>
                <w:szCs w:val="24"/>
                <w:u w:val="none"/>
                <w:lang w:val="en-US" w:eastAsia="zh-CN" w:bidi="ar"/>
              </w:rPr>
              <w:t>收集后交专业物资回收公司回收处理</w:t>
            </w:r>
          </w:p>
        </w:tc>
        <w:tc>
          <w:tcPr>
            <w:tcW w:w="2742" w:type="dxa"/>
            <w:vMerge w:val="continue"/>
            <w:noWrap w:val="0"/>
            <w:vAlign w:val="center"/>
          </w:tcPr>
          <w:p w14:paraId="75BF2BAA">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328D66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1C428428">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5291B560">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抛丸废气处理</w:t>
            </w:r>
          </w:p>
        </w:tc>
        <w:tc>
          <w:tcPr>
            <w:tcW w:w="1238" w:type="dxa"/>
            <w:noWrap w:val="0"/>
            <w:vAlign w:val="center"/>
          </w:tcPr>
          <w:p w14:paraId="35F7142B">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废布袋</w:t>
            </w:r>
          </w:p>
        </w:tc>
        <w:tc>
          <w:tcPr>
            <w:tcW w:w="2602" w:type="dxa"/>
            <w:noWrap w:val="0"/>
            <w:vAlign w:val="center"/>
          </w:tcPr>
          <w:p w14:paraId="5C8725D7">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检修更换后回收处理</w:t>
            </w:r>
          </w:p>
        </w:tc>
        <w:tc>
          <w:tcPr>
            <w:tcW w:w="2742" w:type="dxa"/>
            <w:vMerge w:val="continue"/>
            <w:noWrap w:val="0"/>
            <w:vAlign w:val="center"/>
          </w:tcPr>
          <w:p w14:paraId="50D706DC">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26318E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08DBD09D">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39525294">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气瓶检验-卸阀</w:t>
            </w:r>
          </w:p>
        </w:tc>
        <w:tc>
          <w:tcPr>
            <w:tcW w:w="1238" w:type="dxa"/>
            <w:noWrap w:val="0"/>
            <w:vAlign w:val="center"/>
          </w:tcPr>
          <w:p w14:paraId="2026AEBC">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废角阀</w:t>
            </w:r>
          </w:p>
        </w:tc>
        <w:tc>
          <w:tcPr>
            <w:tcW w:w="2602" w:type="dxa"/>
            <w:noWrap w:val="0"/>
            <w:vAlign w:val="center"/>
          </w:tcPr>
          <w:p w14:paraId="350AE0D2">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收集后交专业物资回收公司回收处理</w:t>
            </w:r>
          </w:p>
        </w:tc>
        <w:tc>
          <w:tcPr>
            <w:tcW w:w="2742" w:type="dxa"/>
            <w:vMerge w:val="continue"/>
            <w:noWrap w:val="0"/>
            <w:vAlign w:val="center"/>
          </w:tcPr>
          <w:p w14:paraId="32DCFBC4">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6127A5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661609C2">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3B524795">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喷塑废气处理</w:t>
            </w:r>
          </w:p>
        </w:tc>
        <w:tc>
          <w:tcPr>
            <w:tcW w:w="1238" w:type="dxa"/>
            <w:noWrap w:val="0"/>
            <w:vAlign w:val="center"/>
          </w:tcPr>
          <w:p w14:paraId="41CACCF2">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废滤芯</w:t>
            </w:r>
          </w:p>
        </w:tc>
        <w:tc>
          <w:tcPr>
            <w:tcW w:w="2602" w:type="dxa"/>
            <w:noWrap w:val="0"/>
            <w:vAlign w:val="center"/>
          </w:tcPr>
          <w:p w14:paraId="509D979A">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检修更换后回收处理</w:t>
            </w:r>
          </w:p>
        </w:tc>
        <w:tc>
          <w:tcPr>
            <w:tcW w:w="2742" w:type="dxa"/>
            <w:vMerge w:val="continue"/>
            <w:noWrap w:val="0"/>
            <w:vAlign w:val="center"/>
          </w:tcPr>
          <w:p w14:paraId="1DDAFBB3">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67A13D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4D30DD8E">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39A37346">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4"/>
                <w:szCs w:val="24"/>
                <w:u w:val="none"/>
                <w:lang w:val="en-US" w:eastAsia="zh-CN" w:bidi="ar"/>
              </w:rPr>
            </w:pPr>
            <w:r>
              <w:rPr>
                <w:rFonts w:hint="eastAsia" w:cs="Times New Roman"/>
                <w:i w:val="0"/>
                <w:iCs w:val="0"/>
                <w:color w:val="0000FF"/>
                <w:kern w:val="0"/>
                <w:sz w:val="24"/>
                <w:szCs w:val="24"/>
                <w:u w:val="none"/>
                <w:lang w:val="en-US" w:eastAsia="zh-CN" w:bidi="ar"/>
              </w:rPr>
              <w:t>原料拆包</w:t>
            </w:r>
          </w:p>
        </w:tc>
        <w:tc>
          <w:tcPr>
            <w:tcW w:w="1238" w:type="dxa"/>
            <w:noWrap w:val="0"/>
            <w:vAlign w:val="center"/>
          </w:tcPr>
          <w:p w14:paraId="1651BCAF">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4"/>
                <w:szCs w:val="24"/>
                <w:u w:val="none"/>
                <w:lang w:val="en-US" w:eastAsia="zh-CN" w:bidi="ar"/>
              </w:rPr>
            </w:pPr>
            <w:r>
              <w:rPr>
                <w:rFonts w:hint="eastAsia" w:cs="Times New Roman"/>
                <w:i w:val="0"/>
                <w:iCs w:val="0"/>
                <w:color w:val="0000FF"/>
                <w:kern w:val="0"/>
                <w:sz w:val="24"/>
                <w:szCs w:val="24"/>
                <w:u w:val="none"/>
                <w:lang w:val="en-US" w:eastAsia="zh-CN" w:bidi="ar"/>
              </w:rPr>
              <w:t>一般废原料包装</w:t>
            </w:r>
          </w:p>
        </w:tc>
        <w:tc>
          <w:tcPr>
            <w:tcW w:w="2602" w:type="dxa"/>
            <w:noWrap w:val="0"/>
            <w:vAlign w:val="center"/>
          </w:tcPr>
          <w:p w14:paraId="47FDD601">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4"/>
                <w:szCs w:val="24"/>
                <w:u w:val="none"/>
                <w:lang w:val="en-US" w:eastAsia="zh-CN" w:bidi="ar"/>
              </w:rPr>
            </w:pPr>
            <w:r>
              <w:rPr>
                <w:rFonts w:hint="default" w:ascii="Times New Roman" w:hAnsi="Times New Roman" w:eastAsia="宋体" w:cs="Times New Roman"/>
                <w:i w:val="0"/>
                <w:iCs w:val="0"/>
                <w:color w:val="0000FF"/>
                <w:kern w:val="0"/>
                <w:sz w:val="24"/>
                <w:szCs w:val="24"/>
                <w:u w:val="none"/>
                <w:lang w:val="en-US" w:eastAsia="zh-CN" w:bidi="ar"/>
              </w:rPr>
              <w:t>收集后交专业物资回收公司回收处理</w:t>
            </w:r>
          </w:p>
        </w:tc>
        <w:tc>
          <w:tcPr>
            <w:tcW w:w="2742" w:type="dxa"/>
            <w:vMerge w:val="continue"/>
            <w:noWrap w:val="0"/>
            <w:vAlign w:val="center"/>
          </w:tcPr>
          <w:p w14:paraId="390DA886">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1E696D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55C97537">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09359A74">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气瓶检验-丝印</w:t>
            </w:r>
          </w:p>
        </w:tc>
        <w:tc>
          <w:tcPr>
            <w:tcW w:w="1238" w:type="dxa"/>
            <w:noWrap w:val="0"/>
            <w:vAlign w:val="center"/>
          </w:tcPr>
          <w:p w14:paraId="0BDEDC7D">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废抹布</w:t>
            </w:r>
          </w:p>
        </w:tc>
        <w:tc>
          <w:tcPr>
            <w:tcW w:w="2602" w:type="dxa"/>
            <w:noWrap w:val="0"/>
            <w:vAlign w:val="center"/>
          </w:tcPr>
          <w:p w14:paraId="1BC02AAC">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危废间暂存，委托委托有资质单位回收处理</w:t>
            </w:r>
          </w:p>
        </w:tc>
        <w:tc>
          <w:tcPr>
            <w:tcW w:w="2742" w:type="dxa"/>
            <w:vMerge w:val="restart"/>
            <w:noWrap w:val="0"/>
            <w:vAlign w:val="center"/>
          </w:tcPr>
          <w:p w14:paraId="1D26548F">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r>
              <w:rPr>
                <w:rStyle w:val="50"/>
                <w:rFonts w:hint="default" w:ascii="Times New Roman" w:hAnsi="Times New Roman" w:eastAsia="宋体" w:cs="Times New Roman"/>
                <w:b w:val="0"/>
                <w:bCs w:val="0"/>
                <w:color w:val="0000FF"/>
                <w:sz w:val="24"/>
                <w:szCs w:val="24"/>
                <w:highlight w:val="none"/>
                <w:lang w:val="en-US" w:eastAsia="zh-CN"/>
              </w:rPr>
              <w:t>《危险废物贮存污染控制标准》GB18597-20</w:t>
            </w:r>
            <w:r>
              <w:rPr>
                <w:rStyle w:val="50"/>
                <w:rFonts w:hint="default" w:ascii="Times New Roman" w:hAnsi="Times New Roman" w:cs="Times New Roman"/>
                <w:b w:val="0"/>
                <w:bCs w:val="0"/>
                <w:color w:val="0000FF"/>
                <w:sz w:val="24"/>
                <w:szCs w:val="24"/>
                <w:highlight w:val="none"/>
                <w:lang w:val="en-US" w:eastAsia="zh-CN"/>
              </w:rPr>
              <w:t>23</w:t>
            </w:r>
            <w:r>
              <w:rPr>
                <w:rStyle w:val="50"/>
                <w:rFonts w:hint="default" w:ascii="Times New Roman" w:hAnsi="Times New Roman" w:eastAsia="宋体" w:cs="Times New Roman"/>
                <w:b w:val="0"/>
                <w:bCs w:val="0"/>
                <w:color w:val="0000FF"/>
                <w:sz w:val="24"/>
                <w:szCs w:val="24"/>
                <w:highlight w:val="none"/>
                <w:lang w:val="en-US" w:eastAsia="zh-CN"/>
              </w:rPr>
              <w:t>）</w:t>
            </w:r>
          </w:p>
        </w:tc>
      </w:tr>
      <w:tr w14:paraId="367C9C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2E9A8E7F">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5F6E1053">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气瓶检验-丝印</w:t>
            </w:r>
          </w:p>
        </w:tc>
        <w:tc>
          <w:tcPr>
            <w:tcW w:w="1238" w:type="dxa"/>
            <w:noWrap w:val="0"/>
            <w:vAlign w:val="center"/>
          </w:tcPr>
          <w:p w14:paraId="40B70353">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废油墨桶</w:t>
            </w:r>
          </w:p>
        </w:tc>
        <w:tc>
          <w:tcPr>
            <w:tcW w:w="2602" w:type="dxa"/>
            <w:noWrap w:val="0"/>
            <w:vAlign w:val="center"/>
          </w:tcPr>
          <w:p w14:paraId="6A29CF13">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危废间暂存，委托委托有资质单位回收处理</w:t>
            </w:r>
          </w:p>
        </w:tc>
        <w:tc>
          <w:tcPr>
            <w:tcW w:w="2742" w:type="dxa"/>
            <w:vMerge w:val="continue"/>
            <w:noWrap w:val="0"/>
            <w:vAlign w:val="center"/>
          </w:tcPr>
          <w:p w14:paraId="5255D463">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516FA6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1C989CDD">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shd w:val="clear" w:color="auto" w:fill="auto"/>
            <w:noWrap w:val="0"/>
            <w:vAlign w:val="center"/>
          </w:tcPr>
          <w:p w14:paraId="5D8FF34B">
            <w:pPr>
              <w:keepNext w:val="0"/>
              <w:keepLines w:val="0"/>
              <w:widowControl/>
              <w:suppressLineNumbers w:val="0"/>
              <w:jc w:val="center"/>
              <w:textAlignment w:val="center"/>
              <w:rPr>
                <w:rFonts w:hint="default" w:ascii="Times New Roman" w:hAnsi="Times New Roman" w:eastAsia="宋体" w:cs="Times New Roman"/>
                <w:i w:val="0"/>
                <w:snapToGrid w:val="0"/>
                <w:color w:val="0000FF"/>
                <w:kern w:val="0"/>
                <w:sz w:val="24"/>
                <w:szCs w:val="24"/>
                <w:u w:val="none"/>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气瓶检验-丝印</w:t>
            </w:r>
          </w:p>
        </w:tc>
        <w:tc>
          <w:tcPr>
            <w:tcW w:w="1238" w:type="dxa"/>
            <w:shd w:val="clear" w:color="auto" w:fill="auto"/>
            <w:noWrap w:val="0"/>
            <w:vAlign w:val="center"/>
          </w:tcPr>
          <w:p w14:paraId="5403297C">
            <w:pPr>
              <w:keepNext w:val="0"/>
              <w:keepLines w:val="0"/>
              <w:widowControl/>
              <w:suppressLineNumbers w:val="0"/>
              <w:jc w:val="center"/>
              <w:textAlignment w:val="center"/>
              <w:rPr>
                <w:rFonts w:hint="default" w:ascii="Times New Roman" w:hAnsi="Times New Roman" w:eastAsia="宋体" w:cs="Times New Roman"/>
                <w:snapToGrid w:val="0"/>
                <w:color w:val="0000FF"/>
                <w:kern w:val="0"/>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废丝印版</w:t>
            </w:r>
          </w:p>
        </w:tc>
        <w:tc>
          <w:tcPr>
            <w:tcW w:w="2602" w:type="dxa"/>
            <w:shd w:val="clear" w:color="auto" w:fill="auto"/>
            <w:noWrap w:val="0"/>
            <w:vAlign w:val="center"/>
          </w:tcPr>
          <w:p w14:paraId="2B9D368C">
            <w:pPr>
              <w:keepNext w:val="0"/>
              <w:keepLines w:val="0"/>
              <w:widowControl/>
              <w:suppressLineNumbers w:val="0"/>
              <w:jc w:val="center"/>
              <w:textAlignment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危废间暂存，委托委托有资质单位回收处理</w:t>
            </w:r>
          </w:p>
        </w:tc>
        <w:tc>
          <w:tcPr>
            <w:tcW w:w="2742" w:type="dxa"/>
            <w:vMerge w:val="continue"/>
            <w:noWrap w:val="0"/>
            <w:vAlign w:val="center"/>
          </w:tcPr>
          <w:p w14:paraId="5D011F87">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1A444C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2575D1AF">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shd w:val="clear" w:color="auto" w:fill="auto"/>
            <w:noWrap w:val="0"/>
            <w:vAlign w:val="center"/>
          </w:tcPr>
          <w:p w14:paraId="3D71A084">
            <w:pPr>
              <w:keepNext w:val="0"/>
              <w:keepLines w:val="0"/>
              <w:widowControl/>
              <w:suppressLineNumbers w:val="0"/>
              <w:jc w:val="center"/>
              <w:textAlignment w:val="center"/>
              <w:rPr>
                <w:rFonts w:hint="default" w:ascii="Times New Roman" w:hAnsi="Times New Roman" w:eastAsia="宋体" w:cs="Times New Roman"/>
                <w:i w:val="0"/>
                <w:color w:val="0000FF"/>
                <w:kern w:val="2"/>
                <w:sz w:val="24"/>
                <w:szCs w:val="24"/>
                <w:u w:val="none"/>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灌装/倒残</w:t>
            </w:r>
          </w:p>
        </w:tc>
        <w:tc>
          <w:tcPr>
            <w:tcW w:w="1238" w:type="dxa"/>
            <w:shd w:val="clear" w:color="auto" w:fill="auto"/>
            <w:noWrap w:val="0"/>
            <w:vAlign w:val="center"/>
          </w:tcPr>
          <w:p w14:paraId="6D1F985A">
            <w:pPr>
              <w:keepNext w:val="0"/>
              <w:keepLines w:val="0"/>
              <w:widowControl/>
              <w:suppressLineNumbers w:val="0"/>
              <w:jc w:val="center"/>
              <w:textAlignment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液化石油气残液</w:t>
            </w:r>
          </w:p>
        </w:tc>
        <w:tc>
          <w:tcPr>
            <w:tcW w:w="2602" w:type="dxa"/>
            <w:shd w:val="clear" w:color="auto" w:fill="auto"/>
            <w:noWrap w:val="0"/>
            <w:vAlign w:val="center"/>
          </w:tcPr>
          <w:p w14:paraId="166C99E2">
            <w:pPr>
              <w:keepNext w:val="0"/>
              <w:keepLines w:val="0"/>
              <w:widowControl/>
              <w:suppressLineNumbers w:val="0"/>
              <w:jc w:val="center"/>
              <w:textAlignment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危废间暂存，委托有资质的单位定期回收</w:t>
            </w:r>
          </w:p>
        </w:tc>
        <w:tc>
          <w:tcPr>
            <w:tcW w:w="2742" w:type="dxa"/>
            <w:vMerge w:val="continue"/>
            <w:noWrap w:val="0"/>
            <w:vAlign w:val="center"/>
          </w:tcPr>
          <w:p w14:paraId="7D07CBC3">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7A5D2E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07C8841F">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shd w:val="clear" w:color="auto" w:fill="auto"/>
            <w:noWrap w:val="0"/>
            <w:vAlign w:val="center"/>
          </w:tcPr>
          <w:p w14:paraId="25668D66">
            <w:pPr>
              <w:keepNext w:val="0"/>
              <w:keepLines w:val="0"/>
              <w:widowControl/>
              <w:suppressLineNumbers w:val="0"/>
              <w:jc w:val="center"/>
              <w:textAlignment w:val="center"/>
              <w:rPr>
                <w:rFonts w:hint="default" w:ascii="Times New Roman" w:hAnsi="Times New Roman" w:eastAsia="宋体" w:cs="Times New Roman"/>
                <w:i w:val="0"/>
                <w:color w:val="0000FF"/>
                <w:kern w:val="2"/>
                <w:sz w:val="24"/>
                <w:szCs w:val="24"/>
                <w:u w:val="none"/>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设备维修检修过程</w:t>
            </w:r>
          </w:p>
        </w:tc>
        <w:tc>
          <w:tcPr>
            <w:tcW w:w="1238" w:type="dxa"/>
            <w:shd w:val="clear" w:color="auto" w:fill="auto"/>
            <w:noWrap w:val="0"/>
            <w:vAlign w:val="center"/>
          </w:tcPr>
          <w:p w14:paraId="71D0A3D7">
            <w:pPr>
              <w:keepNext w:val="0"/>
              <w:keepLines w:val="0"/>
              <w:widowControl/>
              <w:suppressLineNumbers w:val="0"/>
              <w:jc w:val="center"/>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废矿物油</w:t>
            </w:r>
          </w:p>
        </w:tc>
        <w:tc>
          <w:tcPr>
            <w:tcW w:w="2602" w:type="dxa"/>
            <w:shd w:val="clear" w:color="auto" w:fill="auto"/>
            <w:noWrap w:val="0"/>
            <w:vAlign w:val="center"/>
          </w:tcPr>
          <w:p w14:paraId="30F7AB1D">
            <w:pPr>
              <w:keepNext w:val="0"/>
              <w:keepLines w:val="0"/>
              <w:widowControl/>
              <w:suppressLineNumbers w:val="0"/>
              <w:jc w:val="center"/>
              <w:textAlignment w:val="center"/>
              <w:rPr>
                <w:rFonts w:hint="default" w:ascii="Times New Roman" w:hAnsi="Times New Roman" w:eastAsia="宋体" w:cs="Times New Roman"/>
                <w:color w:val="0000FF"/>
                <w:kern w:val="2"/>
                <w:sz w:val="24"/>
                <w:szCs w:val="24"/>
                <w:lang w:val="en-US" w:eastAsia="zh-CN" w:bidi="ar-SA"/>
              </w:rPr>
            </w:pPr>
            <w:r>
              <w:rPr>
                <w:rFonts w:hint="default" w:ascii="Times New Roman" w:hAnsi="Times New Roman" w:eastAsia="宋体" w:cs="Times New Roman"/>
                <w:i w:val="0"/>
                <w:iCs w:val="0"/>
                <w:color w:val="0000FF"/>
                <w:kern w:val="0"/>
                <w:sz w:val="24"/>
                <w:szCs w:val="24"/>
                <w:u w:val="none"/>
                <w:lang w:val="en-US" w:eastAsia="zh-CN" w:bidi="ar"/>
              </w:rPr>
              <w:t>危废间暂存，委托委托有资质单位回收处理</w:t>
            </w:r>
          </w:p>
        </w:tc>
        <w:tc>
          <w:tcPr>
            <w:tcW w:w="2742" w:type="dxa"/>
            <w:vMerge w:val="continue"/>
            <w:noWrap w:val="0"/>
            <w:vAlign w:val="center"/>
          </w:tcPr>
          <w:p w14:paraId="50AD82FF">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184FD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vMerge w:val="continue"/>
            <w:noWrap w:val="0"/>
            <w:vAlign w:val="center"/>
          </w:tcPr>
          <w:p w14:paraId="0D7F0CCC">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p>
        </w:tc>
        <w:tc>
          <w:tcPr>
            <w:tcW w:w="1577" w:type="dxa"/>
            <w:noWrap w:val="0"/>
            <w:vAlign w:val="center"/>
          </w:tcPr>
          <w:p w14:paraId="59EA88F5">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更换矿物油</w:t>
            </w:r>
          </w:p>
        </w:tc>
        <w:tc>
          <w:tcPr>
            <w:tcW w:w="1238" w:type="dxa"/>
            <w:noWrap w:val="0"/>
            <w:vAlign w:val="center"/>
          </w:tcPr>
          <w:p w14:paraId="0733FA00">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废油桶</w:t>
            </w:r>
          </w:p>
        </w:tc>
        <w:tc>
          <w:tcPr>
            <w:tcW w:w="2602" w:type="dxa"/>
            <w:noWrap w:val="0"/>
            <w:vAlign w:val="center"/>
          </w:tcPr>
          <w:p w14:paraId="7A758040">
            <w:pPr>
              <w:keepNext w:val="0"/>
              <w:keepLines w:val="0"/>
              <w:widowControl/>
              <w:suppressLineNumbers w:val="0"/>
              <w:jc w:val="center"/>
              <w:textAlignment w:val="center"/>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i w:val="0"/>
                <w:iCs w:val="0"/>
                <w:color w:val="0000FF"/>
                <w:kern w:val="0"/>
                <w:sz w:val="24"/>
                <w:szCs w:val="24"/>
                <w:u w:val="none"/>
                <w:lang w:val="en-US" w:eastAsia="zh-CN" w:bidi="ar"/>
              </w:rPr>
              <w:t>危废间暂存，委托委托有资质单位回收处理</w:t>
            </w:r>
          </w:p>
        </w:tc>
        <w:tc>
          <w:tcPr>
            <w:tcW w:w="2742" w:type="dxa"/>
            <w:vMerge w:val="continue"/>
            <w:noWrap w:val="0"/>
            <w:vAlign w:val="center"/>
          </w:tcPr>
          <w:p w14:paraId="42F2F694">
            <w:pPr>
              <w:keepNext w:val="0"/>
              <w:keepLines w:val="0"/>
              <w:pageBreakBefore w:val="0"/>
              <w:kinsoku/>
              <w:overflowPunct/>
              <w:topLinePunct w:val="0"/>
              <w:autoSpaceDE/>
              <w:autoSpaceDN/>
              <w:bidi w:val="0"/>
              <w:adjustRightInd w:val="0"/>
              <w:snapToGrid w:val="0"/>
              <w:spacing w:line="240" w:lineRule="auto"/>
              <w:jc w:val="both"/>
              <w:rPr>
                <w:rFonts w:hint="default" w:ascii="Times New Roman" w:hAnsi="Times New Roman" w:eastAsia="宋体" w:cs="Times New Roman"/>
                <w:color w:val="0000FF"/>
                <w:sz w:val="24"/>
                <w:szCs w:val="24"/>
                <w:lang w:eastAsia="zh-CN"/>
              </w:rPr>
            </w:pPr>
          </w:p>
        </w:tc>
      </w:tr>
      <w:tr w14:paraId="7A94C6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40" w:type="dxa"/>
            <w:noWrap w:val="0"/>
            <w:vAlign w:val="center"/>
          </w:tcPr>
          <w:p w14:paraId="07ADD7FE">
            <w:pPr>
              <w:keepNext w:val="0"/>
              <w:keepLines w:val="0"/>
              <w:pageBreakBefore w:val="0"/>
              <w:kinsoku/>
              <w:overflowPunct/>
              <w:topLinePunct w:val="0"/>
              <w:autoSpaceDE/>
              <w:autoSpaceDN/>
              <w:bidi w:val="0"/>
              <w:adjustRightInd w:val="0"/>
              <w:snapToGrid w:val="0"/>
              <w:spacing w:line="240" w:lineRule="auto"/>
              <w:ind w:left="0" w:leftChars="0"/>
              <w:jc w:val="center"/>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土壤及地下水污染防治措施</w:t>
            </w:r>
          </w:p>
        </w:tc>
        <w:tc>
          <w:tcPr>
            <w:tcW w:w="8159" w:type="dxa"/>
            <w:gridSpan w:val="4"/>
            <w:noWrap w:val="0"/>
            <w:vAlign w:val="center"/>
          </w:tcPr>
          <w:p w14:paraId="33E28B94">
            <w:pPr>
              <w:spacing w:line="360" w:lineRule="auto"/>
              <w:ind w:firstLine="480" w:firstLineChars="200"/>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t>根据《环境影响评价技术导则地下水环境》（HJ610-2016）</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rPr>
              <w:t>《危险废物贮存污染控制标准》（GB18597-20</w:t>
            </w:r>
            <w:r>
              <w:rPr>
                <w:rFonts w:hint="default" w:ascii="Times New Roman" w:hAnsi="Times New Roman" w:cs="Times New Roman"/>
                <w:color w:val="0000FF"/>
                <w:sz w:val="24"/>
                <w:szCs w:val="24"/>
                <w:lang w:val="en-US" w:eastAsia="zh-CN"/>
              </w:rPr>
              <w:t>23</w:t>
            </w:r>
            <w:r>
              <w:rPr>
                <w:rFonts w:hint="default" w:ascii="Times New Roman" w:hAnsi="Times New Roman" w:cs="Times New Roman"/>
                <w:color w:val="0000FF"/>
                <w:sz w:val="24"/>
                <w:szCs w:val="24"/>
              </w:rPr>
              <w:t>）</w:t>
            </w:r>
            <w:r>
              <w:rPr>
                <w:rFonts w:hint="default" w:ascii="Times New Roman" w:hAnsi="Times New Roman" w:cs="Times New Roman"/>
                <w:color w:val="0000FF"/>
                <w:sz w:val="24"/>
                <w:szCs w:val="24"/>
                <w:lang w:val="en-US" w:eastAsia="zh-CN"/>
              </w:rPr>
              <w:t>要求</w:t>
            </w:r>
            <w:r>
              <w:rPr>
                <w:rFonts w:hint="default" w:ascii="Times New Roman" w:hAnsi="Times New Roman" w:cs="Times New Roman"/>
                <w:color w:val="0000FF"/>
                <w:sz w:val="24"/>
                <w:szCs w:val="24"/>
              </w:rPr>
              <w:t>，项目依据天然包气带防污性能、污染控制难易程度和污染物特性进行防渗分区划分。将厂区划分为</w:t>
            </w:r>
            <w:r>
              <w:rPr>
                <w:rFonts w:hint="default" w:ascii="Times New Roman" w:hAnsi="Times New Roman" w:cs="Times New Roman"/>
                <w:color w:val="0000FF"/>
                <w:sz w:val="24"/>
                <w:szCs w:val="24"/>
                <w:lang w:eastAsia="zh-CN"/>
              </w:rPr>
              <w:t>行业防渗区、</w:t>
            </w:r>
            <w:r>
              <w:rPr>
                <w:rFonts w:hint="default" w:ascii="Times New Roman" w:hAnsi="Times New Roman" w:cs="Times New Roman"/>
                <w:color w:val="0000FF"/>
                <w:sz w:val="24"/>
                <w:szCs w:val="24"/>
              </w:rPr>
              <w:t>重点防</w:t>
            </w:r>
            <w:r>
              <w:rPr>
                <w:rFonts w:hint="default" w:ascii="Times New Roman" w:hAnsi="Times New Roman" w:cs="Times New Roman"/>
                <w:color w:val="0000FF"/>
                <w:sz w:val="24"/>
                <w:szCs w:val="24"/>
                <w:lang w:eastAsia="zh-CN"/>
              </w:rPr>
              <w:t>渗</w:t>
            </w:r>
            <w:r>
              <w:rPr>
                <w:rFonts w:hint="default" w:ascii="Times New Roman" w:hAnsi="Times New Roman" w:cs="Times New Roman"/>
                <w:color w:val="0000FF"/>
                <w:sz w:val="24"/>
                <w:szCs w:val="24"/>
              </w:rPr>
              <w:t xml:space="preserve">区、一般防渗区和简单防渗区。针对不同的区域提出相应的防渗要求。 </w:t>
            </w:r>
          </w:p>
          <w:p w14:paraId="5EBE2A92">
            <w:pPr>
              <w:spacing w:line="360" w:lineRule="auto"/>
              <w:ind w:firstLine="480" w:firstLineChars="200"/>
              <w:rPr>
                <w:rFonts w:hint="default" w:ascii="Times New Roman" w:hAnsi="Times New Roman" w:cs="Times New Roman"/>
                <w:color w:val="0000FF"/>
                <w:sz w:val="24"/>
                <w:szCs w:val="24"/>
              </w:rPr>
            </w:pP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lang w:val="en-US" w:eastAsia="zh-CN"/>
              </w:rPr>
              <w:t>1</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rPr>
              <w:t>重点防</w:t>
            </w:r>
            <w:r>
              <w:rPr>
                <w:rFonts w:hint="default" w:ascii="Times New Roman" w:hAnsi="Times New Roman" w:cs="Times New Roman"/>
                <w:color w:val="0000FF"/>
                <w:sz w:val="24"/>
                <w:szCs w:val="24"/>
                <w:lang w:eastAsia="zh-CN"/>
              </w:rPr>
              <w:t>渗</w:t>
            </w:r>
            <w:r>
              <w:rPr>
                <w:rFonts w:hint="default" w:ascii="Times New Roman" w:hAnsi="Times New Roman" w:cs="Times New Roman"/>
                <w:color w:val="0000FF"/>
                <w:sz w:val="24"/>
                <w:szCs w:val="24"/>
              </w:rPr>
              <w:t>区：</w:t>
            </w:r>
            <w:r>
              <w:rPr>
                <w:rFonts w:hint="default" w:ascii="Times New Roman" w:hAnsi="Times New Roman" w:cs="Times New Roman"/>
                <w:color w:val="0000FF"/>
                <w:sz w:val="24"/>
                <w:szCs w:val="24"/>
                <w:lang w:eastAsia="zh-CN"/>
              </w:rPr>
              <w:t>危险废物暂存间</w:t>
            </w:r>
            <w:r>
              <w:rPr>
                <w:rFonts w:hint="default" w:ascii="Times New Roman" w:hAnsi="Times New Roman" w:cs="Times New Roman"/>
                <w:color w:val="0000FF"/>
                <w:sz w:val="24"/>
                <w:szCs w:val="24"/>
                <w:lang w:val="en-US" w:eastAsia="zh-CN"/>
              </w:rPr>
              <w:t>防渗层采用2mm厚高密度聚乙烯或至少2mm厚的其它人工材料，渗透系数≤10</w:t>
            </w:r>
            <w:r>
              <w:rPr>
                <w:rFonts w:hint="default" w:ascii="Times New Roman" w:hAnsi="Times New Roman" w:cs="Times New Roman"/>
                <w:color w:val="0000FF"/>
                <w:sz w:val="24"/>
                <w:szCs w:val="24"/>
                <w:vertAlign w:val="superscript"/>
                <w:lang w:val="en-US" w:eastAsia="zh-CN"/>
              </w:rPr>
              <w:t>-10</w:t>
            </w:r>
            <w:r>
              <w:rPr>
                <w:rFonts w:hint="default" w:ascii="Times New Roman" w:hAnsi="Times New Roman" w:cs="Times New Roman"/>
                <w:color w:val="0000FF"/>
                <w:sz w:val="24"/>
                <w:szCs w:val="24"/>
                <w:lang w:val="en-US" w:eastAsia="zh-CN"/>
              </w:rPr>
              <w:t>cm/s</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lang w:val="en-US" w:eastAsia="zh-CN"/>
              </w:rPr>
              <w:t>液化石油气、丙烷气罐区、槽车卸车区、灌装用房、事故水池</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lang w:val="en-US" w:eastAsia="zh-CN"/>
              </w:rPr>
              <w:t>防渗性能</w:t>
            </w:r>
            <w:r>
              <w:rPr>
                <w:rFonts w:hint="default" w:ascii="Times New Roman" w:hAnsi="Times New Roman" w:cs="Times New Roman"/>
                <w:color w:val="0000FF"/>
                <w:sz w:val="24"/>
                <w:szCs w:val="24"/>
              </w:rPr>
              <w:t>等效黏土防渗层Mb≥</w:t>
            </w:r>
            <w:r>
              <w:rPr>
                <w:rFonts w:hint="default" w:ascii="Times New Roman" w:hAnsi="Times New Roman" w:cs="Times New Roman"/>
                <w:color w:val="0000FF"/>
                <w:sz w:val="24"/>
                <w:szCs w:val="24"/>
                <w:lang w:val="en-US" w:eastAsia="zh-CN"/>
              </w:rPr>
              <w:t>6</w:t>
            </w:r>
            <w:r>
              <w:rPr>
                <w:rFonts w:hint="default" w:ascii="Times New Roman" w:hAnsi="Times New Roman" w:cs="Times New Roman"/>
                <w:color w:val="0000FF"/>
                <w:sz w:val="24"/>
                <w:szCs w:val="24"/>
              </w:rPr>
              <w:t>m，渗透系数K≤1×10</w:t>
            </w:r>
            <w:r>
              <w:rPr>
                <w:rFonts w:hint="default" w:ascii="Times New Roman" w:hAnsi="Times New Roman" w:cs="Times New Roman"/>
                <w:color w:val="0000FF"/>
                <w:sz w:val="24"/>
                <w:szCs w:val="24"/>
                <w:vertAlign w:val="superscript"/>
              </w:rPr>
              <w:t>-</w:t>
            </w:r>
            <w:r>
              <w:rPr>
                <w:rFonts w:hint="default" w:ascii="Times New Roman" w:hAnsi="Times New Roman" w:cs="Times New Roman"/>
                <w:color w:val="0000FF"/>
                <w:sz w:val="24"/>
                <w:szCs w:val="24"/>
                <w:vertAlign w:val="superscript"/>
                <w:lang w:val="en-US" w:eastAsia="zh-CN"/>
              </w:rPr>
              <w:t>7</w:t>
            </w:r>
            <w:r>
              <w:rPr>
                <w:rFonts w:hint="default" w:ascii="Times New Roman" w:hAnsi="Times New Roman" w:cs="Times New Roman"/>
                <w:color w:val="0000FF"/>
                <w:sz w:val="24"/>
                <w:szCs w:val="24"/>
              </w:rPr>
              <w:t>cm/s</w:t>
            </w:r>
            <w:r>
              <w:rPr>
                <w:rFonts w:hint="default" w:ascii="Times New Roman" w:hAnsi="Times New Roman" w:cs="Times New Roman"/>
                <w:color w:val="0000FF"/>
                <w:sz w:val="24"/>
                <w:szCs w:val="24"/>
                <w:lang w:val="en-US" w:eastAsia="zh-CN"/>
              </w:rPr>
              <w:t>或参照GB18598执行</w:t>
            </w:r>
            <w:r>
              <w:rPr>
                <w:rFonts w:hint="default" w:ascii="Times New Roman" w:hAnsi="Times New Roman" w:cs="Times New Roman"/>
                <w:color w:val="0000FF"/>
                <w:sz w:val="24"/>
                <w:szCs w:val="24"/>
              </w:rPr>
              <w:t>。</w:t>
            </w:r>
          </w:p>
          <w:p w14:paraId="166AC7D0">
            <w:pPr>
              <w:spacing w:line="360" w:lineRule="auto"/>
              <w:ind w:firstLine="480" w:firstLineChars="200"/>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t>（</w:t>
            </w:r>
            <w:r>
              <w:rPr>
                <w:rFonts w:hint="default" w:ascii="Times New Roman" w:hAnsi="Times New Roman" w:cs="Times New Roman"/>
                <w:color w:val="0000FF"/>
                <w:sz w:val="24"/>
                <w:szCs w:val="24"/>
                <w:lang w:val="en-US" w:eastAsia="zh-CN"/>
              </w:rPr>
              <w:t>3</w:t>
            </w:r>
            <w:r>
              <w:rPr>
                <w:rFonts w:hint="default" w:ascii="Times New Roman" w:hAnsi="Times New Roman" w:cs="Times New Roman"/>
                <w:color w:val="0000FF"/>
                <w:sz w:val="24"/>
                <w:szCs w:val="24"/>
              </w:rPr>
              <w:t>）一般防渗区：</w:t>
            </w:r>
            <w:r>
              <w:rPr>
                <w:rFonts w:hint="default" w:ascii="Times New Roman" w:hAnsi="Times New Roman" w:cs="Times New Roman"/>
                <w:color w:val="0000FF"/>
                <w:sz w:val="24"/>
                <w:szCs w:val="24"/>
                <w:lang w:val="en-US" w:eastAsia="zh-CN"/>
              </w:rPr>
              <w:t>其他气体储罐区、其他气体灌装区、压缩机房、泵房、消防水池、废气处理设施区域，防渗性能</w:t>
            </w:r>
            <w:r>
              <w:rPr>
                <w:rFonts w:hint="default" w:ascii="Times New Roman" w:hAnsi="Times New Roman" w:cs="Times New Roman"/>
                <w:color w:val="0000FF"/>
                <w:sz w:val="24"/>
                <w:szCs w:val="24"/>
              </w:rPr>
              <w:t>等效黏土防渗层Mb≥1.5m，渗透系数K≤1×10</w:t>
            </w:r>
            <w:r>
              <w:rPr>
                <w:rFonts w:hint="default" w:ascii="Times New Roman" w:hAnsi="Times New Roman" w:cs="Times New Roman"/>
                <w:color w:val="0000FF"/>
                <w:sz w:val="24"/>
                <w:szCs w:val="24"/>
                <w:vertAlign w:val="superscript"/>
              </w:rPr>
              <w:t>-7</w:t>
            </w:r>
            <w:r>
              <w:rPr>
                <w:rFonts w:hint="default" w:ascii="Times New Roman" w:hAnsi="Times New Roman" w:cs="Times New Roman"/>
                <w:color w:val="0000FF"/>
                <w:sz w:val="24"/>
                <w:szCs w:val="24"/>
              </w:rPr>
              <w:t>cm/s</w:t>
            </w:r>
            <w:r>
              <w:rPr>
                <w:rFonts w:hint="default" w:ascii="Times New Roman" w:hAnsi="Times New Roman" w:cs="Times New Roman"/>
                <w:color w:val="0000FF"/>
                <w:sz w:val="24"/>
                <w:szCs w:val="24"/>
                <w:lang w:val="en-US" w:eastAsia="zh-CN"/>
              </w:rPr>
              <w:t>或参照GB18598 执行</w:t>
            </w:r>
            <w:r>
              <w:rPr>
                <w:rFonts w:hint="default" w:ascii="Times New Roman" w:hAnsi="Times New Roman" w:cs="Times New Roman"/>
                <w:color w:val="0000FF"/>
                <w:sz w:val="24"/>
                <w:szCs w:val="24"/>
              </w:rPr>
              <w:t>。</w:t>
            </w:r>
          </w:p>
          <w:p w14:paraId="2CA1AE1E">
            <w:pPr>
              <w:spacing w:line="360" w:lineRule="auto"/>
              <w:ind w:firstLine="480" w:firstLineChars="200"/>
              <w:rPr>
                <w:rFonts w:hint="default" w:ascii="Times New Roman" w:hAnsi="Times New Roman" w:eastAsia="宋体" w:cs="Times New Roman"/>
                <w:color w:val="0000FF"/>
                <w:sz w:val="24"/>
                <w:szCs w:val="24"/>
                <w:lang w:eastAsia="zh-CN"/>
              </w:rPr>
            </w:pPr>
            <w:r>
              <w:rPr>
                <w:rFonts w:hint="default" w:ascii="Times New Roman" w:hAnsi="Times New Roman" w:cs="Times New Roman"/>
                <w:color w:val="0000FF"/>
                <w:sz w:val="24"/>
                <w:szCs w:val="24"/>
              </w:rPr>
              <w:t>（</w:t>
            </w:r>
            <w:r>
              <w:rPr>
                <w:rFonts w:hint="default" w:ascii="Times New Roman" w:hAnsi="Times New Roman" w:cs="Times New Roman"/>
                <w:color w:val="0000FF"/>
                <w:sz w:val="24"/>
                <w:szCs w:val="24"/>
                <w:lang w:val="en-US" w:eastAsia="zh-CN"/>
              </w:rPr>
              <w:t>4</w:t>
            </w:r>
            <w:r>
              <w:rPr>
                <w:rFonts w:hint="default" w:ascii="Times New Roman" w:hAnsi="Times New Roman" w:cs="Times New Roman"/>
                <w:color w:val="0000FF"/>
                <w:sz w:val="24"/>
                <w:szCs w:val="24"/>
              </w:rPr>
              <w:t>）简单防渗区：指不会对土壤和地下水造成污染的区域，主要包括</w:t>
            </w:r>
            <w:r>
              <w:rPr>
                <w:rFonts w:hint="default" w:ascii="Times New Roman" w:hAnsi="Times New Roman" w:cs="Times New Roman"/>
                <w:color w:val="0000FF"/>
                <w:sz w:val="24"/>
                <w:szCs w:val="24"/>
                <w:lang w:val="en-US" w:eastAsia="zh-CN"/>
              </w:rPr>
              <w:t>办公生活区、休息区、消防器材库库、配电室</w:t>
            </w:r>
            <w:r>
              <w:rPr>
                <w:rFonts w:hint="default" w:ascii="Times New Roman" w:hAnsi="Times New Roman" w:cs="Times New Roman"/>
                <w:color w:val="0000FF"/>
                <w:sz w:val="24"/>
                <w:szCs w:val="24"/>
              </w:rPr>
              <w:t>等基本上不产生污染物的非污染防治区，不采取专门针对地下水污染的防治措施，但地基处理应分层压实。</w:t>
            </w:r>
          </w:p>
        </w:tc>
      </w:tr>
      <w:tr w14:paraId="5E1044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840" w:type="dxa"/>
            <w:noWrap w:val="0"/>
            <w:textDirection w:val="tbLrV"/>
            <w:vAlign w:val="center"/>
          </w:tcPr>
          <w:p w14:paraId="10BEACD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4"/>
                <w:szCs w:val="24"/>
              </w:rPr>
            </w:pPr>
            <w:r>
              <w:rPr>
                <w:rFonts w:hint="default" w:ascii="Times New Roman" w:hAnsi="Times New Roman" w:cs="Times New Roman"/>
                <w:color w:val="0000FF"/>
                <w:sz w:val="24"/>
                <w:szCs w:val="24"/>
                <w:highlight w:val="none"/>
              </w:rPr>
              <w:t>生态保护措施</w:t>
            </w:r>
          </w:p>
        </w:tc>
        <w:tc>
          <w:tcPr>
            <w:tcW w:w="8159" w:type="dxa"/>
            <w:gridSpan w:val="4"/>
            <w:noWrap w:val="0"/>
            <w:vAlign w:val="center"/>
          </w:tcPr>
          <w:p w14:paraId="630B4CE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0000FF"/>
                <w:sz w:val="24"/>
                <w:szCs w:val="24"/>
              </w:rPr>
            </w:pPr>
            <w:r>
              <w:rPr>
                <w:rFonts w:hint="default" w:ascii="Times New Roman" w:hAnsi="Times New Roman" w:eastAsia="宋体" w:cs="Times New Roman"/>
                <w:caps w:val="0"/>
                <w:color w:val="0000FF"/>
                <w:sz w:val="24"/>
                <w:szCs w:val="24"/>
                <w:lang w:val="en-US" w:eastAsia="zh-CN"/>
              </w:rPr>
              <w:t>本项目位于</w:t>
            </w:r>
            <w:r>
              <w:rPr>
                <w:rFonts w:hint="default" w:ascii="Times New Roman" w:hAnsi="Times New Roman" w:eastAsia="宋体" w:cs="Times New Roman"/>
                <w:color w:val="0000FF"/>
                <w:kern w:val="0"/>
                <w:sz w:val="24"/>
                <w:szCs w:val="24"/>
                <w:shd w:val="clear" w:color="auto" w:fill="auto"/>
                <w:lang w:val="en-US" w:eastAsia="zh-CN"/>
              </w:rPr>
              <w:t>内蒙古包头九原工业园区—新材料产业园</w:t>
            </w:r>
            <w:r>
              <w:rPr>
                <w:rFonts w:hint="default" w:ascii="Times New Roman" w:hAnsi="Times New Roman" w:eastAsia="宋体" w:cs="Times New Roman"/>
                <w:caps w:val="0"/>
                <w:color w:val="0000FF"/>
                <w:sz w:val="24"/>
                <w:szCs w:val="24"/>
              </w:rPr>
              <w:t>，项目周围无生态环境敏感目标，该区域人类活动频繁，无</w:t>
            </w:r>
            <w:r>
              <w:rPr>
                <w:rFonts w:hint="default" w:ascii="Times New Roman" w:hAnsi="Times New Roman" w:eastAsia="宋体" w:cs="Times New Roman"/>
                <w:caps w:val="0"/>
                <w:color w:val="0000FF"/>
                <w:sz w:val="24"/>
                <w:szCs w:val="24"/>
                <w:lang w:eastAsia="zh-CN"/>
              </w:rPr>
              <w:t>珍稀</w:t>
            </w:r>
            <w:r>
              <w:rPr>
                <w:rFonts w:hint="default" w:ascii="Times New Roman" w:hAnsi="Times New Roman" w:eastAsia="宋体" w:cs="Times New Roman"/>
                <w:caps w:val="0"/>
                <w:color w:val="0000FF"/>
                <w:sz w:val="24"/>
                <w:szCs w:val="24"/>
              </w:rPr>
              <w:t>保护动植物，</w:t>
            </w:r>
            <w:r>
              <w:rPr>
                <w:rFonts w:hint="default" w:ascii="Times New Roman" w:hAnsi="Times New Roman" w:eastAsia="宋体" w:cs="Times New Roman"/>
                <w:caps w:val="0"/>
                <w:color w:val="0000FF"/>
                <w:sz w:val="24"/>
                <w:szCs w:val="24"/>
                <w:highlight w:val="none"/>
              </w:rPr>
              <w:t>运营期</w:t>
            </w:r>
            <w:r>
              <w:rPr>
                <w:rFonts w:hint="default" w:ascii="Times New Roman" w:hAnsi="Times New Roman" w:eastAsia="宋体" w:cs="Times New Roman"/>
                <w:color w:val="0000FF"/>
                <w:sz w:val="24"/>
                <w:szCs w:val="24"/>
                <w:highlight w:val="none"/>
                <w:lang w:eastAsia="zh-CN"/>
              </w:rPr>
              <w:t>不会对生态环境造成影响，</w:t>
            </w:r>
            <w:r>
              <w:rPr>
                <w:rFonts w:hint="default" w:ascii="Times New Roman" w:hAnsi="Times New Roman" w:eastAsia="宋体" w:cs="Times New Roman"/>
                <w:color w:val="0000FF"/>
                <w:sz w:val="24"/>
                <w:szCs w:val="24"/>
                <w:lang w:val="en-US" w:eastAsia="zh-CN"/>
              </w:rPr>
              <w:t>根据《中华人民共和国防沙治沙法》（2018年10月26日修订）防沙治沙的要求，在施工期内，必须采取措施，严格控制裸露地面以及粗放式施工和地面开挖等可能造成土壤沙化的施工作业，减少土壤沙化趋势。</w:t>
            </w:r>
            <w:r>
              <w:rPr>
                <w:rFonts w:hint="default" w:ascii="Times New Roman" w:hAnsi="Times New Roman" w:cs="Times New Roman"/>
                <w:color w:val="0000FF"/>
                <w:sz w:val="24"/>
                <w:szCs w:val="24"/>
              </w:rPr>
              <w:t>工程建成后，对道路两侧环境绿化措施实施，项目占地的生态影响可得到一定补偿</w:t>
            </w:r>
            <w:r>
              <w:rPr>
                <w:rFonts w:hint="default" w:ascii="Times New Roman" w:hAnsi="Times New Roman" w:cs="Times New Roman"/>
                <w:color w:val="0000FF"/>
                <w:sz w:val="24"/>
                <w:szCs w:val="24"/>
                <w:lang w:eastAsia="zh-CN"/>
              </w:rPr>
              <w:t>，</w:t>
            </w:r>
            <w:r>
              <w:rPr>
                <w:rFonts w:hint="default" w:ascii="Times New Roman" w:hAnsi="Times New Roman" w:cs="Times New Roman"/>
                <w:color w:val="0000FF"/>
                <w:sz w:val="24"/>
                <w:szCs w:val="24"/>
                <w:lang w:val="en-US" w:eastAsia="zh-CN"/>
              </w:rPr>
              <w:t>可有效控制项目建设区域土壤沙化的影响</w:t>
            </w:r>
            <w:r>
              <w:rPr>
                <w:rFonts w:hint="default" w:ascii="Times New Roman" w:hAnsi="Times New Roman" w:eastAsia="宋体" w:cs="Times New Roman"/>
                <w:caps w:val="0"/>
                <w:color w:val="0000FF"/>
                <w:sz w:val="24"/>
                <w:szCs w:val="24"/>
              </w:rPr>
              <w:t>。</w:t>
            </w:r>
          </w:p>
        </w:tc>
      </w:tr>
      <w:tr w14:paraId="584E08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noWrap w:val="0"/>
            <w:vAlign w:val="center"/>
          </w:tcPr>
          <w:p w14:paraId="5F342F36">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4"/>
                <w:szCs w:val="24"/>
                <w:highlight w:val="none"/>
              </w:rPr>
            </w:pPr>
            <w:r>
              <w:rPr>
                <w:rFonts w:hint="default" w:ascii="Times New Roman" w:hAnsi="Times New Roman" w:cs="Times New Roman"/>
                <w:color w:val="0000FF"/>
                <w:sz w:val="24"/>
                <w:szCs w:val="24"/>
                <w:highlight w:val="none"/>
              </w:rPr>
              <w:t>环境</w:t>
            </w:r>
          </w:p>
          <w:p w14:paraId="2AC10AB9">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4"/>
                <w:szCs w:val="24"/>
                <w:highlight w:val="none"/>
              </w:rPr>
            </w:pPr>
            <w:r>
              <w:rPr>
                <w:rFonts w:hint="default" w:ascii="Times New Roman" w:hAnsi="Times New Roman" w:cs="Times New Roman"/>
                <w:color w:val="0000FF"/>
                <w:sz w:val="24"/>
                <w:szCs w:val="24"/>
                <w:highlight w:val="none"/>
              </w:rPr>
              <w:t>风险</w:t>
            </w:r>
          </w:p>
          <w:p w14:paraId="3AE519E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4"/>
                <w:szCs w:val="24"/>
                <w:highlight w:val="none"/>
              </w:rPr>
            </w:pPr>
            <w:r>
              <w:rPr>
                <w:rFonts w:hint="default" w:ascii="Times New Roman" w:hAnsi="Times New Roman" w:cs="Times New Roman"/>
                <w:color w:val="0000FF"/>
                <w:sz w:val="24"/>
                <w:szCs w:val="24"/>
                <w:highlight w:val="none"/>
              </w:rPr>
              <w:t>防范</w:t>
            </w:r>
          </w:p>
          <w:p w14:paraId="794D3590">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z w:val="24"/>
                <w:szCs w:val="24"/>
              </w:rPr>
            </w:pPr>
            <w:r>
              <w:rPr>
                <w:rFonts w:hint="default" w:ascii="Times New Roman" w:hAnsi="Times New Roman" w:cs="Times New Roman"/>
                <w:color w:val="0000FF"/>
                <w:sz w:val="24"/>
                <w:szCs w:val="24"/>
                <w:highlight w:val="none"/>
              </w:rPr>
              <w:t>措施</w:t>
            </w:r>
          </w:p>
        </w:tc>
        <w:tc>
          <w:tcPr>
            <w:tcW w:w="8159" w:type="dxa"/>
            <w:gridSpan w:val="4"/>
            <w:noWrap w:val="0"/>
            <w:vAlign w:val="center"/>
          </w:tcPr>
          <w:p w14:paraId="192395F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（1）厂区总平面布置应根据厂内各生产系统及安全、卫生要求，按照功能合理分区，各功能分区之间及功能分区内部要按照有关规范保持足够的安全距离。</w:t>
            </w:r>
          </w:p>
          <w:p w14:paraId="670EA07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（2）厂区内的道路应根据交通、消防和分区的要求合理布置，设置环行通道，环行通道上不能堆放产品，以保证消防、急救车辆畅行无阻。</w:t>
            </w:r>
          </w:p>
          <w:p w14:paraId="5A48EFB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（3）设置完善的安全消防措施。平面布置应按国家消防安全规定，设置</w:t>
            </w:r>
          </w:p>
          <w:p w14:paraId="1A1B9E9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够的安全距离和道路，以便安全疏散和消防。并配备完善的消防器材。</w:t>
            </w:r>
          </w:p>
          <w:p w14:paraId="410B1414">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（4）加强火源的管理，机动车在厂区内行驶，须安装阻火器，必要设备安装防火、防爆装置。</w:t>
            </w:r>
          </w:p>
          <w:p w14:paraId="6676E39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（5）车间远离火种、热源，工作场所严禁吸烟；</w:t>
            </w:r>
          </w:p>
          <w:p w14:paraId="7CFD68F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（6）制定各项安全生产管理制度、严格的生产操作规则，同时注重加强全教育，提高职工的安全意识和安全防范能力。</w:t>
            </w:r>
          </w:p>
          <w:p w14:paraId="0A52314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（7）企业根据实际情况，不断充实和完善应急预案的各项措施，并定期组织演练。</w:t>
            </w:r>
          </w:p>
          <w:p w14:paraId="12F418A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aps w:val="0"/>
                <w:color w:val="0000FF"/>
                <w:sz w:val="24"/>
                <w:szCs w:val="24"/>
                <w:lang w:val="en-US" w:eastAsia="zh-CN"/>
              </w:rPr>
            </w:pPr>
            <w:r>
              <w:rPr>
                <w:rFonts w:hint="default" w:ascii="Times New Roman" w:hAnsi="Times New Roman" w:eastAsia="宋体" w:cs="Times New Roman"/>
                <w:caps w:val="0"/>
                <w:color w:val="0000FF"/>
                <w:sz w:val="24"/>
                <w:szCs w:val="24"/>
                <w:lang w:val="en-US" w:eastAsia="zh-CN"/>
              </w:rPr>
              <w:t xml:space="preserve">具体风险防范措施见风险专篇。 </w:t>
            </w:r>
          </w:p>
        </w:tc>
      </w:tr>
      <w:tr w14:paraId="3E83F7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40" w:type="dxa"/>
            <w:shd w:val="clear" w:color="auto" w:fill="auto"/>
            <w:noWrap w:val="0"/>
            <w:vAlign w:val="center"/>
          </w:tcPr>
          <w:p w14:paraId="1A6F71A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cs="Times New Roman"/>
                <w:color w:val="0000FF"/>
                <w:sz w:val="24"/>
                <w:szCs w:val="24"/>
                <w:highlight w:val="none"/>
              </w:rPr>
            </w:pPr>
            <w:r>
              <w:rPr>
                <w:rFonts w:hint="default" w:ascii="Times New Roman" w:hAnsi="Times New Roman" w:cs="Times New Roman"/>
                <w:color w:val="0000FF"/>
                <w:sz w:val="24"/>
                <w:szCs w:val="24"/>
                <w:highlight w:val="none"/>
              </w:rPr>
              <w:t>其他环境</w:t>
            </w:r>
          </w:p>
          <w:p w14:paraId="3883853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color w:val="0000FF"/>
                <w:spacing w:val="-8"/>
                <w:kern w:val="2"/>
                <w:sz w:val="24"/>
                <w:szCs w:val="24"/>
                <w:lang w:val="en-US" w:eastAsia="zh-CN" w:bidi="ar-SA"/>
              </w:rPr>
            </w:pPr>
            <w:r>
              <w:rPr>
                <w:rFonts w:hint="default" w:ascii="Times New Roman" w:hAnsi="Times New Roman" w:cs="Times New Roman"/>
                <w:color w:val="0000FF"/>
                <w:sz w:val="24"/>
                <w:szCs w:val="24"/>
                <w:highlight w:val="none"/>
              </w:rPr>
              <w:t>管理要求</w:t>
            </w:r>
          </w:p>
        </w:tc>
        <w:tc>
          <w:tcPr>
            <w:tcW w:w="8159" w:type="dxa"/>
            <w:gridSpan w:val="4"/>
            <w:shd w:val="clear" w:color="auto" w:fill="auto"/>
            <w:noWrap w:val="0"/>
            <w:vAlign w:val="center"/>
          </w:tcPr>
          <w:p w14:paraId="61406AAC">
            <w:pPr>
              <w:pStyle w:val="43"/>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1、企业设置专业的环保管理机构，配备环保管理人员，建立环保管理制度，加强职工环保教育、提升环保意识</w:t>
            </w:r>
            <w:r>
              <w:rPr>
                <w:rFonts w:hint="default" w:ascii="Times New Roman" w:hAnsi="Times New Roman" w:cs="Times New Roman"/>
                <w:color w:val="0000FF"/>
                <w:sz w:val="24"/>
                <w:szCs w:val="24"/>
                <w:lang w:val="en-US" w:eastAsia="zh-CN"/>
              </w:rPr>
              <w:t>；</w:t>
            </w:r>
          </w:p>
          <w:p w14:paraId="695A4643">
            <w:pPr>
              <w:pStyle w:val="43"/>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2、企业应定期向社会公开企业环保管理内容，包括污染物排放达标情况、环保管理制度和要求落实情况、环境风险防范措施情况等</w:t>
            </w:r>
            <w:r>
              <w:rPr>
                <w:rFonts w:hint="default" w:ascii="Times New Roman" w:hAnsi="Times New Roman" w:cs="Times New Roman"/>
                <w:color w:val="0000FF"/>
                <w:sz w:val="24"/>
                <w:szCs w:val="24"/>
                <w:lang w:val="en-US" w:eastAsia="zh-CN"/>
              </w:rPr>
              <w:t>；</w:t>
            </w:r>
          </w:p>
          <w:p w14:paraId="6DE0A01F">
            <w:pPr>
              <w:pStyle w:val="43"/>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3、企业应按照《环境保护图形标志排放口(源)》(GB15562.1</w:t>
            </w:r>
            <w:r>
              <w:rPr>
                <w:rFonts w:hint="eastAsia" w:cs="Times New Roman"/>
                <w:color w:val="0000FF"/>
                <w:sz w:val="24"/>
                <w:szCs w:val="24"/>
                <w:lang w:val="en-US" w:eastAsia="zh-CN"/>
              </w:rPr>
              <w:t>-1995</w:t>
            </w:r>
            <w:r>
              <w:rPr>
                <w:rFonts w:hint="default" w:ascii="Times New Roman" w:hAnsi="Times New Roman" w:eastAsia="宋体" w:cs="Times New Roman"/>
                <w:color w:val="0000FF"/>
                <w:sz w:val="24"/>
                <w:szCs w:val="24"/>
                <w:lang w:val="en-US" w:eastAsia="zh-CN"/>
              </w:rPr>
              <w:t>)规定，在厂区设置规范“三废”排污口和噪声排放点标志</w:t>
            </w:r>
            <w:r>
              <w:rPr>
                <w:rFonts w:hint="default" w:ascii="Times New Roman" w:hAnsi="Times New Roman" w:cs="Times New Roman"/>
                <w:color w:val="0000FF"/>
                <w:sz w:val="24"/>
                <w:szCs w:val="24"/>
                <w:lang w:val="en-US" w:eastAsia="zh-CN"/>
              </w:rPr>
              <w:t>；</w:t>
            </w:r>
          </w:p>
          <w:p w14:paraId="42BD39CE">
            <w:pPr>
              <w:pStyle w:val="43"/>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4、企业项目应严格按照本环评内容和要求进行建设，在建设中若发生重大变动，则应进行重新报批</w:t>
            </w:r>
            <w:r>
              <w:rPr>
                <w:rFonts w:hint="default" w:ascii="Times New Roman" w:hAnsi="Times New Roman" w:cs="Times New Roman"/>
                <w:color w:val="0000FF"/>
                <w:sz w:val="24"/>
                <w:szCs w:val="24"/>
                <w:lang w:val="en-US" w:eastAsia="zh-CN"/>
              </w:rPr>
              <w:t>；</w:t>
            </w:r>
          </w:p>
          <w:p w14:paraId="01FF509F">
            <w:pPr>
              <w:pStyle w:val="43"/>
              <w:keepNext w:val="0"/>
              <w:keepLines w:val="0"/>
              <w:pageBreakBefore w:val="0"/>
              <w:widowControl w:val="0"/>
              <w:kinsoku/>
              <w:wordWrap/>
              <w:overflowPunct/>
              <w:topLinePunct w:val="0"/>
              <w:autoSpaceDE/>
              <w:autoSpaceDN/>
              <w:bidi w:val="0"/>
              <w:adjustRightInd w:val="0"/>
              <w:snapToGrid w:val="0"/>
              <w:spacing w:line="360" w:lineRule="auto"/>
              <w:ind w:left="559" w:leftChars="266" w:firstLine="0" w:firstLineChars="0"/>
              <w:textAlignment w:val="auto"/>
              <w:rPr>
                <w:rFonts w:hint="default" w:ascii="Times New Roman" w:hAnsi="Times New Roman" w:eastAsia="宋体" w:cs="Times New Roman"/>
                <w:color w:val="0000FF"/>
                <w:sz w:val="24"/>
                <w:szCs w:val="24"/>
                <w:lang w:val="en-US" w:eastAsia="zh-CN"/>
              </w:rPr>
            </w:pPr>
            <w:r>
              <w:rPr>
                <w:rFonts w:hint="default" w:ascii="Times New Roman" w:hAnsi="Times New Roman" w:eastAsia="宋体" w:cs="Times New Roman"/>
                <w:color w:val="0000FF"/>
                <w:sz w:val="24"/>
                <w:szCs w:val="24"/>
                <w:lang w:val="en-US" w:eastAsia="zh-CN"/>
              </w:rPr>
              <w:t>5、明确车间及周边不允许有开放式的窨井口，及雨水管路。</w:t>
            </w:r>
          </w:p>
          <w:p w14:paraId="6D663040">
            <w:pPr>
              <w:pStyle w:val="4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sz w:val="24"/>
                <w:szCs w:val="24"/>
                <w:lang w:val="en-US" w:eastAsia="zh-CN"/>
              </w:rPr>
              <w:t>6、在项目运行过程中，企业应按照排污许可证要求定期维护相关生产设施和环保设施，定期进行污染物的跟踪监测，确保企业污染物长期稳定达标排放。</w:t>
            </w:r>
          </w:p>
        </w:tc>
      </w:tr>
    </w:tbl>
    <w:p w14:paraId="371E00CF">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cs="Times New Roman"/>
          <w:snapToGrid w:val="0"/>
          <w:color w:val="auto"/>
        </w:rPr>
        <w:br w:type="page"/>
      </w:r>
      <w:r>
        <w:rPr>
          <w:rFonts w:hint="default" w:ascii="Times New Roman" w:hAnsi="Times New Roman" w:eastAsia="黑体" w:cs="Times New Roman"/>
          <w:snapToGrid w:val="0"/>
          <w:color w:val="auto"/>
          <w:sz w:val="30"/>
          <w:szCs w:val="30"/>
        </w:rPr>
        <w:t>六、结论</w:t>
      </w:r>
    </w:p>
    <w:tbl>
      <w:tblPr>
        <w:tblStyle w:val="3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4B798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014C48E6">
            <w:pPr>
              <w:spacing w:line="360" w:lineRule="auto"/>
              <w:ind w:firstLine="480" w:firstLineChars="200"/>
              <w:jc w:val="both"/>
              <w:rPr>
                <w:rFonts w:hint="default" w:ascii="Times New Roman" w:hAnsi="Times New Roman" w:eastAsia="宋体" w:cs="Times New Roman"/>
                <w:caps w:val="0"/>
                <w:color w:val="auto"/>
                <w:sz w:val="24"/>
                <w:szCs w:val="24"/>
              </w:rPr>
            </w:pPr>
          </w:p>
          <w:p w14:paraId="69E304AF">
            <w:pPr>
              <w:spacing w:line="360" w:lineRule="auto"/>
              <w:ind w:firstLine="480" w:firstLineChars="200"/>
              <w:jc w:val="both"/>
              <w:rPr>
                <w:rFonts w:hint="default" w:ascii="Times New Roman" w:hAnsi="Times New Roman" w:eastAsia="宋体" w:cs="Times New Roman"/>
                <w:caps w:val="0"/>
                <w:color w:val="auto"/>
                <w:sz w:val="24"/>
                <w:szCs w:val="24"/>
              </w:rPr>
            </w:pPr>
          </w:p>
          <w:p w14:paraId="1D0C9EEE">
            <w:pPr>
              <w:spacing w:line="360" w:lineRule="auto"/>
              <w:ind w:firstLine="480" w:firstLineChars="200"/>
              <w:jc w:val="both"/>
              <w:rPr>
                <w:rFonts w:hint="default" w:ascii="Times New Roman" w:hAnsi="Times New Roman" w:eastAsia="宋体" w:cs="Times New Roman"/>
                <w:caps w:val="0"/>
                <w:color w:val="auto"/>
                <w:sz w:val="24"/>
                <w:szCs w:val="24"/>
              </w:rPr>
            </w:pPr>
          </w:p>
          <w:p w14:paraId="5EF8E35E">
            <w:pPr>
              <w:spacing w:line="360" w:lineRule="auto"/>
              <w:ind w:firstLine="480" w:firstLineChars="200"/>
              <w:jc w:val="both"/>
              <w:rPr>
                <w:rFonts w:hint="default" w:ascii="Times New Roman" w:hAnsi="Times New Roman" w:eastAsia="宋体" w:cs="Times New Roman"/>
                <w:caps w:val="0"/>
                <w:color w:val="auto"/>
                <w:sz w:val="24"/>
                <w:szCs w:val="24"/>
              </w:rPr>
            </w:pPr>
          </w:p>
          <w:p w14:paraId="3ABAEE52">
            <w:pPr>
              <w:spacing w:line="360" w:lineRule="auto"/>
              <w:ind w:firstLine="480" w:firstLineChars="200"/>
              <w:jc w:val="both"/>
              <w:rPr>
                <w:rFonts w:hint="default" w:ascii="Times New Roman" w:hAnsi="Times New Roman" w:eastAsia="宋体" w:cs="Times New Roman"/>
                <w:caps w:val="0"/>
                <w:color w:val="auto"/>
                <w:sz w:val="24"/>
                <w:szCs w:val="24"/>
              </w:rPr>
            </w:pPr>
          </w:p>
          <w:p w14:paraId="70D49F10">
            <w:pPr>
              <w:spacing w:line="360" w:lineRule="auto"/>
              <w:ind w:firstLine="480" w:firstLineChars="200"/>
              <w:jc w:val="both"/>
              <w:rPr>
                <w:rFonts w:hint="default" w:ascii="Times New Roman" w:hAnsi="Times New Roman" w:eastAsia="宋体" w:cs="Times New Roman"/>
                <w:caps w:val="0"/>
                <w:color w:val="auto"/>
                <w:sz w:val="24"/>
                <w:szCs w:val="24"/>
              </w:rPr>
            </w:pPr>
          </w:p>
          <w:p w14:paraId="235226BC">
            <w:pPr>
              <w:spacing w:line="360" w:lineRule="auto"/>
              <w:ind w:firstLine="480" w:firstLineChars="200"/>
              <w:jc w:val="both"/>
              <w:rPr>
                <w:rFonts w:hint="default" w:ascii="Times New Roman" w:hAnsi="Times New Roman" w:eastAsia="宋体" w:cs="Times New Roman"/>
                <w:caps w:val="0"/>
                <w:color w:val="auto"/>
                <w:sz w:val="24"/>
                <w:szCs w:val="24"/>
              </w:rPr>
            </w:pPr>
          </w:p>
          <w:p w14:paraId="68463BD5">
            <w:pPr>
              <w:spacing w:line="360" w:lineRule="auto"/>
              <w:ind w:firstLine="480" w:firstLineChars="200"/>
              <w:jc w:val="both"/>
              <w:rPr>
                <w:rFonts w:hint="default" w:ascii="Times New Roman" w:hAnsi="Times New Roman" w:eastAsia="宋体" w:cs="Times New Roman"/>
                <w:caps w:val="0"/>
                <w:color w:val="auto"/>
                <w:sz w:val="24"/>
                <w:szCs w:val="24"/>
              </w:rPr>
            </w:pPr>
          </w:p>
          <w:p w14:paraId="231D1BEF">
            <w:pPr>
              <w:spacing w:line="360" w:lineRule="auto"/>
              <w:ind w:firstLine="480" w:firstLineChars="200"/>
              <w:jc w:val="both"/>
              <w:rPr>
                <w:rFonts w:hint="default" w:ascii="Times New Roman" w:hAnsi="Times New Roman" w:eastAsia="宋体" w:cs="Times New Roman"/>
                <w:caps w:val="0"/>
                <w:color w:val="auto"/>
                <w:sz w:val="24"/>
                <w:szCs w:val="24"/>
              </w:rPr>
            </w:pPr>
          </w:p>
          <w:p w14:paraId="55B229DB">
            <w:pPr>
              <w:spacing w:line="360" w:lineRule="auto"/>
              <w:ind w:firstLine="480" w:firstLineChars="200"/>
              <w:jc w:val="both"/>
              <w:rPr>
                <w:rFonts w:hint="default" w:ascii="Times New Roman" w:hAnsi="Times New Roman" w:eastAsia="宋体" w:cs="Times New Roman"/>
                <w:caps w:val="0"/>
                <w:color w:val="auto"/>
                <w:sz w:val="24"/>
                <w:szCs w:val="24"/>
              </w:rPr>
            </w:pPr>
          </w:p>
          <w:p w14:paraId="2FCD88B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4"/>
                <w:szCs w:val="32"/>
                <w:highlight w:val="none"/>
              </w:rPr>
              <w:t>综上所述，</w:t>
            </w:r>
            <w:r>
              <w:rPr>
                <w:rFonts w:hint="default" w:ascii="Times New Roman" w:hAnsi="Times New Roman" w:eastAsia="宋体" w:cs="Times New Roman"/>
                <w:color w:val="auto"/>
                <w:sz w:val="24"/>
                <w:szCs w:val="32"/>
                <w:highlight w:val="none"/>
                <w:lang w:eastAsia="zh-CN"/>
              </w:rPr>
              <w:t>本项目</w:t>
            </w:r>
            <w:r>
              <w:rPr>
                <w:rFonts w:hint="default" w:ascii="Times New Roman" w:hAnsi="Times New Roman" w:eastAsia="宋体" w:cs="Times New Roman"/>
                <w:color w:val="auto"/>
                <w:sz w:val="24"/>
                <w:szCs w:val="32"/>
                <w:highlight w:val="none"/>
              </w:rPr>
              <w:t>符合国家相关产业政策，选址合理</w:t>
            </w:r>
            <w:r>
              <w:rPr>
                <w:rFonts w:hint="default" w:ascii="Times New Roman" w:hAnsi="Times New Roman" w:cs="Times New Roman"/>
                <w:color w:val="auto"/>
                <w:sz w:val="24"/>
                <w:szCs w:val="32"/>
                <w:highlight w:val="none"/>
                <w:lang w:eastAsia="zh-CN"/>
              </w:rPr>
              <w:t>、</w:t>
            </w:r>
            <w:r>
              <w:rPr>
                <w:rFonts w:hint="default" w:ascii="Times New Roman" w:hAnsi="Times New Roman" w:cs="Times New Roman"/>
                <w:color w:val="auto"/>
                <w:sz w:val="24"/>
                <w:szCs w:val="32"/>
                <w:highlight w:val="none"/>
                <w:lang w:val="en-US" w:eastAsia="zh-CN"/>
              </w:rPr>
              <w:t>平面布置合理</w:t>
            </w:r>
            <w:r>
              <w:rPr>
                <w:rFonts w:hint="default" w:ascii="Times New Roman" w:hAnsi="Times New Roman" w:eastAsia="宋体" w:cs="Times New Roman"/>
                <w:color w:val="auto"/>
                <w:sz w:val="24"/>
                <w:szCs w:val="32"/>
                <w:highlight w:val="none"/>
              </w:rPr>
              <w:t>。</w:t>
            </w:r>
            <w:r>
              <w:rPr>
                <w:rFonts w:hint="default" w:ascii="Times New Roman" w:hAnsi="Times New Roman" w:cs="Times New Roman"/>
                <w:sz w:val="24"/>
              </w:rPr>
              <w:t>项目在建设和运营中将产生一定的废气、废水、噪声及固体废物的污染，</w:t>
            </w:r>
            <w:r>
              <w:rPr>
                <w:rFonts w:hint="default" w:ascii="Times New Roman" w:hAnsi="Times New Roman" w:eastAsia="宋体" w:cs="Times New Roman"/>
                <w:color w:val="auto"/>
                <w:sz w:val="24"/>
                <w:szCs w:val="32"/>
                <w:highlight w:val="none"/>
              </w:rPr>
              <w:t>在认真落实本报告中提出的各项污染防治措施及建议、确保各项污染物达标排放的前提下，严格执行建设项目“三同时”制度，加强环境管理。废水、废气、噪声、固废等污染物对周围环境的影响控制在可接受范围内，从环境保护角度分析，该建设项目可行。</w:t>
            </w:r>
          </w:p>
        </w:tc>
      </w:tr>
    </w:tbl>
    <w:p w14:paraId="5C0AC5B2">
      <w:pPr>
        <w:rPr>
          <w:rFonts w:hint="default" w:ascii="Times New Roman" w:hAnsi="Times New Roman" w:cs="Times New Roman"/>
          <w:color w:val="auto"/>
        </w:rPr>
        <w:sectPr>
          <w:pgSz w:w="11906" w:h="16838"/>
          <w:pgMar w:top="1701" w:right="1531" w:bottom="1701" w:left="1531" w:header="851" w:footer="851" w:gutter="0"/>
          <w:pgBorders w:offsetFrom="page">
            <w:top w:val="none" w:sz="0" w:space="0"/>
            <w:left w:val="none" w:sz="0" w:space="0"/>
            <w:bottom w:val="none" w:sz="0" w:space="0"/>
            <w:right w:val="none" w:sz="0" w:space="0"/>
          </w:pgBorders>
          <w:pgNumType w:fmt="decimal"/>
          <w:cols w:space="720" w:num="1"/>
          <w:docGrid w:linePitch="312" w:charSpace="0"/>
        </w:sectPr>
      </w:pPr>
    </w:p>
    <w:p w14:paraId="68945ED6">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hint="default" w:ascii="Times New Roman" w:hAnsi="Times New Roman" w:eastAsia="黑体" w:cs="Times New Roman"/>
          <w:snapToGrid w:val="0"/>
          <w:color w:val="auto"/>
          <w:sz w:val="32"/>
          <w:szCs w:val="32"/>
          <w:lang w:eastAsia="zh-CN"/>
        </w:rPr>
      </w:pPr>
      <w:r>
        <w:rPr>
          <w:rFonts w:hint="default" w:ascii="Times New Roman" w:hAnsi="Times New Roman" w:eastAsia="黑体" w:cs="Times New Roman"/>
          <w:snapToGrid w:val="0"/>
          <w:color w:val="auto"/>
          <w:sz w:val="32"/>
          <w:szCs w:val="32"/>
        </w:rPr>
        <w:t>附</w:t>
      </w:r>
      <w:r>
        <w:rPr>
          <w:rFonts w:hint="default" w:ascii="Times New Roman" w:hAnsi="Times New Roman" w:eastAsia="黑体" w:cs="Times New Roman"/>
          <w:snapToGrid w:val="0"/>
          <w:color w:val="auto"/>
          <w:sz w:val="32"/>
          <w:szCs w:val="32"/>
          <w:lang w:eastAsia="zh-CN"/>
        </w:rPr>
        <w:t>表</w:t>
      </w:r>
    </w:p>
    <w:p w14:paraId="3E5B402D">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ascii="Times New Roman" w:hAnsi="Times New Roman" w:eastAsia="宋体" w:cs="Times New Roman"/>
          <w:b/>
          <w:bCs/>
          <w:snapToGrid w:val="0"/>
          <w:color w:val="auto"/>
          <w:sz w:val="28"/>
          <w:szCs w:val="28"/>
        </w:rPr>
      </w:pPr>
      <w:r>
        <w:rPr>
          <w:rFonts w:hint="default" w:ascii="Times New Roman" w:hAnsi="Times New Roman" w:eastAsia="宋体" w:cs="Times New Roman"/>
          <w:b/>
          <w:bCs/>
          <w:snapToGrid w:val="0"/>
          <w:color w:val="auto"/>
          <w:sz w:val="28"/>
          <w:szCs w:val="28"/>
        </w:rPr>
        <w:t>建设项目污染物排放量汇总表</w:t>
      </w:r>
    </w:p>
    <w:tbl>
      <w:tblPr>
        <w:tblStyle w:val="32"/>
        <w:tblW w:w="4997"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612"/>
        <w:gridCol w:w="1438"/>
        <w:gridCol w:w="1727"/>
        <w:gridCol w:w="1295"/>
        <w:gridCol w:w="1727"/>
        <w:gridCol w:w="1584"/>
        <w:gridCol w:w="1789"/>
        <w:gridCol w:w="1996"/>
        <w:gridCol w:w="838"/>
      </w:tblGrid>
      <w:tr w14:paraId="32E09D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575" w:type="pct"/>
            <w:tcBorders>
              <w:tl2br w:val="single" w:color="auto" w:sz="4" w:space="0"/>
            </w:tcBorders>
            <w:noWrap w:val="0"/>
            <w:tcMar>
              <w:left w:w="28" w:type="dxa"/>
              <w:right w:w="28" w:type="dxa"/>
            </w:tcMar>
            <w:vAlign w:val="center"/>
          </w:tcPr>
          <w:p w14:paraId="0712019C">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 xml:space="preserve">        </w:t>
            </w:r>
            <w:r>
              <w:rPr>
                <w:rFonts w:hint="default" w:ascii="Times New Roman" w:hAnsi="Times New Roman" w:cs="Times New Roman"/>
                <w:color w:val="0000FF"/>
              </w:rPr>
              <w:t>项目</w:t>
            </w:r>
          </w:p>
          <w:p w14:paraId="1E482B4A">
            <w:pPr>
              <w:pStyle w:val="40"/>
              <w:bidi w:val="0"/>
              <w:jc w:val="both"/>
              <w:rPr>
                <w:rFonts w:hint="default" w:ascii="Times New Roman" w:hAnsi="Times New Roman" w:cs="Times New Roman"/>
                <w:color w:val="0000FF"/>
              </w:rPr>
            </w:pPr>
            <w:r>
              <w:rPr>
                <w:rFonts w:hint="default" w:ascii="Times New Roman" w:hAnsi="Times New Roman" w:cs="Times New Roman"/>
                <w:color w:val="0000FF"/>
              </w:rPr>
              <w:t>分类</w:t>
            </w:r>
          </w:p>
        </w:tc>
        <w:tc>
          <w:tcPr>
            <w:tcW w:w="513" w:type="pct"/>
            <w:noWrap w:val="0"/>
            <w:tcMar>
              <w:left w:w="28" w:type="dxa"/>
              <w:right w:w="28" w:type="dxa"/>
            </w:tcMar>
            <w:vAlign w:val="center"/>
          </w:tcPr>
          <w:p w14:paraId="21547473">
            <w:pPr>
              <w:pStyle w:val="40"/>
              <w:bidi w:val="0"/>
              <w:rPr>
                <w:rFonts w:hint="default" w:ascii="Times New Roman" w:hAnsi="Times New Roman" w:cs="Times New Roman"/>
                <w:color w:val="0000FF"/>
              </w:rPr>
            </w:pPr>
            <w:r>
              <w:rPr>
                <w:rFonts w:hint="default" w:ascii="Times New Roman" w:hAnsi="Times New Roman" w:cs="Times New Roman"/>
                <w:color w:val="0000FF"/>
              </w:rPr>
              <w:t>污染物名称</w:t>
            </w:r>
          </w:p>
        </w:tc>
        <w:tc>
          <w:tcPr>
            <w:tcW w:w="616" w:type="pct"/>
            <w:noWrap w:val="0"/>
            <w:tcMar>
              <w:left w:w="28" w:type="dxa"/>
              <w:right w:w="28" w:type="dxa"/>
            </w:tcMar>
            <w:vAlign w:val="center"/>
          </w:tcPr>
          <w:p w14:paraId="741D58B7">
            <w:pPr>
              <w:pStyle w:val="40"/>
              <w:bidi w:val="0"/>
              <w:rPr>
                <w:rFonts w:hint="default" w:ascii="Times New Roman" w:hAnsi="Times New Roman" w:cs="Times New Roman"/>
                <w:color w:val="0000FF"/>
              </w:rPr>
            </w:pPr>
            <w:r>
              <w:rPr>
                <w:rFonts w:hint="default" w:ascii="Times New Roman" w:hAnsi="Times New Roman" w:cs="Times New Roman"/>
                <w:color w:val="0000FF"/>
              </w:rPr>
              <w:t>现有工程</w:t>
            </w:r>
          </w:p>
          <w:p w14:paraId="39B6DC1A">
            <w:pPr>
              <w:pStyle w:val="40"/>
              <w:bidi w:val="0"/>
              <w:rPr>
                <w:rFonts w:hint="default" w:ascii="Times New Roman" w:hAnsi="Times New Roman" w:cs="Times New Roman"/>
                <w:color w:val="0000FF"/>
              </w:rPr>
            </w:pPr>
            <w:r>
              <w:rPr>
                <w:rFonts w:hint="default" w:ascii="Times New Roman" w:hAnsi="Times New Roman" w:cs="Times New Roman"/>
                <w:color w:val="0000FF"/>
              </w:rPr>
              <w:t>排放量（固体废物产生量）</w:t>
            </w:r>
            <w:r>
              <w:rPr>
                <w:rFonts w:hint="default" w:ascii="Times New Roman" w:hAnsi="Times New Roman" w:cs="Times New Roman"/>
                <w:color w:val="0000FF"/>
              </w:rPr>
              <w:fldChar w:fldCharType="begin"/>
            </w:r>
            <w:r>
              <w:rPr>
                <w:rFonts w:hint="default" w:ascii="Times New Roman" w:hAnsi="Times New Roman" w:cs="Times New Roman"/>
                <w:color w:val="0000FF"/>
              </w:rPr>
              <w:instrText xml:space="preserve"> = 1 \* GB3 \* MERGEFORMAT </w:instrText>
            </w:r>
            <w:r>
              <w:rPr>
                <w:rFonts w:hint="default" w:ascii="Times New Roman" w:hAnsi="Times New Roman" w:cs="Times New Roman"/>
                <w:color w:val="0000FF"/>
              </w:rPr>
              <w:fldChar w:fldCharType="separate"/>
            </w:r>
            <w:r>
              <w:rPr>
                <w:rFonts w:hint="default" w:ascii="Times New Roman" w:hAnsi="Times New Roman" w:cs="Times New Roman"/>
                <w:color w:val="0000FF"/>
              </w:rPr>
              <w:t>①</w:t>
            </w:r>
            <w:r>
              <w:rPr>
                <w:rFonts w:hint="default" w:ascii="Times New Roman" w:hAnsi="Times New Roman" w:cs="Times New Roman"/>
                <w:color w:val="0000FF"/>
              </w:rPr>
              <w:fldChar w:fldCharType="end"/>
            </w:r>
          </w:p>
        </w:tc>
        <w:tc>
          <w:tcPr>
            <w:tcW w:w="462" w:type="pct"/>
            <w:noWrap w:val="0"/>
            <w:tcMar>
              <w:left w:w="28" w:type="dxa"/>
              <w:right w:w="28" w:type="dxa"/>
            </w:tcMar>
            <w:vAlign w:val="center"/>
          </w:tcPr>
          <w:p w14:paraId="62213FB5">
            <w:pPr>
              <w:pStyle w:val="40"/>
              <w:bidi w:val="0"/>
              <w:rPr>
                <w:rFonts w:hint="default" w:ascii="Times New Roman" w:hAnsi="Times New Roman" w:cs="Times New Roman"/>
                <w:color w:val="0000FF"/>
              </w:rPr>
            </w:pPr>
            <w:r>
              <w:rPr>
                <w:rFonts w:hint="default" w:ascii="Times New Roman" w:hAnsi="Times New Roman" w:cs="Times New Roman"/>
                <w:color w:val="0000FF"/>
              </w:rPr>
              <w:t>现有工程</w:t>
            </w:r>
          </w:p>
          <w:p w14:paraId="05D1DF36">
            <w:pPr>
              <w:pStyle w:val="40"/>
              <w:bidi w:val="0"/>
              <w:rPr>
                <w:rFonts w:hint="default" w:ascii="Times New Roman" w:hAnsi="Times New Roman" w:cs="Times New Roman"/>
                <w:color w:val="0000FF"/>
              </w:rPr>
            </w:pPr>
            <w:r>
              <w:rPr>
                <w:rFonts w:hint="default" w:ascii="Times New Roman" w:hAnsi="Times New Roman" w:cs="Times New Roman"/>
                <w:color w:val="0000FF"/>
              </w:rPr>
              <w:t>许可排放量</w:t>
            </w:r>
          </w:p>
          <w:p w14:paraId="2EEEDE7F">
            <w:pPr>
              <w:pStyle w:val="40"/>
              <w:bidi w:val="0"/>
              <w:rPr>
                <w:rFonts w:hint="default" w:ascii="Times New Roman" w:hAnsi="Times New Roman" w:cs="Times New Roman"/>
                <w:color w:val="0000FF"/>
              </w:rPr>
            </w:pPr>
            <w:r>
              <w:rPr>
                <w:rFonts w:hint="default" w:ascii="Times New Roman" w:hAnsi="Times New Roman" w:cs="Times New Roman"/>
                <w:color w:val="0000FF"/>
              </w:rPr>
              <w:fldChar w:fldCharType="begin"/>
            </w:r>
            <w:r>
              <w:rPr>
                <w:rFonts w:hint="default" w:ascii="Times New Roman" w:hAnsi="Times New Roman" w:cs="Times New Roman"/>
                <w:color w:val="0000FF"/>
              </w:rPr>
              <w:instrText xml:space="preserve"> = 2 \* GB3 \* MERGEFORMAT </w:instrText>
            </w:r>
            <w:r>
              <w:rPr>
                <w:rFonts w:hint="default" w:ascii="Times New Roman" w:hAnsi="Times New Roman" w:cs="Times New Roman"/>
                <w:color w:val="0000FF"/>
              </w:rPr>
              <w:fldChar w:fldCharType="separate"/>
            </w:r>
            <w:r>
              <w:rPr>
                <w:rFonts w:hint="default" w:ascii="Times New Roman" w:hAnsi="Times New Roman" w:cs="Times New Roman"/>
                <w:color w:val="0000FF"/>
              </w:rPr>
              <w:t>②</w:t>
            </w:r>
            <w:r>
              <w:rPr>
                <w:rFonts w:hint="default" w:ascii="Times New Roman" w:hAnsi="Times New Roman" w:cs="Times New Roman"/>
                <w:color w:val="0000FF"/>
              </w:rPr>
              <w:fldChar w:fldCharType="end"/>
            </w:r>
          </w:p>
        </w:tc>
        <w:tc>
          <w:tcPr>
            <w:tcW w:w="616" w:type="pct"/>
            <w:noWrap w:val="0"/>
            <w:tcMar>
              <w:left w:w="28" w:type="dxa"/>
              <w:right w:w="28" w:type="dxa"/>
            </w:tcMar>
            <w:vAlign w:val="center"/>
          </w:tcPr>
          <w:p w14:paraId="26864365">
            <w:pPr>
              <w:pStyle w:val="40"/>
              <w:bidi w:val="0"/>
              <w:rPr>
                <w:rFonts w:hint="default" w:ascii="Times New Roman" w:hAnsi="Times New Roman" w:cs="Times New Roman"/>
                <w:color w:val="0000FF"/>
              </w:rPr>
            </w:pPr>
            <w:r>
              <w:rPr>
                <w:rFonts w:hint="default" w:ascii="Times New Roman" w:hAnsi="Times New Roman" w:cs="Times New Roman"/>
                <w:color w:val="0000FF"/>
              </w:rPr>
              <w:t>在建工程</w:t>
            </w:r>
          </w:p>
          <w:p w14:paraId="509B88B6">
            <w:pPr>
              <w:pStyle w:val="40"/>
              <w:bidi w:val="0"/>
              <w:rPr>
                <w:rFonts w:hint="default" w:ascii="Times New Roman" w:hAnsi="Times New Roman" w:cs="Times New Roman"/>
                <w:color w:val="0000FF"/>
              </w:rPr>
            </w:pPr>
            <w:r>
              <w:rPr>
                <w:rFonts w:hint="default" w:ascii="Times New Roman" w:hAnsi="Times New Roman" w:cs="Times New Roman"/>
                <w:color w:val="0000FF"/>
              </w:rPr>
              <w:t>排放量（固体废物产生量）</w:t>
            </w:r>
            <w:r>
              <w:rPr>
                <w:rFonts w:hint="default" w:ascii="Times New Roman" w:hAnsi="Times New Roman" w:cs="Times New Roman"/>
                <w:color w:val="0000FF"/>
              </w:rPr>
              <w:fldChar w:fldCharType="begin"/>
            </w:r>
            <w:r>
              <w:rPr>
                <w:rFonts w:hint="default" w:ascii="Times New Roman" w:hAnsi="Times New Roman" w:cs="Times New Roman"/>
                <w:color w:val="0000FF"/>
              </w:rPr>
              <w:instrText xml:space="preserve"> = 3 \* GB3 \* MERGEFORMAT </w:instrText>
            </w:r>
            <w:r>
              <w:rPr>
                <w:rFonts w:hint="default" w:ascii="Times New Roman" w:hAnsi="Times New Roman" w:cs="Times New Roman"/>
                <w:color w:val="0000FF"/>
              </w:rPr>
              <w:fldChar w:fldCharType="separate"/>
            </w:r>
            <w:r>
              <w:rPr>
                <w:rFonts w:hint="default" w:ascii="Times New Roman" w:hAnsi="Times New Roman" w:cs="Times New Roman"/>
                <w:color w:val="0000FF"/>
              </w:rPr>
              <w:t>③</w:t>
            </w:r>
            <w:r>
              <w:rPr>
                <w:rFonts w:hint="default" w:ascii="Times New Roman" w:hAnsi="Times New Roman" w:cs="Times New Roman"/>
                <w:color w:val="0000FF"/>
              </w:rPr>
              <w:fldChar w:fldCharType="end"/>
            </w:r>
          </w:p>
        </w:tc>
        <w:tc>
          <w:tcPr>
            <w:tcW w:w="565" w:type="pct"/>
            <w:noWrap w:val="0"/>
            <w:tcMar>
              <w:left w:w="28" w:type="dxa"/>
              <w:right w:w="28" w:type="dxa"/>
            </w:tcMar>
            <w:vAlign w:val="center"/>
          </w:tcPr>
          <w:p w14:paraId="75893333">
            <w:pPr>
              <w:pStyle w:val="40"/>
              <w:bidi w:val="0"/>
              <w:rPr>
                <w:rFonts w:hint="default" w:ascii="Times New Roman" w:hAnsi="Times New Roman" w:cs="Times New Roman"/>
                <w:color w:val="0000FF"/>
              </w:rPr>
            </w:pPr>
            <w:r>
              <w:rPr>
                <w:rFonts w:hint="default" w:ascii="Times New Roman" w:hAnsi="Times New Roman" w:cs="Times New Roman"/>
                <w:color w:val="0000FF"/>
              </w:rPr>
              <w:t>本项目</w:t>
            </w:r>
          </w:p>
          <w:p w14:paraId="0B5815AA">
            <w:pPr>
              <w:pStyle w:val="40"/>
              <w:bidi w:val="0"/>
              <w:rPr>
                <w:rFonts w:hint="default" w:ascii="Times New Roman" w:hAnsi="Times New Roman" w:cs="Times New Roman"/>
                <w:color w:val="0000FF"/>
              </w:rPr>
            </w:pPr>
            <w:r>
              <w:rPr>
                <w:rFonts w:hint="default" w:ascii="Times New Roman" w:hAnsi="Times New Roman" w:cs="Times New Roman"/>
                <w:color w:val="0000FF"/>
              </w:rPr>
              <w:t>排放量（固体废物产生量）</w:t>
            </w:r>
            <w:r>
              <w:rPr>
                <w:rFonts w:hint="default" w:ascii="Times New Roman" w:hAnsi="Times New Roman" w:cs="Times New Roman"/>
                <w:color w:val="0000FF"/>
              </w:rPr>
              <w:fldChar w:fldCharType="begin"/>
            </w:r>
            <w:r>
              <w:rPr>
                <w:rFonts w:hint="default" w:ascii="Times New Roman" w:hAnsi="Times New Roman" w:cs="Times New Roman"/>
                <w:color w:val="0000FF"/>
              </w:rPr>
              <w:instrText xml:space="preserve"> = 4 \* GB3 \* MERGEFORMAT </w:instrText>
            </w:r>
            <w:r>
              <w:rPr>
                <w:rFonts w:hint="default" w:ascii="Times New Roman" w:hAnsi="Times New Roman" w:cs="Times New Roman"/>
                <w:color w:val="0000FF"/>
              </w:rPr>
              <w:fldChar w:fldCharType="separate"/>
            </w:r>
            <w:r>
              <w:rPr>
                <w:rFonts w:hint="default" w:ascii="Times New Roman" w:hAnsi="Times New Roman" w:cs="Times New Roman"/>
                <w:color w:val="0000FF"/>
              </w:rPr>
              <w:t>④</w:t>
            </w:r>
            <w:r>
              <w:rPr>
                <w:rFonts w:hint="default" w:ascii="Times New Roman" w:hAnsi="Times New Roman" w:cs="Times New Roman"/>
                <w:color w:val="0000FF"/>
              </w:rPr>
              <w:fldChar w:fldCharType="end"/>
            </w:r>
          </w:p>
        </w:tc>
        <w:tc>
          <w:tcPr>
            <w:tcW w:w="638" w:type="pct"/>
            <w:noWrap w:val="0"/>
            <w:tcMar>
              <w:left w:w="28" w:type="dxa"/>
              <w:right w:w="28" w:type="dxa"/>
            </w:tcMar>
            <w:vAlign w:val="center"/>
          </w:tcPr>
          <w:p w14:paraId="61102290">
            <w:pPr>
              <w:pStyle w:val="40"/>
              <w:bidi w:val="0"/>
              <w:rPr>
                <w:rFonts w:hint="default" w:ascii="Times New Roman" w:hAnsi="Times New Roman" w:cs="Times New Roman"/>
                <w:color w:val="0000FF"/>
              </w:rPr>
            </w:pPr>
            <w:r>
              <w:rPr>
                <w:rFonts w:hint="default" w:ascii="Times New Roman" w:hAnsi="Times New Roman" w:cs="Times New Roman"/>
                <w:color w:val="0000FF"/>
              </w:rPr>
              <w:t>以新带老削减量</w:t>
            </w:r>
          </w:p>
          <w:p w14:paraId="770F27CB">
            <w:pPr>
              <w:pStyle w:val="40"/>
              <w:bidi w:val="0"/>
              <w:rPr>
                <w:rFonts w:hint="default" w:ascii="Times New Roman" w:hAnsi="Times New Roman" w:cs="Times New Roman"/>
                <w:color w:val="0000FF"/>
              </w:rPr>
            </w:pPr>
            <w:r>
              <w:rPr>
                <w:rFonts w:hint="default" w:ascii="Times New Roman" w:hAnsi="Times New Roman" w:cs="Times New Roman"/>
                <w:color w:val="0000FF"/>
              </w:rPr>
              <w:t>（新建项目不填）</w:t>
            </w:r>
            <w:r>
              <w:rPr>
                <w:rFonts w:hint="default" w:ascii="Times New Roman" w:hAnsi="Times New Roman" w:cs="Times New Roman"/>
                <w:color w:val="0000FF"/>
              </w:rPr>
              <w:fldChar w:fldCharType="begin"/>
            </w:r>
            <w:r>
              <w:rPr>
                <w:rFonts w:hint="default" w:ascii="Times New Roman" w:hAnsi="Times New Roman" w:cs="Times New Roman"/>
                <w:color w:val="0000FF"/>
              </w:rPr>
              <w:instrText xml:space="preserve"> = 5 \* GB3 \* MERGEFORMAT </w:instrText>
            </w:r>
            <w:r>
              <w:rPr>
                <w:rFonts w:hint="default" w:ascii="Times New Roman" w:hAnsi="Times New Roman" w:cs="Times New Roman"/>
                <w:color w:val="0000FF"/>
              </w:rPr>
              <w:fldChar w:fldCharType="separate"/>
            </w:r>
            <w:r>
              <w:rPr>
                <w:rFonts w:hint="default" w:ascii="Times New Roman" w:hAnsi="Times New Roman" w:cs="Times New Roman"/>
                <w:color w:val="0000FF"/>
              </w:rPr>
              <w:t>⑤</w:t>
            </w:r>
            <w:r>
              <w:rPr>
                <w:rFonts w:hint="default" w:ascii="Times New Roman" w:hAnsi="Times New Roman" w:cs="Times New Roman"/>
                <w:color w:val="0000FF"/>
              </w:rPr>
              <w:fldChar w:fldCharType="end"/>
            </w:r>
          </w:p>
        </w:tc>
        <w:tc>
          <w:tcPr>
            <w:tcW w:w="712" w:type="pct"/>
            <w:noWrap w:val="0"/>
            <w:tcMar>
              <w:left w:w="28" w:type="dxa"/>
              <w:right w:w="28" w:type="dxa"/>
            </w:tcMar>
            <w:vAlign w:val="center"/>
          </w:tcPr>
          <w:p w14:paraId="73B6FBAA">
            <w:pPr>
              <w:pStyle w:val="40"/>
              <w:bidi w:val="0"/>
              <w:rPr>
                <w:rFonts w:hint="default" w:ascii="Times New Roman" w:hAnsi="Times New Roman" w:cs="Times New Roman"/>
                <w:color w:val="0000FF"/>
              </w:rPr>
            </w:pPr>
            <w:r>
              <w:rPr>
                <w:rFonts w:hint="default" w:ascii="Times New Roman" w:hAnsi="Times New Roman" w:cs="Times New Roman"/>
                <w:color w:val="0000FF"/>
              </w:rPr>
              <w:t>本项目建成后</w:t>
            </w:r>
          </w:p>
          <w:p w14:paraId="3A2C1809">
            <w:pPr>
              <w:pStyle w:val="40"/>
              <w:bidi w:val="0"/>
              <w:rPr>
                <w:rFonts w:hint="default" w:ascii="Times New Roman" w:hAnsi="Times New Roman" w:cs="Times New Roman"/>
                <w:color w:val="0000FF"/>
              </w:rPr>
            </w:pPr>
            <w:r>
              <w:rPr>
                <w:rFonts w:hint="default" w:ascii="Times New Roman" w:hAnsi="Times New Roman" w:cs="Times New Roman"/>
                <w:color w:val="0000FF"/>
              </w:rPr>
              <w:t>全厂排放量（固体废物产生量）</w:t>
            </w:r>
            <w:r>
              <w:rPr>
                <w:rFonts w:hint="default" w:ascii="Times New Roman" w:hAnsi="Times New Roman" w:cs="Times New Roman"/>
                <w:color w:val="0000FF"/>
              </w:rPr>
              <w:fldChar w:fldCharType="begin"/>
            </w:r>
            <w:r>
              <w:rPr>
                <w:rFonts w:hint="default" w:ascii="Times New Roman" w:hAnsi="Times New Roman" w:cs="Times New Roman"/>
                <w:color w:val="0000FF"/>
              </w:rPr>
              <w:instrText xml:space="preserve"> = 6 \* GB3 \* MERGEFORMAT </w:instrText>
            </w:r>
            <w:r>
              <w:rPr>
                <w:rFonts w:hint="default" w:ascii="Times New Roman" w:hAnsi="Times New Roman" w:cs="Times New Roman"/>
                <w:color w:val="0000FF"/>
              </w:rPr>
              <w:fldChar w:fldCharType="separate"/>
            </w:r>
            <w:r>
              <w:rPr>
                <w:rFonts w:hint="default" w:ascii="Times New Roman" w:hAnsi="Times New Roman" w:cs="Times New Roman"/>
                <w:color w:val="0000FF"/>
              </w:rPr>
              <w:t>⑥</w:t>
            </w:r>
            <w:r>
              <w:rPr>
                <w:rFonts w:hint="default" w:ascii="Times New Roman" w:hAnsi="Times New Roman" w:cs="Times New Roman"/>
                <w:color w:val="0000FF"/>
              </w:rPr>
              <w:fldChar w:fldCharType="end"/>
            </w:r>
          </w:p>
        </w:tc>
        <w:tc>
          <w:tcPr>
            <w:tcW w:w="299" w:type="pct"/>
            <w:noWrap w:val="0"/>
            <w:tcMar>
              <w:left w:w="28" w:type="dxa"/>
              <w:right w:w="28" w:type="dxa"/>
            </w:tcMar>
            <w:vAlign w:val="center"/>
          </w:tcPr>
          <w:p w14:paraId="497CF8C6">
            <w:pPr>
              <w:pStyle w:val="40"/>
              <w:bidi w:val="0"/>
              <w:rPr>
                <w:rFonts w:hint="default" w:ascii="Times New Roman" w:hAnsi="Times New Roman" w:cs="Times New Roman"/>
                <w:color w:val="0000FF"/>
              </w:rPr>
            </w:pPr>
            <w:r>
              <w:rPr>
                <w:rFonts w:hint="default" w:ascii="Times New Roman" w:hAnsi="Times New Roman" w:cs="Times New Roman"/>
                <w:color w:val="0000FF"/>
              </w:rPr>
              <w:t>变化量</w:t>
            </w:r>
          </w:p>
          <w:p w14:paraId="47D1800A">
            <w:pPr>
              <w:pStyle w:val="40"/>
              <w:bidi w:val="0"/>
              <w:rPr>
                <w:rFonts w:hint="default" w:ascii="Times New Roman" w:hAnsi="Times New Roman" w:cs="Times New Roman"/>
                <w:color w:val="0000FF"/>
              </w:rPr>
            </w:pPr>
            <w:r>
              <w:rPr>
                <w:rFonts w:hint="default" w:ascii="Times New Roman" w:hAnsi="Times New Roman" w:cs="Times New Roman"/>
                <w:color w:val="0000FF"/>
              </w:rPr>
              <w:fldChar w:fldCharType="begin"/>
            </w:r>
            <w:r>
              <w:rPr>
                <w:rFonts w:hint="default" w:ascii="Times New Roman" w:hAnsi="Times New Roman" w:cs="Times New Roman"/>
                <w:color w:val="0000FF"/>
              </w:rPr>
              <w:instrText xml:space="preserve"> = 7 \* GB3 \* MERGEFORMAT </w:instrText>
            </w:r>
            <w:r>
              <w:rPr>
                <w:rFonts w:hint="default" w:ascii="Times New Roman" w:hAnsi="Times New Roman" w:cs="Times New Roman"/>
                <w:color w:val="0000FF"/>
              </w:rPr>
              <w:fldChar w:fldCharType="separate"/>
            </w:r>
            <w:r>
              <w:rPr>
                <w:rFonts w:hint="default" w:ascii="Times New Roman" w:hAnsi="Times New Roman" w:cs="Times New Roman"/>
                <w:color w:val="0000FF"/>
              </w:rPr>
              <w:t>⑦</w:t>
            </w:r>
            <w:r>
              <w:rPr>
                <w:rFonts w:hint="default" w:ascii="Times New Roman" w:hAnsi="Times New Roman" w:cs="Times New Roman"/>
                <w:color w:val="0000FF"/>
              </w:rPr>
              <w:fldChar w:fldCharType="end"/>
            </w:r>
          </w:p>
        </w:tc>
      </w:tr>
      <w:tr w14:paraId="406C53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575" w:type="pct"/>
            <w:vMerge w:val="restart"/>
            <w:noWrap w:val="0"/>
            <w:vAlign w:val="center"/>
          </w:tcPr>
          <w:p w14:paraId="1C385B36">
            <w:pPr>
              <w:pStyle w:val="40"/>
              <w:bidi w:val="0"/>
              <w:rPr>
                <w:rFonts w:hint="default" w:ascii="Times New Roman" w:hAnsi="Times New Roman" w:cs="Times New Roman"/>
                <w:color w:val="0000FF"/>
              </w:rPr>
            </w:pPr>
            <w:r>
              <w:rPr>
                <w:rFonts w:hint="default" w:ascii="Times New Roman" w:hAnsi="Times New Roman" w:cs="Times New Roman"/>
                <w:color w:val="0000FF"/>
              </w:rPr>
              <w:t>废气</w:t>
            </w:r>
          </w:p>
        </w:tc>
        <w:tc>
          <w:tcPr>
            <w:tcW w:w="513" w:type="pct"/>
            <w:noWrap w:val="0"/>
            <w:vAlign w:val="center"/>
          </w:tcPr>
          <w:p w14:paraId="79CC915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颗粒物</w:t>
            </w:r>
          </w:p>
        </w:tc>
        <w:tc>
          <w:tcPr>
            <w:tcW w:w="616" w:type="pct"/>
            <w:noWrap w:val="0"/>
            <w:vAlign w:val="center"/>
          </w:tcPr>
          <w:p w14:paraId="2E8EA32E">
            <w:pPr>
              <w:pStyle w:val="40"/>
              <w:bidi w:val="0"/>
              <w:rPr>
                <w:rFonts w:hint="default" w:ascii="Times New Roman" w:hAnsi="Times New Roman" w:eastAsia="宋体"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20F4308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138EC90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565" w:type="pct"/>
            <w:noWrap w:val="0"/>
            <w:vAlign w:val="center"/>
          </w:tcPr>
          <w:p w14:paraId="68C86370">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w:t>
            </w:r>
            <w:r>
              <w:rPr>
                <w:rFonts w:hint="eastAsia" w:cs="Times New Roman"/>
                <w:color w:val="0000FF"/>
                <w:lang w:val="en-US" w:eastAsia="zh-CN"/>
              </w:rPr>
              <w:t>498</w:t>
            </w:r>
            <w:r>
              <w:rPr>
                <w:rFonts w:hint="default" w:ascii="Times New Roman" w:hAnsi="Times New Roman" w:cs="Times New Roman"/>
                <w:color w:val="0000FF"/>
                <w:lang w:val="en-US" w:eastAsia="zh-CN"/>
              </w:rPr>
              <w:t>t/a</w:t>
            </w:r>
          </w:p>
        </w:tc>
        <w:tc>
          <w:tcPr>
            <w:tcW w:w="638" w:type="pct"/>
            <w:noWrap w:val="0"/>
            <w:vAlign w:val="center"/>
          </w:tcPr>
          <w:p w14:paraId="671CA85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59A2A2F6">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0.</w:t>
            </w:r>
            <w:r>
              <w:rPr>
                <w:rFonts w:hint="eastAsia" w:cs="Times New Roman"/>
                <w:color w:val="0000FF"/>
                <w:lang w:val="en-US" w:eastAsia="zh-CN"/>
              </w:rPr>
              <w:t>498</w:t>
            </w:r>
            <w:r>
              <w:rPr>
                <w:rFonts w:hint="default" w:ascii="Times New Roman" w:hAnsi="Times New Roman" w:cs="Times New Roman"/>
                <w:color w:val="0000FF"/>
                <w:lang w:val="en-US" w:eastAsia="zh-CN"/>
              </w:rPr>
              <w:t>t/a</w:t>
            </w:r>
          </w:p>
        </w:tc>
        <w:tc>
          <w:tcPr>
            <w:tcW w:w="299" w:type="pct"/>
            <w:noWrap w:val="0"/>
            <w:vAlign w:val="center"/>
          </w:tcPr>
          <w:p w14:paraId="1279A3E2">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60F9F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575" w:type="pct"/>
            <w:vMerge w:val="continue"/>
            <w:noWrap w:val="0"/>
            <w:vAlign w:val="center"/>
          </w:tcPr>
          <w:p w14:paraId="29228D46">
            <w:pPr>
              <w:pStyle w:val="40"/>
              <w:bidi w:val="0"/>
              <w:rPr>
                <w:rFonts w:hint="default" w:ascii="Times New Roman" w:hAnsi="Times New Roman" w:cs="Times New Roman"/>
                <w:color w:val="0000FF"/>
              </w:rPr>
            </w:pPr>
          </w:p>
        </w:tc>
        <w:tc>
          <w:tcPr>
            <w:tcW w:w="513" w:type="pct"/>
            <w:noWrap w:val="0"/>
            <w:vAlign w:val="center"/>
          </w:tcPr>
          <w:p w14:paraId="49FAAA6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SO</w:t>
            </w:r>
            <w:r>
              <w:rPr>
                <w:rFonts w:hint="default" w:ascii="Times New Roman" w:hAnsi="Times New Roman" w:cs="Times New Roman"/>
                <w:color w:val="0000FF"/>
                <w:vertAlign w:val="subscript"/>
                <w:lang w:val="en-US" w:eastAsia="zh-CN"/>
              </w:rPr>
              <w:t>2</w:t>
            </w:r>
          </w:p>
        </w:tc>
        <w:tc>
          <w:tcPr>
            <w:tcW w:w="616" w:type="pct"/>
            <w:noWrap w:val="0"/>
            <w:vAlign w:val="center"/>
          </w:tcPr>
          <w:p w14:paraId="66A5F278">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462" w:type="pct"/>
            <w:noWrap w:val="0"/>
            <w:vAlign w:val="center"/>
          </w:tcPr>
          <w:p w14:paraId="55EDEC61">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0AFB4D9A">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565" w:type="pct"/>
            <w:noWrap w:val="0"/>
            <w:vAlign w:val="center"/>
          </w:tcPr>
          <w:p w14:paraId="314D352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0.006t/a</w:t>
            </w:r>
          </w:p>
        </w:tc>
        <w:tc>
          <w:tcPr>
            <w:tcW w:w="638" w:type="pct"/>
            <w:noWrap w:val="0"/>
            <w:vAlign w:val="center"/>
          </w:tcPr>
          <w:p w14:paraId="37D5808D">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36B3D00F">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0.006t/a</w:t>
            </w:r>
          </w:p>
        </w:tc>
        <w:tc>
          <w:tcPr>
            <w:tcW w:w="299" w:type="pct"/>
            <w:noWrap w:val="0"/>
            <w:vAlign w:val="center"/>
          </w:tcPr>
          <w:p w14:paraId="3833782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0EDE09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575" w:type="pct"/>
            <w:vMerge w:val="continue"/>
            <w:noWrap w:val="0"/>
            <w:vAlign w:val="center"/>
          </w:tcPr>
          <w:p w14:paraId="0CF15AC0">
            <w:pPr>
              <w:pStyle w:val="40"/>
              <w:bidi w:val="0"/>
              <w:rPr>
                <w:rFonts w:hint="default" w:ascii="Times New Roman" w:hAnsi="Times New Roman" w:cs="Times New Roman"/>
                <w:color w:val="0000FF"/>
              </w:rPr>
            </w:pPr>
          </w:p>
        </w:tc>
        <w:tc>
          <w:tcPr>
            <w:tcW w:w="513" w:type="pct"/>
            <w:noWrap w:val="0"/>
            <w:vAlign w:val="center"/>
          </w:tcPr>
          <w:p w14:paraId="70D70FD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NOx</w:t>
            </w:r>
          </w:p>
        </w:tc>
        <w:tc>
          <w:tcPr>
            <w:tcW w:w="616" w:type="pct"/>
            <w:noWrap w:val="0"/>
            <w:vAlign w:val="center"/>
          </w:tcPr>
          <w:p w14:paraId="25660F10">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462" w:type="pct"/>
            <w:noWrap w:val="0"/>
            <w:vAlign w:val="center"/>
          </w:tcPr>
          <w:p w14:paraId="3ED17010">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62341268">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565" w:type="pct"/>
            <w:noWrap w:val="0"/>
            <w:vAlign w:val="center"/>
          </w:tcPr>
          <w:p w14:paraId="44311D06">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0.027t/a</w:t>
            </w:r>
          </w:p>
        </w:tc>
        <w:tc>
          <w:tcPr>
            <w:tcW w:w="638" w:type="pct"/>
            <w:noWrap w:val="0"/>
            <w:vAlign w:val="center"/>
          </w:tcPr>
          <w:p w14:paraId="5EC64BB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28565702">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0.027t/a</w:t>
            </w:r>
          </w:p>
        </w:tc>
        <w:tc>
          <w:tcPr>
            <w:tcW w:w="299" w:type="pct"/>
            <w:noWrap w:val="0"/>
            <w:vAlign w:val="center"/>
          </w:tcPr>
          <w:p w14:paraId="1381507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7E3A21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4" w:hRule="atLeast"/>
        </w:trPr>
        <w:tc>
          <w:tcPr>
            <w:tcW w:w="575" w:type="pct"/>
            <w:vMerge w:val="continue"/>
            <w:noWrap w:val="0"/>
            <w:vAlign w:val="center"/>
          </w:tcPr>
          <w:p w14:paraId="492EEAE8">
            <w:pPr>
              <w:pStyle w:val="40"/>
              <w:bidi w:val="0"/>
              <w:rPr>
                <w:rFonts w:hint="default" w:ascii="Times New Roman" w:hAnsi="Times New Roman" w:cs="Times New Roman"/>
                <w:color w:val="0000FF"/>
              </w:rPr>
            </w:pPr>
          </w:p>
        </w:tc>
        <w:tc>
          <w:tcPr>
            <w:tcW w:w="513" w:type="pct"/>
            <w:shd w:val="clear" w:color="auto" w:fill="auto"/>
            <w:noWrap w:val="0"/>
            <w:vAlign w:val="center"/>
          </w:tcPr>
          <w:p w14:paraId="574BE495">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eastAsia="zh-CN"/>
              </w:rPr>
              <w:t>非甲烷总烃</w:t>
            </w:r>
          </w:p>
        </w:tc>
        <w:tc>
          <w:tcPr>
            <w:tcW w:w="616" w:type="pct"/>
            <w:shd w:val="clear" w:color="auto" w:fill="auto"/>
            <w:noWrap w:val="0"/>
            <w:vAlign w:val="center"/>
          </w:tcPr>
          <w:p w14:paraId="1ED25810">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462" w:type="pct"/>
            <w:shd w:val="clear" w:color="auto" w:fill="auto"/>
            <w:noWrap w:val="0"/>
            <w:vAlign w:val="center"/>
          </w:tcPr>
          <w:p w14:paraId="125E1D8F">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616" w:type="pct"/>
            <w:shd w:val="clear" w:color="auto" w:fill="auto"/>
            <w:noWrap w:val="0"/>
            <w:vAlign w:val="center"/>
          </w:tcPr>
          <w:p w14:paraId="3308D32E">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565" w:type="pct"/>
            <w:shd w:val="clear" w:color="auto" w:fill="auto"/>
            <w:noWrap w:val="0"/>
            <w:vAlign w:val="center"/>
          </w:tcPr>
          <w:p w14:paraId="4CDAD0C9">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2.716</w:t>
            </w:r>
            <w:r>
              <w:rPr>
                <w:rFonts w:hint="default" w:ascii="Times New Roman" w:hAnsi="Times New Roman" w:cs="Times New Roman"/>
                <w:color w:val="0000FF"/>
                <w:lang w:val="en-US" w:eastAsia="zh-CN"/>
              </w:rPr>
              <w:t>t/a</w:t>
            </w:r>
          </w:p>
        </w:tc>
        <w:tc>
          <w:tcPr>
            <w:tcW w:w="638" w:type="pct"/>
            <w:shd w:val="clear" w:color="auto" w:fill="auto"/>
            <w:noWrap w:val="0"/>
            <w:vAlign w:val="center"/>
          </w:tcPr>
          <w:p w14:paraId="2D5290E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0B5227F5">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eastAsia" w:cs="Times New Roman"/>
                <w:color w:val="0000FF"/>
                <w:lang w:val="en-US" w:eastAsia="zh-CN"/>
              </w:rPr>
              <w:t>2.716</w:t>
            </w:r>
            <w:r>
              <w:rPr>
                <w:rFonts w:hint="default" w:ascii="Times New Roman" w:hAnsi="Times New Roman" w:cs="Times New Roman"/>
                <w:color w:val="0000FF"/>
                <w:lang w:val="en-US" w:eastAsia="zh-CN"/>
              </w:rPr>
              <w:t>t/a</w:t>
            </w:r>
          </w:p>
        </w:tc>
        <w:tc>
          <w:tcPr>
            <w:tcW w:w="299" w:type="pct"/>
            <w:noWrap w:val="0"/>
            <w:vAlign w:val="center"/>
          </w:tcPr>
          <w:p w14:paraId="3879A15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69C010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575" w:type="pct"/>
            <w:vMerge w:val="restart"/>
            <w:noWrap w:val="0"/>
            <w:vAlign w:val="center"/>
          </w:tcPr>
          <w:p w14:paraId="5BBB027D">
            <w:pPr>
              <w:pStyle w:val="40"/>
              <w:bidi w:val="0"/>
              <w:rPr>
                <w:rFonts w:hint="default" w:ascii="Times New Roman" w:hAnsi="Times New Roman" w:cs="Times New Roman"/>
                <w:color w:val="0000FF"/>
                <w:lang w:eastAsia="zh-CN"/>
              </w:rPr>
            </w:pPr>
            <w:r>
              <w:rPr>
                <w:rFonts w:hint="default" w:ascii="Times New Roman" w:hAnsi="Times New Roman" w:cs="Times New Roman"/>
                <w:color w:val="0000FF"/>
                <w:lang w:eastAsia="zh-CN"/>
              </w:rPr>
              <w:t>废水</w:t>
            </w:r>
          </w:p>
        </w:tc>
        <w:tc>
          <w:tcPr>
            <w:tcW w:w="513" w:type="pct"/>
            <w:noWrap w:val="0"/>
            <w:vAlign w:val="center"/>
          </w:tcPr>
          <w:p w14:paraId="5D176EF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COD</w:t>
            </w:r>
          </w:p>
        </w:tc>
        <w:tc>
          <w:tcPr>
            <w:tcW w:w="616" w:type="pct"/>
            <w:noWrap w:val="0"/>
            <w:vAlign w:val="center"/>
          </w:tcPr>
          <w:p w14:paraId="05F45647">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462" w:type="pct"/>
            <w:noWrap w:val="0"/>
            <w:vAlign w:val="center"/>
          </w:tcPr>
          <w:p w14:paraId="5EE07E76">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209DA6F6">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565" w:type="pct"/>
            <w:noWrap w:val="0"/>
            <w:vAlign w:val="center"/>
          </w:tcPr>
          <w:p w14:paraId="7EEDB3F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0.3</w:t>
            </w:r>
            <w:r>
              <w:rPr>
                <w:rFonts w:hint="eastAsia" w:cs="Times New Roman"/>
                <w:color w:val="0000FF"/>
                <w:lang w:val="en-US" w:eastAsia="zh-CN"/>
              </w:rPr>
              <w:t>64</w:t>
            </w:r>
            <w:r>
              <w:rPr>
                <w:rFonts w:hint="default" w:ascii="Times New Roman" w:hAnsi="Times New Roman" w:cs="Times New Roman"/>
                <w:color w:val="0000FF"/>
                <w:lang w:val="en-US" w:eastAsia="zh-CN"/>
              </w:rPr>
              <w:t>t/a</w:t>
            </w:r>
          </w:p>
        </w:tc>
        <w:tc>
          <w:tcPr>
            <w:tcW w:w="638" w:type="pct"/>
            <w:noWrap w:val="0"/>
            <w:vAlign w:val="center"/>
          </w:tcPr>
          <w:p w14:paraId="7EBB264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noWrap w:val="0"/>
            <w:vAlign w:val="center"/>
          </w:tcPr>
          <w:p w14:paraId="79257FAB">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0.3</w:t>
            </w:r>
            <w:r>
              <w:rPr>
                <w:rFonts w:hint="eastAsia" w:cs="Times New Roman"/>
                <w:color w:val="0000FF"/>
                <w:lang w:val="en-US" w:eastAsia="zh-CN"/>
              </w:rPr>
              <w:t>64</w:t>
            </w:r>
            <w:r>
              <w:rPr>
                <w:rFonts w:hint="default" w:ascii="Times New Roman" w:hAnsi="Times New Roman" w:cs="Times New Roman"/>
                <w:color w:val="0000FF"/>
                <w:lang w:val="en-US" w:eastAsia="zh-CN"/>
              </w:rPr>
              <w:t>t/a</w:t>
            </w:r>
          </w:p>
        </w:tc>
        <w:tc>
          <w:tcPr>
            <w:tcW w:w="299" w:type="pct"/>
            <w:noWrap w:val="0"/>
            <w:vAlign w:val="center"/>
          </w:tcPr>
          <w:p w14:paraId="5281F03B">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0D1871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575" w:type="pct"/>
            <w:vMerge w:val="continue"/>
            <w:noWrap w:val="0"/>
            <w:vAlign w:val="center"/>
          </w:tcPr>
          <w:p w14:paraId="4A4FAB0D">
            <w:pPr>
              <w:pStyle w:val="40"/>
              <w:bidi w:val="0"/>
              <w:rPr>
                <w:rFonts w:hint="default" w:ascii="Times New Roman" w:hAnsi="Times New Roman" w:cs="Times New Roman"/>
                <w:color w:val="0000FF"/>
              </w:rPr>
            </w:pPr>
          </w:p>
        </w:tc>
        <w:tc>
          <w:tcPr>
            <w:tcW w:w="513" w:type="pct"/>
            <w:noWrap w:val="0"/>
            <w:vAlign w:val="center"/>
          </w:tcPr>
          <w:p w14:paraId="2368E799">
            <w:pPr>
              <w:pStyle w:val="40"/>
              <w:bidi w:val="0"/>
              <w:rPr>
                <w:rFonts w:hint="default" w:ascii="Times New Roman" w:hAnsi="Times New Roman" w:cs="Times New Roman"/>
                <w:color w:val="0000FF"/>
                <w:lang w:eastAsia="zh-CN"/>
              </w:rPr>
            </w:pPr>
            <w:r>
              <w:rPr>
                <w:rFonts w:hint="default" w:ascii="Times New Roman" w:hAnsi="Times New Roman" w:cs="Times New Roman"/>
                <w:color w:val="0000FF"/>
              </w:rPr>
              <w:t>BOD</w:t>
            </w:r>
            <w:r>
              <w:rPr>
                <w:rFonts w:hint="default" w:ascii="Times New Roman" w:hAnsi="Times New Roman" w:cs="Times New Roman"/>
                <w:color w:val="0000FF"/>
                <w:vertAlign w:val="subscript"/>
              </w:rPr>
              <w:t>5</w:t>
            </w:r>
          </w:p>
        </w:tc>
        <w:tc>
          <w:tcPr>
            <w:tcW w:w="616" w:type="pct"/>
            <w:noWrap w:val="0"/>
            <w:vAlign w:val="center"/>
          </w:tcPr>
          <w:p w14:paraId="498CA657">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462" w:type="pct"/>
            <w:noWrap w:val="0"/>
            <w:vAlign w:val="center"/>
          </w:tcPr>
          <w:p w14:paraId="7A5D2BCF">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1C8E3322">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565" w:type="pct"/>
            <w:noWrap w:val="0"/>
            <w:vAlign w:val="center"/>
          </w:tcPr>
          <w:p w14:paraId="4E8EBFA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w:t>
            </w:r>
            <w:r>
              <w:rPr>
                <w:rFonts w:hint="eastAsia" w:cs="Times New Roman"/>
                <w:color w:val="0000FF"/>
                <w:lang w:val="en-US" w:eastAsia="zh-CN"/>
              </w:rPr>
              <w:t>218</w:t>
            </w:r>
            <w:r>
              <w:rPr>
                <w:rFonts w:hint="default" w:ascii="Times New Roman" w:hAnsi="Times New Roman" w:cs="Times New Roman"/>
                <w:color w:val="0000FF"/>
                <w:lang w:val="en-US" w:eastAsia="zh-CN"/>
              </w:rPr>
              <w:t>t/a</w:t>
            </w:r>
          </w:p>
        </w:tc>
        <w:tc>
          <w:tcPr>
            <w:tcW w:w="638" w:type="pct"/>
            <w:noWrap w:val="0"/>
            <w:vAlign w:val="center"/>
          </w:tcPr>
          <w:p w14:paraId="5EA48A3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noWrap w:val="0"/>
            <w:vAlign w:val="center"/>
          </w:tcPr>
          <w:p w14:paraId="43F7A102">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0.</w:t>
            </w:r>
            <w:r>
              <w:rPr>
                <w:rFonts w:hint="eastAsia" w:cs="Times New Roman"/>
                <w:color w:val="0000FF"/>
                <w:lang w:val="en-US" w:eastAsia="zh-CN"/>
              </w:rPr>
              <w:t>218</w:t>
            </w:r>
            <w:r>
              <w:rPr>
                <w:rFonts w:hint="default" w:ascii="Times New Roman" w:hAnsi="Times New Roman" w:cs="Times New Roman"/>
                <w:color w:val="0000FF"/>
                <w:lang w:val="en-US" w:eastAsia="zh-CN"/>
              </w:rPr>
              <w:t>t/a</w:t>
            </w:r>
          </w:p>
        </w:tc>
        <w:tc>
          <w:tcPr>
            <w:tcW w:w="299" w:type="pct"/>
            <w:noWrap w:val="0"/>
            <w:vAlign w:val="center"/>
          </w:tcPr>
          <w:p w14:paraId="407F1447">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197C0F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575" w:type="pct"/>
            <w:vMerge w:val="continue"/>
            <w:noWrap w:val="0"/>
            <w:vAlign w:val="center"/>
          </w:tcPr>
          <w:p w14:paraId="008B6168">
            <w:pPr>
              <w:pStyle w:val="40"/>
              <w:bidi w:val="0"/>
              <w:rPr>
                <w:rFonts w:hint="default" w:ascii="Times New Roman" w:hAnsi="Times New Roman" w:cs="Times New Roman"/>
                <w:color w:val="0000FF"/>
              </w:rPr>
            </w:pPr>
          </w:p>
        </w:tc>
        <w:tc>
          <w:tcPr>
            <w:tcW w:w="513" w:type="pct"/>
            <w:noWrap w:val="0"/>
            <w:vAlign w:val="center"/>
          </w:tcPr>
          <w:p w14:paraId="6BF3E64E">
            <w:pPr>
              <w:pStyle w:val="40"/>
              <w:bidi w:val="0"/>
              <w:rPr>
                <w:rFonts w:hint="default" w:ascii="Times New Roman" w:hAnsi="Times New Roman" w:cs="Times New Roman"/>
                <w:color w:val="0000FF"/>
                <w:lang w:eastAsia="zh-CN"/>
              </w:rPr>
            </w:pPr>
            <w:r>
              <w:rPr>
                <w:rFonts w:hint="default" w:ascii="Times New Roman" w:hAnsi="Times New Roman" w:cs="Times New Roman"/>
                <w:color w:val="0000FF"/>
              </w:rPr>
              <w:t>SS</w:t>
            </w:r>
          </w:p>
        </w:tc>
        <w:tc>
          <w:tcPr>
            <w:tcW w:w="616" w:type="pct"/>
            <w:noWrap w:val="0"/>
            <w:vAlign w:val="center"/>
          </w:tcPr>
          <w:p w14:paraId="456EFF7E">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462" w:type="pct"/>
            <w:noWrap w:val="0"/>
            <w:vAlign w:val="center"/>
          </w:tcPr>
          <w:p w14:paraId="25CDFD1F">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2EF8D0A1">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565" w:type="pct"/>
            <w:noWrap w:val="0"/>
            <w:vAlign w:val="center"/>
          </w:tcPr>
          <w:p w14:paraId="4EA8C69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0.1</w:t>
            </w:r>
            <w:r>
              <w:rPr>
                <w:rFonts w:hint="eastAsia" w:cs="Times New Roman"/>
                <w:color w:val="0000FF"/>
                <w:lang w:val="en-US" w:eastAsia="zh-CN"/>
              </w:rPr>
              <w:t>82</w:t>
            </w:r>
            <w:r>
              <w:rPr>
                <w:rFonts w:hint="default" w:ascii="Times New Roman" w:hAnsi="Times New Roman" w:cs="Times New Roman"/>
                <w:color w:val="0000FF"/>
                <w:lang w:val="en-US" w:eastAsia="zh-CN"/>
              </w:rPr>
              <w:t>t/a</w:t>
            </w:r>
          </w:p>
        </w:tc>
        <w:tc>
          <w:tcPr>
            <w:tcW w:w="638" w:type="pct"/>
            <w:noWrap w:val="0"/>
            <w:vAlign w:val="center"/>
          </w:tcPr>
          <w:p w14:paraId="6F74CFD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noWrap w:val="0"/>
            <w:vAlign w:val="center"/>
          </w:tcPr>
          <w:p w14:paraId="3F8338F7">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0.1</w:t>
            </w:r>
            <w:r>
              <w:rPr>
                <w:rFonts w:hint="eastAsia" w:cs="Times New Roman"/>
                <w:color w:val="0000FF"/>
                <w:lang w:val="en-US" w:eastAsia="zh-CN"/>
              </w:rPr>
              <w:t>82</w:t>
            </w:r>
            <w:r>
              <w:rPr>
                <w:rFonts w:hint="default" w:ascii="Times New Roman" w:hAnsi="Times New Roman" w:cs="Times New Roman"/>
                <w:color w:val="0000FF"/>
                <w:lang w:val="en-US" w:eastAsia="zh-CN"/>
              </w:rPr>
              <w:t>t/a</w:t>
            </w:r>
          </w:p>
        </w:tc>
        <w:tc>
          <w:tcPr>
            <w:tcW w:w="299" w:type="pct"/>
            <w:noWrap w:val="0"/>
            <w:vAlign w:val="center"/>
          </w:tcPr>
          <w:p w14:paraId="51D4AC73">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2CBB9C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575" w:type="pct"/>
            <w:vMerge w:val="continue"/>
            <w:noWrap w:val="0"/>
            <w:vAlign w:val="center"/>
          </w:tcPr>
          <w:p w14:paraId="169C45EE">
            <w:pPr>
              <w:pStyle w:val="40"/>
              <w:bidi w:val="0"/>
              <w:rPr>
                <w:rFonts w:hint="default" w:ascii="Times New Roman" w:hAnsi="Times New Roman" w:cs="Times New Roman"/>
                <w:color w:val="0000FF"/>
              </w:rPr>
            </w:pPr>
          </w:p>
        </w:tc>
        <w:tc>
          <w:tcPr>
            <w:tcW w:w="513" w:type="pct"/>
            <w:noWrap w:val="0"/>
            <w:vAlign w:val="center"/>
          </w:tcPr>
          <w:p w14:paraId="1771DE6B">
            <w:pPr>
              <w:pStyle w:val="40"/>
              <w:bidi w:val="0"/>
              <w:rPr>
                <w:rFonts w:hint="default" w:ascii="Times New Roman" w:hAnsi="Times New Roman" w:cs="Times New Roman"/>
                <w:color w:val="0000FF"/>
                <w:lang w:eastAsia="zh-CN"/>
              </w:rPr>
            </w:pPr>
            <w:r>
              <w:rPr>
                <w:rFonts w:hint="default" w:ascii="Times New Roman" w:hAnsi="Times New Roman" w:cs="Times New Roman"/>
                <w:color w:val="0000FF"/>
                <w:lang w:eastAsia="zh-CN"/>
              </w:rPr>
              <w:t>氨氮</w:t>
            </w:r>
          </w:p>
        </w:tc>
        <w:tc>
          <w:tcPr>
            <w:tcW w:w="616" w:type="pct"/>
            <w:noWrap w:val="0"/>
            <w:vAlign w:val="center"/>
          </w:tcPr>
          <w:p w14:paraId="3117D0BB">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462" w:type="pct"/>
            <w:noWrap w:val="0"/>
            <w:vAlign w:val="center"/>
          </w:tcPr>
          <w:p w14:paraId="1FCB80FD">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3B819F34">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565" w:type="pct"/>
            <w:noWrap w:val="0"/>
            <w:vAlign w:val="center"/>
          </w:tcPr>
          <w:p w14:paraId="485CC27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w:t>
            </w:r>
            <w:r>
              <w:rPr>
                <w:rFonts w:hint="eastAsia" w:cs="Times New Roman"/>
                <w:color w:val="0000FF"/>
                <w:lang w:val="en-US" w:eastAsia="zh-CN"/>
              </w:rPr>
              <w:t>32</w:t>
            </w:r>
            <w:r>
              <w:rPr>
                <w:rFonts w:hint="default" w:ascii="Times New Roman" w:hAnsi="Times New Roman" w:cs="Times New Roman"/>
                <w:color w:val="0000FF"/>
                <w:lang w:val="en-US" w:eastAsia="zh-CN"/>
              </w:rPr>
              <w:t>t/a</w:t>
            </w:r>
          </w:p>
        </w:tc>
        <w:tc>
          <w:tcPr>
            <w:tcW w:w="638" w:type="pct"/>
            <w:noWrap w:val="0"/>
            <w:vAlign w:val="center"/>
          </w:tcPr>
          <w:p w14:paraId="57CE1662">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noWrap w:val="0"/>
            <w:vAlign w:val="center"/>
          </w:tcPr>
          <w:p w14:paraId="684E97C8">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w:t>
            </w:r>
            <w:r>
              <w:rPr>
                <w:rFonts w:hint="eastAsia" w:cs="Times New Roman"/>
                <w:color w:val="0000FF"/>
                <w:lang w:val="en-US" w:eastAsia="zh-CN"/>
              </w:rPr>
              <w:t>32</w:t>
            </w:r>
            <w:r>
              <w:rPr>
                <w:rFonts w:hint="default" w:ascii="Times New Roman" w:hAnsi="Times New Roman" w:cs="Times New Roman"/>
                <w:color w:val="0000FF"/>
                <w:lang w:val="en-US" w:eastAsia="zh-CN"/>
              </w:rPr>
              <w:t>t/a</w:t>
            </w:r>
          </w:p>
        </w:tc>
        <w:tc>
          <w:tcPr>
            <w:tcW w:w="299" w:type="pct"/>
            <w:noWrap w:val="0"/>
            <w:vAlign w:val="center"/>
          </w:tcPr>
          <w:p w14:paraId="4B021C15">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095188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575" w:type="pct"/>
            <w:vMerge w:val="restart"/>
            <w:noWrap w:val="0"/>
            <w:vAlign w:val="center"/>
          </w:tcPr>
          <w:p w14:paraId="0CA2862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一般工业固体废物</w:t>
            </w:r>
          </w:p>
        </w:tc>
        <w:tc>
          <w:tcPr>
            <w:tcW w:w="513" w:type="pct"/>
            <w:noWrap w:val="0"/>
            <w:vAlign w:val="center"/>
          </w:tcPr>
          <w:p w14:paraId="31624E85">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报废钢瓶</w:t>
            </w:r>
          </w:p>
        </w:tc>
        <w:tc>
          <w:tcPr>
            <w:tcW w:w="616" w:type="pct"/>
            <w:noWrap w:val="0"/>
            <w:vAlign w:val="center"/>
          </w:tcPr>
          <w:p w14:paraId="5AB4CA63">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41C52C1F">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09275D8E">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77ACEFDD">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105</w:t>
            </w:r>
            <w:r>
              <w:rPr>
                <w:rFonts w:hint="default" w:ascii="Times New Roman" w:hAnsi="Times New Roman" w:cs="Times New Roman"/>
                <w:color w:val="0000FF"/>
                <w:lang w:val="en-US" w:eastAsia="zh-CN"/>
              </w:rPr>
              <w:t>t/a</w:t>
            </w:r>
          </w:p>
        </w:tc>
        <w:tc>
          <w:tcPr>
            <w:tcW w:w="638" w:type="pct"/>
            <w:noWrap w:val="0"/>
            <w:vAlign w:val="center"/>
          </w:tcPr>
          <w:p w14:paraId="4B345DA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788B344D">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105</w:t>
            </w:r>
            <w:r>
              <w:rPr>
                <w:rFonts w:hint="default" w:ascii="Times New Roman" w:hAnsi="Times New Roman" w:cs="Times New Roman"/>
                <w:color w:val="0000FF"/>
                <w:lang w:val="en-US" w:eastAsia="zh-CN"/>
              </w:rPr>
              <w:t>t/a</w:t>
            </w:r>
          </w:p>
        </w:tc>
        <w:tc>
          <w:tcPr>
            <w:tcW w:w="299" w:type="pct"/>
            <w:noWrap w:val="0"/>
            <w:vAlign w:val="center"/>
          </w:tcPr>
          <w:p w14:paraId="008BDFB7">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3723E5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64DA7CFC">
            <w:pPr>
              <w:pStyle w:val="40"/>
              <w:bidi w:val="0"/>
              <w:rPr>
                <w:rFonts w:hint="default" w:ascii="Times New Roman" w:hAnsi="Times New Roman" w:cs="Times New Roman"/>
                <w:color w:val="0000FF"/>
              </w:rPr>
            </w:pPr>
          </w:p>
        </w:tc>
        <w:tc>
          <w:tcPr>
            <w:tcW w:w="513" w:type="pct"/>
            <w:shd w:val="clear" w:color="auto" w:fill="auto"/>
            <w:noWrap w:val="0"/>
            <w:vAlign w:val="center"/>
          </w:tcPr>
          <w:p w14:paraId="357D1934">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焚烧炉渣</w:t>
            </w:r>
          </w:p>
        </w:tc>
        <w:tc>
          <w:tcPr>
            <w:tcW w:w="616" w:type="pct"/>
            <w:noWrap w:val="0"/>
            <w:vAlign w:val="center"/>
          </w:tcPr>
          <w:p w14:paraId="646A8A8D">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77115CC0">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163FF00A">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1B55391C">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eastAsia" w:cs="Times New Roman"/>
                <w:i w:val="0"/>
                <w:iCs w:val="0"/>
                <w:color w:val="0000FF"/>
                <w:kern w:val="0"/>
                <w:sz w:val="22"/>
                <w:szCs w:val="22"/>
                <w:u w:val="none"/>
                <w:lang w:val="en-US" w:eastAsia="zh-CN" w:bidi="ar"/>
              </w:rPr>
              <w:t>0.18</w:t>
            </w:r>
            <w:r>
              <w:rPr>
                <w:rFonts w:hint="default" w:ascii="Times New Roman" w:hAnsi="Times New Roman" w:cs="Times New Roman"/>
                <w:color w:val="0000FF"/>
                <w:lang w:val="en-US" w:eastAsia="zh-CN"/>
              </w:rPr>
              <w:t>t/a</w:t>
            </w:r>
          </w:p>
        </w:tc>
        <w:tc>
          <w:tcPr>
            <w:tcW w:w="638" w:type="pct"/>
            <w:noWrap w:val="0"/>
            <w:vAlign w:val="center"/>
          </w:tcPr>
          <w:p w14:paraId="575C948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52AA4680">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eastAsia" w:cs="Times New Roman"/>
                <w:i w:val="0"/>
                <w:iCs w:val="0"/>
                <w:color w:val="0000FF"/>
                <w:kern w:val="0"/>
                <w:sz w:val="22"/>
                <w:szCs w:val="22"/>
                <w:u w:val="none"/>
                <w:lang w:val="en-US" w:eastAsia="zh-CN" w:bidi="ar"/>
              </w:rPr>
              <w:t>0.18</w:t>
            </w:r>
            <w:r>
              <w:rPr>
                <w:rFonts w:hint="default" w:ascii="Times New Roman" w:hAnsi="Times New Roman" w:cs="Times New Roman"/>
                <w:color w:val="0000FF"/>
                <w:lang w:val="en-US" w:eastAsia="zh-CN"/>
              </w:rPr>
              <w:t>t/a</w:t>
            </w:r>
          </w:p>
        </w:tc>
        <w:tc>
          <w:tcPr>
            <w:tcW w:w="299" w:type="pct"/>
            <w:noWrap w:val="0"/>
            <w:vAlign w:val="center"/>
          </w:tcPr>
          <w:p w14:paraId="61D907A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573E19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7DDEE89A">
            <w:pPr>
              <w:pStyle w:val="40"/>
              <w:bidi w:val="0"/>
              <w:rPr>
                <w:rFonts w:hint="default" w:ascii="Times New Roman" w:hAnsi="Times New Roman" w:cs="Times New Roman"/>
                <w:color w:val="0000FF"/>
              </w:rPr>
            </w:pPr>
          </w:p>
        </w:tc>
        <w:tc>
          <w:tcPr>
            <w:tcW w:w="513" w:type="pct"/>
            <w:shd w:val="clear" w:color="auto" w:fill="auto"/>
            <w:noWrap w:val="0"/>
            <w:vAlign w:val="center"/>
          </w:tcPr>
          <w:p w14:paraId="67264B20">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污泥</w:t>
            </w:r>
          </w:p>
        </w:tc>
        <w:tc>
          <w:tcPr>
            <w:tcW w:w="616" w:type="pct"/>
            <w:noWrap w:val="0"/>
            <w:vAlign w:val="center"/>
          </w:tcPr>
          <w:p w14:paraId="7172E305">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7B99BBB6">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232ADCBA">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353E6685">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0.09</w:t>
            </w:r>
            <w:r>
              <w:rPr>
                <w:rFonts w:hint="default" w:ascii="Times New Roman" w:hAnsi="Times New Roman" w:cs="Times New Roman"/>
                <w:color w:val="0000FF"/>
                <w:lang w:val="en-US" w:eastAsia="zh-CN"/>
              </w:rPr>
              <w:t>t/a</w:t>
            </w:r>
          </w:p>
        </w:tc>
        <w:tc>
          <w:tcPr>
            <w:tcW w:w="638" w:type="pct"/>
            <w:noWrap w:val="0"/>
            <w:vAlign w:val="center"/>
          </w:tcPr>
          <w:p w14:paraId="2B871438">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2D7FB60D">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0.09</w:t>
            </w:r>
            <w:r>
              <w:rPr>
                <w:rFonts w:hint="default" w:ascii="Times New Roman" w:hAnsi="Times New Roman" w:cs="Times New Roman"/>
                <w:color w:val="0000FF"/>
                <w:lang w:val="en-US" w:eastAsia="zh-CN"/>
              </w:rPr>
              <w:t>t/a</w:t>
            </w:r>
          </w:p>
        </w:tc>
        <w:tc>
          <w:tcPr>
            <w:tcW w:w="299" w:type="pct"/>
            <w:noWrap w:val="0"/>
            <w:vAlign w:val="center"/>
          </w:tcPr>
          <w:p w14:paraId="6AA7B533">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7A90C6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024CC5D6">
            <w:pPr>
              <w:pStyle w:val="40"/>
              <w:bidi w:val="0"/>
              <w:rPr>
                <w:rFonts w:hint="default" w:ascii="Times New Roman" w:hAnsi="Times New Roman" w:cs="Times New Roman"/>
                <w:color w:val="0000FF"/>
              </w:rPr>
            </w:pPr>
          </w:p>
        </w:tc>
        <w:tc>
          <w:tcPr>
            <w:tcW w:w="513" w:type="pct"/>
            <w:shd w:val="clear" w:color="auto" w:fill="auto"/>
            <w:noWrap w:val="0"/>
            <w:vAlign w:val="center"/>
          </w:tcPr>
          <w:p w14:paraId="035B1533">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eastAsia" w:cs="Times New Roman"/>
                <w:i w:val="0"/>
                <w:iCs w:val="0"/>
                <w:color w:val="0000FF"/>
                <w:kern w:val="0"/>
                <w:sz w:val="22"/>
                <w:szCs w:val="22"/>
                <w:u w:val="none"/>
                <w:lang w:val="en-US" w:eastAsia="zh-CN" w:bidi="ar"/>
              </w:rPr>
              <w:t>废钢丸</w:t>
            </w:r>
          </w:p>
        </w:tc>
        <w:tc>
          <w:tcPr>
            <w:tcW w:w="616" w:type="pct"/>
            <w:shd w:val="clear" w:color="auto" w:fill="auto"/>
            <w:noWrap w:val="0"/>
            <w:vAlign w:val="center"/>
          </w:tcPr>
          <w:p w14:paraId="6116D80D">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462" w:type="pct"/>
            <w:shd w:val="clear" w:color="auto" w:fill="auto"/>
            <w:noWrap w:val="0"/>
            <w:vAlign w:val="center"/>
          </w:tcPr>
          <w:p w14:paraId="33F3D3B6">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616" w:type="pct"/>
            <w:shd w:val="clear" w:color="auto" w:fill="auto"/>
            <w:noWrap w:val="0"/>
            <w:vAlign w:val="center"/>
          </w:tcPr>
          <w:p w14:paraId="27D44A18">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565" w:type="pct"/>
            <w:noWrap w:val="0"/>
            <w:vAlign w:val="center"/>
          </w:tcPr>
          <w:p w14:paraId="1CA68F0F">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eastAsia" w:cs="Times New Roman"/>
                <w:i w:val="0"/>
                <w:iCs w:val="0"/>
                <w:color w:val="0000FF"/>
                <w:kern w:val="0"/>
                <w:sz w:val="22"/>
                <w:szCs w:val="22"/>
                <w:u w:val="none"/>
                <w:lang w:val="en-US" w:eastAsia="zh-CN" w:bidi="ar"/>
              </w:rPr>
              <w:t>5.00t/a</w:t>
            </w:r>
          </w:p>
        </w:tc>
        <w:tc>
          <w:tcPr>
            <w:tcW w:w="638" w:type="pct"/>
            <w:noWrap w:val="0"/>
            <w:vAlign w:val="center"/>
          </w:tcPr>
          <w:p w14:paraId="10D19005">
            <w:pPr>
              <w:pStyle w:val="40"/>
              <w:bidi w:val="0"/>
              <w:rPr>
                <w:rFonts w:hint="default" w:ascii="Times New Roman" w:hAnsi="Times New Roman" w:cs="Times New Roman"/>
                <w:color w:val="0000FF"/>
                <w:lang w:val="en-US" w:eastAsia="zh-CN"/>
              </w:rPr>
            </w:pPr>
            <w:r>
              <w:rPr>
                <w:rFonts w:hint="eastAsia" w:cs="Times New Roman"/>
                <w:color w:val="0000FF"/>
                <w:lang w:val="en-US" w:eastAsia="zh-CN"/>
              </w:rPr>
              <w:t>/</w:t>
            </w:r>
          </w:p>
        </w:tc>
        <w:tc>
          <w:tcPr>
            <w:tcW w:w="1996" w:type="dxa"/>
            <w:shd w:val="clear" w:color="auto" w:fill="auto"/>
            <w:noWrap w:val="0"/>
            <w:vAlign w:val="center"/>
          </w:tcPr>
          <w:p w14:paraId="472D764E">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eastAsia" w:cs="Times New Roman"/>
                <w:i w:val="0"/>
                <w:iCs w:val="0"/>
                <w:color w:val="0000FF"/>
                <w:kern w:val="0"/>
                <w:sz w:val="22"/>
                <w:szCs w:val="22"/>
                <w:u w:val="none"/>
                <w:lang w:val="en-US" w:eastAsia="zh-CN" w:bidi="ar"/>
              </w:rPr>
              <w:t>5.00t/a</w:t>
            </w:r>
          </w:p>
        </w:tc>
        <w:tc>
          <w:tcPr>
            <w:tcW w:w="299" w:type="pct"/>
            <w:noWrap w:val="0"/>
            <w:vAlign w:val="center"/>
          </w:tcPr>
          <w:p w14:paraId="38FA29BF">
            <w:pPr>
              <w:pStyle w:val="40"/>
              <w:bidi w:val="0"/>
              <w:rPr>
                <w:rFonts w:hint="default" w:ascii="Times New Roman" w:hAnsi="Times New Roman" w:cs="Times New Roman"/>
                <w:color w:val="0000FF"/>
                <w:lang w:val="en-US" w:eastAsia="zh-CN"/>
              </w:rPr>
            </w:pPr>
          </w:p>
        </w:tc>
      </w:tr>
      <w:tr w14:paraId="7A40AB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1B9CB7CF">
            <w:pPr>
              <w:pStyle w:val="40"/>
              <w:bidi w:val="0"/>
              <w:rPr>
                <w:rFonts w:hint="default" w:ascii="Times New Roman" w:hAnsi="Times New Roman" w:cs="Times New Roman"/>
                <w:color w:val="0000FF"/>
              </w:rPr>
            </w:pPr>
          </w:p>
        </w:tc>
        <w:tc>
          <w:tcPr>
            <w:tcW w:w="513" w:type="pct"/>
            <w:shd w:val="clear" w:color="auto" w:fill="auto"/>
            <w:noWrap w:val="0"/>
            <w:vAlign w:val="center"/>
          </w:tcPr>
          <w:p w14:paraId="2FAB7511">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除尘灰</w:t>
            </w:r>
          </w:p>
        </w:tc>
        <w:tc>
          <w:tcPr>
            <w:tcW w:w="616" w:type="pct"/>
            <w:noWrap w:val="0"/>
            <w:vAlign w:val="center"/>
          </w:tcPr>
          <w:p w14:paraId="3763C6A0">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10D6278D">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0472E4AE">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2BA63DC2">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2.</w:t>
            </w:r>
            <w:r>
              <w:rPr>
                <w:rFonts w:hint="eastAsia" w:cs="Times New Roman"/>
                <w:i w:val="0"/>
                <w:iCs w:val="0"/>
                <w:color w:val="0000FF"/>
                <w:kern w:val="0"/>
                <w:sz w:val="22"/>
                <w:szCs w:val="22"/>
                <w:u w:val="none"/>
                <w:lang w:val="en-US" w:eastAsia="zh-CN" w:bidi="ar"/>
              </w:rPr>
              <w:t>2</w:t>
            </w:r>
            <w:r>
              <w:rPr>
                <w:rFonts w:hint="default" w:ascii="Times New Roman" w:hAnsi="Times New Roman" w:eastAsia="宋体" w:cs="Times New Roman"/>
                <w:i w:val="0"/>
                <w:iCs w:val="0"/>
                <w:color w:val="0000FF"/>
                <w:kern w:val="0"/>
                <w:sz w:val="22"/>
                <w:szCs w:val="22"/>
                <w:u w:val="none"/>
                <w:lang w:val="en-US" w:eastAsia="zh-CN" w:bidi="ar"/>
              </w:rPr>
              <w:t>8</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638" w:type="pct"/>
            <w:noWrap w:val="0"/>
            <w:vAlign w:val="center"/>
          </w:tcPr>
          <w:p w14:paraId="4D17960A">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6198D057">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2.</w:t>
            </w:r>
            <w:r>
              <w:rPr>
                <w:rFonts w:hint="eastAsia" w:cs="Times New Roman"/>
                <w:i w:val="0"/>
                <w:iCs w:val="0"/>
                <w:color w:val="0000FF"/>
                <w:kern w:val="0"/>
                <w:sz w:val="22"/>
                <w:szCs w:val="22"/>
                <w:u w:val="none"/>
                <w:lang w:val="en-US" w:eastAsia="zh-CN" w:bidi="ar"/>
              </w:rPr>
              <w:t>2</w:t>
            </w:r>
            <w:r>
              <w:rPr>
                <w:rFonts w:hint="default" w:ascii="Times New Roman" w:hAnsi="Times New Roman" w:eastAsia="宋体" w:cs="Times New Roman"/>
                <w:i w:val="0"/>
                <w:iCs w:val="0"/>
                <w:color w:val="0000FF"/>
                <w:kern w:val="0"/>
                <w:sz w:val="22"/>
                <w:szCs w:val="22"/>
                <w:u w:val="none"/>
                <w:lang w:val="en-US" w:eastAsia="zh-CN" w:bidi="ar"/>
              </w:rPr>
              <w:t>8</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299" w:type="pct"/>
            <w:noWrap w:val="0"/>
            <w:vAlign w:val="center"/>
          </w:tcPr>
          <w:p w14:paraId="04AF2E7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78BF98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103F53DC">
            <w:pPr>
              <w:pStyle w:val="40"/>
              <w:bidi w:val="0"/>
              <w:rPr>
                <w:rFonts w:hint="default" w:ascii="Times New Roman" w:hAnsi="Times New Roman" w:cs="Times New Roman"/>
                <w:color w:val="0000FF"/>
              </w:rPr>
            </w:pPr>
          </w:p>
        </w:tc>
        <w:tc>
          <w:tcPr>
            <w:tcW w:w="513" w:type="pct"/>
            <w:shd w:val="clear" w:color="auto" w:fill="auto"/>
            <w:noWrap w:val="0"/>
            <w:vAlign w:val="center"/>
          </w:tcPr>
          <w:p w14:paraId="332D05E0">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废布袋</w:t>
            </w:r>
          </w:p>
        </w:tc>
        <w:tc>
          <w:tcPr>
            <w:tcW w:w="616" w:type="pct"/>
            <w:noWrap w:val="0"/>
            <w:vAlign w:val="center"/>
          </w:tcPr>
          <w:p w14:paraId="43230DC9">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1D05BAD6">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1837781F">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58B8439C">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0.05</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638" w:type="pct"/>
            <w:noWrap w:val="0"/>
            <w:vAlign w:val="center"/>
          </w:tcPr>
          <w:p w14:paraId="7B77CF5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711E4283">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0.05</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299" w:type="pct"/>
            <w:noWrap w:val="0"/>
            <w:vAlign w:val="center"/>
          </w:tcPr>
          <w:p w14:paraId="6DA5D8E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0D502D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71F6992B">
            <w:pPr>
              <w:pStyle w:val="40"/>
              <w:bidi w:val="0"/>
              <w:rPr>
                <w:rFonts w:hint="default" w:ascii="Times New Roman" w:hAnsi="Times New Roman" w:cs="Times New Roman"/>
                <w:color w:val="0000FF"/>
              </w:rPr>
            </w:pPr>
          </w:p>
        </w:tc>
        <w:tc>
          <w:tcPr>
            <w:tcW w:w="513" w:type="pct"/>
            <w:shd w:val="clear" w:color="auto" w:fill="auto"/>
            <w:noWrap w:val="0"/>
            <w:vAlign w:val="center"/>
          </w:tcPr>
          <w:p w14:paraId="55DFA059">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default" w:ascii="Times New Roman" w:hAnsi="Times New Roman" w:eastAsia="宋体" w:cs="Times New Roman"/>
                <w:i w:val="0"/>
                <w:iCs w:val="0"/>
                <w:color w:val="0000FF"/>
                <w:kern w:val="0"/>
                <w:sz w:val="22"/>
                <w:szCs w:val="22"/>
                <w:u w:val="none"/>
                <w:lang w:val="en-US" w:eastAsia="zh-CN" w:bidi="ar"/>
              </w:rPr>
              <w:t>废角阀</w:t>
            </w:r>
          </w:p>
        </w:tc>
        <w:tc>
          <w:tcPr>
            <w:tcW w:w="616" w:type="pct"/>
            <w:noWrap w:val="0"/>
            <w:vAlign w:val="center"/>
          </w:tcPr>
          <w:p w14:paraId="7E6DD39B">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6977102A">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7E53C78E">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74C018BF">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35.00</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638" w:type="pct"/>
            <w:noWrap w:val="0"/>
            <w:vAlign w:val="center"/>
          </w:tcPr>
          <w:p w14:paraId="2236B30F">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399828A5">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35.00</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299" w:type="pct"/>
            <w:noWrap w:val="0"/>
            <w:vAlign w:val="center"/>
          </w:tcPr>
          <w:p w14:paraId="1401CAF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3DD102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5BB82500">
            <w:pPr>
              <w:pStyle w:val="40"/>
              <w:bidi w:val="0"/>
              <w:rPr>
                <w:rFonts w:hint="default" w:ascii="Times New Roman" w:hAnsi="Times New Roman" w:cs="Times New Roman"/>
                <w:color w:val="0000FF"/>
              </w:rPr>
            </w:pPr>
          </w:p>
        </w:tc>
        <w:tc>
          <w:tcPr>
            <w:tcW w:w="513" w:type="pct"/>
            <w:shd w:val="clear" w:color="auto" w:fill="auto"/>
            <w:noWrap w:val="0"/>
            <w:vAlign w:val="center"/>
          </w:tcPr>
          <w:p w14:paraId="6E9CB92B">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default" w:ascii="Times New Roman" w:hAnsi="Times New Roman" w:eastAsia="宋体" w:cs="Times New Roman"/>
                <w:i w:val="0"/>
                <w:iCs w:val="0"/>
                <w:color w:val="0000FF"/>
                <w:kern w:val="0"/>
                <w:sz w:val="22"/>
                <w:szCs w:val="22"/>
                <w:u w:val="none"/>
                <w:lang w:val="en-US" w:eastAsia="zh-CN" w:bidi="ar"/>
              </w:rPr>
              <w:t>废滤芯</w:t>
            </w:r>
          </w:p>
        </w:tc>
        <w:tc>
          <w:tcPr>
            <w:tcW w:w="616" w:type="pct"/>
            <w:noWrap w:val="0"/>
            <w:vAlign w:val="center"/>
          </w:tcPr>
          <w:p w14:paraId="1335C026">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2E815276">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364CCB31">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7853D2AA">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0.03</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638" w:type="pct"/>
            <w:noWrap w:val="0"/>
            <w:vAlign w:val="center"/>
          </w:tcPr>
          <w:p w14:paraId="15AFC90B">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1426E2A3">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0.03</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299" w:type="pct"/>
            <w:noWrap w:val="0"/>
            <w:vAlign w:val="center"/>
          </w:tcPr>
          <w:p w14:paraId="20EDB49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60D510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0A996137">
            <w:pPr>
              <w:pStyle w:val="40"/>
              <w:bidi w:val="0"/>
              <w:rPr>
                <w:rFonts w:hint="default" w:ascii="Times New Roman" w:hAnsi="Times New Roman" w:cs="Times New Roman"/>
                <w:color w:val="0000FF"/>
              </w:rPr>
            </w:pPr>
          </w:p>
        </w:tc>
        <w:tc>
          <w:tcPr>
            <w:tcW w:w="513" w:type="pct"/>
            <w:shd w:val="clear" w:color="auto" w:fill="auto"/>
            <w:noWrap w:val="0"/>
            <w:vAlign w:val="center"/>
          </w:tcPr>
          <w:p w14:paraId="149BD173">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eastAsia" w:cs="Times New Roman"/>
                <w:i w:val="0"/>
                <w:iCs w:val="0"/>
                <w:color w:val="0000FF"/>
                <w:kern w:val="0"/>
                <w:sz w:val="22"/>
                <w:szCs w:val="22"/>
                <w:u w:val="none"/>
                <w:lang w:val="en-US" w:eastAsia="zh-CN" w:bidi="ar"/>
              </w:rPr>
              <w:t>废包装材料</w:t>
            </w:r>
          </w:p>
        </w:tc>
        <w:tc>
          <w:tcPr>
            <w:tcW w:w="616" w:type="pct"/>
            <w:shd w:val="clear" w:color="auto" w:fill="auto"/>
            <w:noWrap w:val="0"/>
            <w:vAlign w:val="center"/>
          </w:tcPr>
          <w:p w14:paraId="1D3EB3AE">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462" w:type="pct"/>
            <w:shd w:val="clear" w:color="auto" w:fill="auto"/>
            <w:noWrap w:val="0"/>
            <w:vAlign w:val="center"/>
          </w:tcPr>
          <w:p w14:paraId="14BB5963">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616" w:type="pct"/>
            <w:shd w:val="clear" w:color="auto" w:fill="auto"/>
            <w:noWrap w:val="0"/>
            <w:vAlign w:val="center"/>
          </w:tcPr>
          <w:p w14:paraId="770C8286">
            <w:pPr>
              <w:pStyle w:val="40"/>
              <w:bidi w:val="0"/>
              <w:ind w:firstLine="0" w:firstLineChars="0"/>
              <w:rPr>
                <w:rFonts w:hint="default" w:ascii="Times New Roman" w:hAnsi="Times New Roman" w:eastAsia="宋体" w:cs="Times New Roman"/>
                <w:color w:val="0000FF"/>
                <w:kern w:val="2"/>
                <w:sz w:val="21"/>
                <w:szCs w:val="21"/>
                <w:lang w:val="en-US" w:eastAsia="zh-CN" w:bidi="ar-SA"/>
              </w:rPr>
            </w:pPr>
            <w:r>
              <w:rPr>
                <w:rFonts w:hint="default" w:ascii="Times New Roman" w:hAnsi="Times New Roman" w:cs="Times New Roman"/>
                <w:color w:val="0000FF"/>
                <w:lang w:val="en-US" w:eastAsia="zh-CN"/>
              </w:rPr>
              <w:t>/</w:t>
            </w:r>
          </w:p>
        </w:tc>
        <w:tc>
          <w:tcPr>
            <w:tcW w:w="565" w:type="pct"/>
            <w:noWrap w:val="0"/>
            <w:vAlign w:val="center"/>
          </w:tcPr>
          <w:p w14:paraId="521CDA5C">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eastAsia" w:cs="Times New Roman"/>
                <w:i w:val="0"/>
                <w:iCs w:val="0"/>
                <w:color w:val="0000FF"/>
                <w:kern w:val="0"/>
                <w:sz w:val="22"/>
                <w:szCs w:val="22"/>
                <w:u w:val="none"/>
                <w:lang w:val="en-US" w:eastAsia="zh-CN" w:bidi="ar"/>
              </w:rPr>
              <w:t>0.50t/a</w:t>
            </w:r>
          </w:p>
        </w:tc>
        <w:tc>
          <w:tcPr>
            <w:tcW w:w="638" w:type="pct"/>
            <w:noWrap w:val="0"/>
            <w:vAlign w:val="center"/>
          </w:tcPr>
          <w:p w14:paraId="70B53B5D">
            <w:pPr>
              <w:pStyle w:val="40"/>
              <w:bidi w:val="0"/>
              <w:rPr>
                <w:rFonts w:hint="default" w:ascii="Times New Roman" w:hAnsi="Times New Roman" w:cs="Times New Roman"/>
                <w:color w:val="0000FF"/>
                <w:lang w:val="en-US" w:eastAsia="zh-CN"/>
              </w:rPr>
            </w:pPr>
            <w:r>
              <w:rPr>
                <w:rFonts w:hint="eastAsia" w:cs="Times New Roman"/>
                <w:color w:val="0000FF"/>
                <w:lang w:val="en-US" w:eastAsia="zh-CN"/>
              </w:rPr>
              <w:t>/</w:t>
            </w:r>
          </w:p>
        </w:tc>
        <w:tc>
          <w:tcPr>
            <w:tcW w:w="1996" w:type="dxa"/>
            <w:shd w:val="clear" w:color="auto" w:fill="auto"/>
            <w:noWrap w:val="0"/>
            <w:vAlign w:val="center"/>
          </w:tcPr>
          <w:p w14:paraId="2F33CD1B">
            <w:pPr>
              <w:keepNext w:val="0"/>
              <w:keepLines w:val="0"/>
              <w:widowControl/>
              <w:suppressLineNumbers w:val="0"/>
              <w:jc w:val="center"/>
              <w:textAlignment w:val="center"/>
              <w:rPr>
                <w:rFonts w:hint="default" w:ascii="Times New Roman" w:hAnsi="Times New Roman" w:eastAsia="宋体" w:cs="Times New Roman"/>
                <w:i w:val="0"/>
                <w:iCs w:val="0"/>
                <w:color w:val="0000FF"/>
                <w:kern w:val="0"/>
                <w:sz w:val="22"/>
                <w:szCs w:val="22"/>
                <w:u w:val="none"/>
                <w:lang w:val="en-US" w:eastAsia="zh-CN" w:bidi="ar"/>
              </w:rPr>
            </w:pPr>
            <w:r>
              <w:rPr>
                <w:rFonts w:hint="eastAsia" w:cs="Times New Roman"/>
                <w:i w:val="0"/>
                <w:iCs w:val="0"/>
                <w:color w:val="0000FF"/>
                <w:kern w:val="0"/>
                <w:sz w:val="22"/>
                <w:szCs w:val="22"/>
                <w:u w:val="none"/>
                <w:lang w:val="en-US" w:eastAsia="zh-CN" w:bidi="ar"/>
              </w:rPr>
              <w:t>0.50t/a</w:t>
            </w:r>
          </w:p>
        </w:tc>
        <w:tc>
          <w:tcPr>
            <w:tcW w:w="299" w:type="pct"/>
            <w:noWrap w:val="0"/>
            <w:vAlign w:val="center"/>
          </w:tcPr>
          <w:p w14:paraId="0066611B">
            <w:pPr>
              <w:pStyle w:val="40"/>
              <w:bidi w:val="0"/>
              <w:rPr>
                <w:rFonts w:hint="default" w:ascii="Times New Roman" w:hAnsi="Times New Roman" w:cs="Times New Roman"/>
                <w:color w:val="0000FF"/>
                <w:lang w:val="en-US" w:eastAsia="zh-CN"/>
              </w:rPr>
            </w:pPr>
          </w:p>
        </w:tc>
      </w:tr>
      <w:tr w14:paraId="1E8B07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restart"/>
            <w:noWrap w:val="0"/>
            <w:vAlign w:val="center"/>
          </w:tcPr>
          <w:p w14:paraId="092E134A">
            <w:pPr>
              <w:pStyle w:val="40"/>
              <w:bidi w:val="0"/>
              <w:rPr>
                <w:rFonts w:hint="default" w:ascii="Times New Roman" w:hAnsi="Times New Roman" w:cs="Times New Roman"/>
                <w:color w:val="0000FF"/>
              </w:rPr>
            </w:pPr>
            <w:r>
              <w:rPr>
                <w:rFonts w:hint="default" w:ascii="Times New Roman" w:hAnsi="Times New Roman" w:cs="Times New Roman"/>
                <w:color w:val="0000FF"/>
              </w:rPr>
              <w:t>危险废物</w:t>
            </w:r>
          </w:p>
        </w:tc>
        <w:tc>
          <w:tcPr>
            <w:tcW w:w="513" w:type="pct"/>
            <w:shd w:val="clear" w:color="auto" w:fill="auto"/>
            <w:noWrap w:val="0"/>
            <w:vAlign w:val="center"/>
          </w:tcPr>
          <w:p w14:paraId="4A26C0F8">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废抹布</w:t>
            </w:r>
          </w:p>
        </w:tc>
        <w:tc>
          <w:tcPr>
            <w:tcW w:w="616" w:type="pct"/>
            <w:noWrap w:val="0"/>
            <w:vAlign w:val="center"/>
          </w:tcPr>
          <w:p w14:paraId="0E549FB7">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0078BF93">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2E94A0D6">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6B7B44E7">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0.01</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638" w:type="pct"/>
            <w:noWrap w:val="0"/>
            <w:vAlign w:val="center"/>
          </w:tcPr>
          <w:p w14:paraId="14D54E59">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2D7C6136">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0.01</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299" w:type="pct"/>
            <w:noWrap w:val="0"/>
            <w:vAlign w:val="center"/>
          </w:tcPr>
          <w:p w14:paraId="3ABEF5A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2AD172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5CDA48ED">
            <w:pPr>
              <w:pStyle w:val="40"/>
              <w:bidi w:val="0"/>
              <w:rPr>
                <w:rFonts w:hint="default" w:ascii="Times New Roman" w:hAnsi="Times New Roman" w:cs="Times New Roman"/>
                <w:color w:val="0000FF"/>
              </w:rPr>
            </w:pPr>
          </w:p>
        </w:tc>
        <w:tc>
          <w:tcPr>
            <w:tcW w:w="513" w:type="pct"/>
            <w:shd w:val="clear" w:color="auto" w:fill="auto"/>
            <w:noWrap w:val="0"/>
            <w:vAlign w:val="center"/>
          </w:tcPr>
          <w:p w14:paraId="057A22B8">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废油墨桶</w:t>
            </w:r>
          </w:p>
        </w:tc>
        <w:tc>
          <w:tcPr>
            <w:tcW w:w="616" w:type="pct"/>
            <w:noWrap w:val="0"/>
            <w:vAlign w:val="center"/>
          </w:tcPr>
          <w:p w14:paraId="6DF602C8">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2BC62813">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5BCEA805">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266FD13F">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0.</w:t>
            </w:r>
            <w:r>
              <w:rPr>
                <w:rFonts w:hint="eastAsia" w:cs="Times New Roman"/>
                <w:i w:val="0"/>
                <w:iCs w:val="0"/>
                <w:color w:val="0000FF"/>
                <w:kern w:val="0"/>
                <w:sz w:val="22"/>
                <w:szCs w:val="22"/>
                <w:u w:val="none"/>
                <w:lang w:val="en-US" w:eastAsia="zh-CN" w:bidi="ar"/>
              </w:rPr>
              <w:t>01</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638" w:type="pct"/>
            <w:noWrap w:val="0"/>
            <w:vAlign w:val="center"/>
          </w:tcPr>
          <w:p w14:paraId="4BD3140E">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6111E654">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0.</w:t>
            </w:r>
            <w:r>
              <w:rPr>
                <w:rFonts w:hint="eastAsia" w:cs="Times New Roman"/>
                <w:i w:val="0"/>
                <w:iCs w:val="0"/>
                <w:color w:val="0000FF"/>
                <w:kern w:val="0"/>
                <w:sz w:val="22"/>
                <w:szCs w:val="22"/>
                <w:u w:val="none"/>
                <w:lang w:val="en-US" w:eastAsia="zh-CN" w:bidi="ar"/>
              </w:rPr>
              <w:t>01</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299" w:type="pct"/>
            <w:noWrap w:val="0"/>
            <w:vAlign w:val="center"/>
          </w:tcPr>
          <w:p w14:paraId="7361F55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30ED40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25F18E92">
            <w:pPr>
              <w:pStyle w:val="40"/>
              <w:bidi w:val="0"/>
              <w:rPr>
                <w:rFonts w:hint="default" w:ascii="Times New Roman" w:hAnsi="Times New Roman" w:cs="Times New Roman"/>
                <w:color w:val="0000FF"/>
              </w:rPr>
            </w:pPr>
          </w:p>
        </w:tc>
        <w:tc>
          <w:tcPr>
            <w:tcW w:w="513" w:type="pct"/>
            <w:shd w:val="clear" w:color="auto" w:fill="auto"/>
            <w:noWrap w:val="0"/>
            <w:vAlign w:val="center"/>
          </w:tcPr>
          <w:p w14:paraId="3C1698D4">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废丝印版</w:t>
            </w:r>
          </w:p>
        </w:tc>
        <w:tc>
          <w:tcPr>
            <w:tcW w:w="616" w:type="pct"/>
            <w:noWrap w:val="0"/>
            <w:vAlign w:val="center"/>
          </w:tcPr>
          <w:p w14:paraId="12EA0D77">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3F9A7B79">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2E1BC709">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107E0D0A">
            <w:pPr>
              <w:keepNext w:val="0"/>
              <w:keepLines w:val="0"/>
              <w:widowControl/>
              <w:suppressLineNumbers w:val="0"/>
              <w:jc w:val="center"/>
              <w:textAlignment w:val="center"/>
              <w:rPr>
                <w:rFonts w:hint="default" w:ascii="Times New Roman" w:hAnsi="Times New Roman" w:cs="Times New Roman"/>
                <w:color w:val="0000FF"/>
                <w:lang w:val="en-US" w:eastAsia="zh-CN"/>
              </w:rPr>
            </w:pPr>
            <w:r>
              <w:rPr>
                <w:rFonts w:hint="default" w:ascii="Times New Roman" w:hAnsi="Times New Roman" w:eastAsia="宋体" w:cs="Times New Roman"/>
                <w:i w:val="0"/>
                <w:iCs w:val="0"/>
                <w:color w:val="0000FF"/>
                <w:kern w:val="0"/>
                <w:sz w:val="22"/>
                <w:szCs w:val="22"/>
                <w:u w:val="none"/>
                <w:lang w:val="en-US" w:eastAsia="zh-CN" w:bidi="ar"/>
              </w:rPr>
              <w:t>0.01</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638" w:type="pct"/>
            <w:noWrap w:val="0"/>
            <w:vAlign w:val="center"/>
          </w:tcPr>
          <w:p w14:paraId="4EA6FF71">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shd w:val="clear" w:color="auto" w:fill="auto"/>
            <w:noWrap w:val="0"/>
            <w:vAlign w:val="center"/>
          </w:tcPr>
          <w:p w14:paraId="38D32426">
            <w:pPr>
              <w:keepNext w:val="0"/>
              <w:keepLines w:val="0"/>
              <w:widowControl/>
              <w:suppressLineNumbers w:val="0"/>
              <w:jc w:val="center"/>
              <w:textAlignment w:val="center"/>
              <w:rPr>
                <w:rFonts w:hint="default" w:ascii="Times New Roman" w:hAnsi="Times New Roman" w:eastAsia="宋体" w:cs="Times New Roman"/>
                <w:color w:val="0000FF"/>
                <w:kern w:val="2"/>
                <w:sz w:val="21"/>
                <w:szCs w:val="24"/>
                <w:lang w:val="en-US" w:eastAsia="zh-CN" w:bidi="ar-SA"/>
              </w:rPr>
            </w:pPr>
            <w:r>
              <w:rPr>
                <w:rFonts w:hint="default" w:ascii="Times New Roman" w:hAnsi="Times New Roman" w:eastAsia="宋体" w:cs="Times New Roman"/>
                <w:i w:val="0"/>
                <w:iCs w:val="0"/>
                <w:color w:val="0000FF"/>
                <w:kern w:val="0"/>
                <w:sz w:val="22"/>
                <w:szCs w:val="22"/>
                <w:u w:val="none"/>
                <w:lang w:val="en-US" w:eastAsia="zh-CN" w:bidi="ar"/>
              </w:rPr>
              <w:t>0.01</w:t>
            </w:r>
            <w:r>
              <w:rPr>
                <w:rFonts w:hint="default" w:ascii="Times New Roman" w:hAnsi="Times New Roman" w:cs="Times New Roman"/>
                <w:color w:val="0000FF"/>
                <w:lang w:val="en-US" w:eastAsia="zh-CN"/>
              </w:rPr>
              <w:t>t/a</w:t>
            </w:r>
            <w:r>
              <w:rPr>
                <w:rFonts w:hint="default" w:ascii="Times New Roman" w:hAnsi="Times New Roman" w:eastAsia="宋体" w:cs="Times New Roman"/>
                <w:i w:val="0"/>
                <w:iCs w:val="0"/>
                <w:color w:val="0000FF"/>
                <w:kern w:val="0"/>
                <w:sz w:val="22"/>
                <w:szCs w:val="22"/>
                <w:u w:val="none"/>
                <w:lang w:val="en-US" w:eastAsia="zh-CN" w:bidi="ar"/>
              </w:rPr>
              <w:t xml:space="preserve"> </w:t>
            </w:r>
          </w:p>
        </w:tc>
        <w:tc>
          <w:tcPr>
            <w:tcW w:w="299" w:type="pct"/>
            <w:noWrap w:val="0"/>
            <w:vAlign w:val="center"/>
          </w:tcPr>
          <w:p w14:paraId="31117916">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62682B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1559DA63">
            <w:pPr>
              <w:pStyle w:val="40"/>
              <w:bidi w:val="0"/>
              <w:rPr>
                <w:rFonts w:hint="default" w:ascii="Times New Roman" w:hAnsi="Times New Roman" w:cs="Times New Roman"/>
                <w:color w:val="0000FF"/>
              </w:rPr>
            </w:pPr>
          </w:p>
        </w:tc>
        <w:tc>
          <w:tcPr>
            <w:tcW w:w="513" w:type="pct"/>
            <w:shd w:val="clear" w:color="auto" w:fill="auto"/>
            <w:noWrap w:val="0"/>
            <w:vAlign w:val="center"/>
          </w:tcPr>
          <w:p w14:paraId="04F288C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液化石油气残液</w:t>
            </w:r>
          </w:p>
        </w:tc>
        <w:tc>
          <w:tcPr>
            <w:tcW w:w="616" w:type="pct"/>
            <w:noWrap w:val="0"/>
            <w:vAlign w:val="center"/>
          </w:tcPr>
          <w:p w14:paraId="57CEBF8A">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12E80453">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1F282A23">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7BA03C12">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2.80t/a</w:t>
            </w:r>
          </w:p>
        </w:tc>
        <w:tc>
          <w:tcPr>
            <w:tcW w:w="638" w:type="pct"/>
            <w:noWrap w:val="0"/>
            <w:vAlign w:val="center"/>
          </w:tcPr>
          <w:p w14:paraId="725B5E30">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noWrap w:val="0"/>
            <w:vAlign w:val="center"/>
          </w:tcPr>
          <w:p w14:paraId="1659ADB7">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2.80t/a</w:t>
            </w:r>
          </w:p>
        </w:tc>
        <w:tc>
          <w:tcPr>
            <w:tcW w:w="299" w:type="pct"/>
            <w:noWrap w:val="0"/>
            <w:vAlign w:val="center"/>
          </w:tcPr>
          <w:p w14:paraId="065F739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6AE357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 w:hRule="atLeast"/>
        </w:trPr>
        <w:tc>
          <w:tcPr>
            <w:tcW w:w="575" w:type="pct"/>
            <w:vMerge w:val="continue"/>
            <w:noWrap w:val="0"/>
            <w:vAlign w:val="center"/>
          </w:tcPr>
          <w:p w14:paraId="3365591A">
            <w:pPr>
              <w:pStyle w:val="40"/>
              <w:bidi w:val="0"/>
              <w:rPr>
                <w:rFonts w:hint="default" w:ascii="Times New Roman" w:hAnsi="Times New Roman" w:cs="Times New Roman"/>
                <w:color w:val="0000FF"/>
              </w:rPr>
            </w:pPr>
          </w:p>
        </w:tc>
        <w:tc>
          <w:tcPr>
            <w:tcW w:w="513" w:type="pct"/>
            <w:shd w:val="clear" w:color="auto" w:fill="auto"/>
            <w:noWrap w:val="0"/>
            <w:vAlign w:val="center"/>
          </w:tcPr>
          <w:p w14:paraId="5EFD9908">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废矿物油</w:t>
            </w:r>
          </w:p>
        </w:tc>
        <w:tc>
          <w:tcPr>
            <w:tcW w:w="616" w:type="pct"/>
            <w:noWrap w:val="0"/>
            <w:vAlign w:val="center"/>
          </w:tcPr>
          <w:p w14:paraId="773E369D">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719DE4C8">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5A34FF1B">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6C2D612D">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0.1</w:t>
            </w:r>
            <w:r>
              <w:rPr>
                <w:rFonts w:hint="eastAsia" w:cs="Times New Roman"/>
                <w:color w:val="0000FF"/>
                <w:lang w:val="en-US" w:eastAsia="zh-CN"/>
              </w:rPr>
              <w:t>0</w:t>
            </w:r>
            <w:r>
              <w:rPr>
                <w:rFonts w:hint="default" w:ascii="Times New Roman" w:hAnsi="Times New Roman" w:cs="Times New Roman"/>
                <w:color w:val="0000FF"/>
                <w:lang w:val="en-US" w:eastAsia="zh-CN"/>
              </w:rPr>
              <w:t>t/a</w:t>
            </w:r>
          </w:p>
        </w:tc>
        <w:tc>
          <w:tcPr>
            <w:tcW w:w="638" w:type="pct"/>
            <w:noWrap w:val="0"/>
            <w:vAlign w:val="center"/>
          </w:tcPr>
          <w:p w14:paraId="226D1B85">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noWrap w:val="0"/>
            <w:vAlign w:val="center"/>
          </w:tcPr>
          <w:p w14:paraId="4EDB16FA">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0.1</w:t>
            </w:r>
            <w:r>
              <w:rPr>
                <w:rFonts w:hint="eastAsia" w:cs="Times New Roman"/>
                <w:color w:val="0000FF"/>
                <w:lang w:val="en-US" w:eastAsia="zh-CN"/>
              </w:rPr>
              <w:t>0</w:t>
            </w:r>
            <w:r>
              <w:rPr>
                <w:rFonts w:hint="default" w:ascii="Times New Roman" w:hAnsi="Times New Roman" w:cs="Times New Roman"/>
                <w:color w:val="0000FF"/>
                <w:lang w:val="en-US" w:eastAsia="zh-CN"/>
              </w:rPr>
              <w:t>t/a</w:t>
            </w:r>
          </w:p>
        </w:tc>
        <w:tc>
          <w:tcPr>
            <w:tcW w:w="299" w:type="pct"/>
            <w:noWrap w:val="0"/>
            <w:vAlign w:val="center"/>
          </w:tcPr>
          <w:p w14:paraId="38F797F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114E48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575" w:type="pct"/>
            <w:vMerge w:val="continue"/>
            <w:noWrap w:val="0"/>
            <w:vAlign w:val="center"/>
          </w:tcPr>
          <w:p w14:paraId="2BBD3097">
            <w:pPr>
              <w:pStyle w:val="40"/>
              <w:bidi w:val="0"/>
              <w:rPr>
                <w:rFonts w:hint="default" w:ascii="Times New Roman" w:hAnsi="Times New Roman" w:cs="Times New Roman"/>
                <w:color w:val="0000FF"/>
              </w:rPr>
            </w:pPr>
          </w:p>
        </w:tc>
        <w:tc>
          <w:tcPr>
            <w:tcW w:w="513" w:type="pct"/>
            <w:shd w:val="clear" w:color="auto" w:fill="auto"/>
            <w:noWrap w:val="0"/>
            <w:vAlign w:val="center"/>
          </w:tcPr>
          <w:p w14:paraId="6E64B88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废油桶</w:t>
            </w:r>
          </w:p>
        </w:tc>
        <w:tc>
          <w:tcPr>
            <w:tcW w:w="616" w:type="pct"/>
            <w:noWrap w:val="0"/>
            <w:vAlign w:val="center"/>
          </w:tcPr>
          <w:p w14:paraId="33A5CA50">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1AE541A1">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7C4BA8ED">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7D1E8A89">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0.03t/a</w:t>
            </w:r>
          </w:p>
        </w:tc>
        <w:tc>
          <w:tcPr>
            <w:tcW w:w="638" w:type="pct"/>
            <w:noWrap w:val="0"/>
            <w:vAlign w:val="center"/>
          </w:tcPr>
          <w:p w14:paraId="1EC552A9">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noWrap w:val="0"/>
            <w:vAlign w:val="center"/>
          </w:tcPr>
          <w:p w14:paraId="4F706A59">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0.03t/a</w:t>
            </w:r>
          </w:p>
        </w:tc>
        <w:tc>
          <w:tcPr>
            <w:tcW w:w="299" w:type="pct"/>
            <w:noWrap w:val="0"/>
            <w:vAlign w:val="center"/>
          </w:tcPr>
          <w:p w14:paraId="1DE09D9F">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r w14:paraId="527D23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2" w:hRule="atLeast"/>
        </w:trPr>
        <w:tc>
          <w:tcPr>
            <w:tcW w:w="575" w:type="pct"/>
            <w:noWrap w:val="0"/>
            <w:vAlign w:val="center"/>
          </w:tcPr>
          <w:p w14:paraId="2A0CFDA4">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职工生活</w:t>
            </w:r>
          </w:p>
        </w:tc>
        <w:tc>
          <w:tcPr>
            <w:tcW w:w="513" w:type="pct"/>
            <w:noWrap w:val="0"/>
            <w:vAlign w:val="center"/>
          </w:tcPr>
          <w:p w14:paraId="732D9280">
            <w:pPr>
              <w:pStyle w:val="40"/>
              <w:bidi w:val="0"/>
              <w:rPr>
                <w:rFonts w:hint="default" w:ascii="Times New Roman" w:hAnsi="Times New Roman" w:cs="Times New Roman"/>
                <w:color w:val="0000FF"/>
                <w:lang w:eastAsia="zh-CN"/>
              </w:rPr>
            </w:pPr>
            <w:r>
              <w:rPr>
                <w:rFonts w:hint="default" w:ascii="Times New Roman" w:hAnsi="Times New Roman" w:cs="Times New Roman"/>
                <w:color w:val="0000FF"/>
                <w:lang w:val="en-US" w:eastAsia="zh-CN"/>
              </w:rPr>
              <w:t>生活垃圾</w:t>
            </w:r>
          </w:p>
        </w:tc>
        <w:tc>
          <w:tcPr>
            <w:tcW w:w="616" w:type="pct"/>
            <w:noWrap w:val="0"/>
            <w:vAlign w:val="center"/>
          </w:tcPr>
          <w:p w14:paraId="73482AAC">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462" w:type="pct"/>
            <w:noWrap w:val="0"/>
            <w:vAlign w:val="center"/>
          </w:tcPr>
          <w:p w14:paraId="426E1CA9">
            <w:pPr>
              <w:pStyle w:val="40"/>
              <w:bidi w:val="0"/>
              <w:ind w:firstLine="0" w:firstLineChars="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616" w:type="pct"/>
            <w:noWrap w:val="0"/>
            <w:vAlign w:val="center"/>
          </w:tcPr>
          <w:p w14:paraId="113701D5">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c>
          <w:tcPr>
            <w:tcW w:w="565" w:type="pct"/>
            <w:noWrap w:val="0"/>
            <w:vAlign w:val="center"/>
          </w:tcPr>
          <w:p w14:paraId="20340E5C">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4.74t/a</w:t>
            </w:r>
          </w:p>
        </w:tc>
        <w:tc>
          <w:tcPr>
            <w:tcW w:w="638" w:type="pct"/>
            <w:noWrap w:val="0"/>
            <w:vAlign w:val="center"/>
          </w:tcPr>
          <w:p w14:paraId="08FC7213">
            <w:pPr>
              <w:pStyle w:val="40"/>
              <w:bidi w:val="0"/>
              <w:rPr>
                <w:rFonts w:hint="default" w:ascii="Times New Roman" w:hAnsi="Times New Roman" w:cs="Times New Roman"/>
                <w:color w:val="0000FF"/>
              </w:rPr>
            </w:pPr>
            <w:r>
              <w:rPr>
                <w:rFonts w:hint="default" w:ascii="Times New Roman" w:hAnsi="Times New Roman" w:cs="Times New Roman"/>
                <w:color w:val="0000FF"/>
                <w:lang w:val="en-US" w:eastAsia="zh-CN"/>
              </w:rPr>
              <w:t>/</w:t>
            </w:r>
          </w:p>
        </w:tc>
        <w:tc>
          <w:tcPr>
            <w:tcW w:w="1996" w:type="dxa"/>
            <w:noWrap w:val="0"/>
            <w:vAlign w:val="center"/>
          </w:tcPr>
          <w:p w14:paraId="38DB869F">
            <w:pPr>
              <w:pStyle w:val="40"/>
              <w:bidi w:val="0"/>
              <w:ind w:firstLine="0" w:firstLineChars="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4.74t/a</w:t>
            </w:r>
          </w:p>
        </w:tc>
        <w:tc>
          <w:tcPr>
            <w:tcW w:w="299" w:type="pct"/>
            <w:noWrap w:val="0"/>
            <w:vAlign w:val="center"/>
          </w:tcPr>
          <w:p w14:paraId="46E2DCC1">
            <w:pPr>
              <w:pStyle w:val="40"/>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w:t>
            </w:r>
          </w:p>
        </w:tc>
      </w:tr>
    </w:tbl>
    <w:p w14:paraId="5642BE25">
      <w:pPr>
        <w:pStyle w:val="43"/>
        <w:keepNext w:val="0"/>
        <w:keepLines w:val="0"/>
        <w:pageBreakBefore w:val="0"/>
        <w:widowControl w:val="0"/>
        <w:kinsoku/>
        <w:overflowPunct/>
        <w:topLinePunct w:val="0"/>
        <w:autoSpaceDE/>
        <w:autoSpaceDN/>
        <w:bidi w:val="0"/>
        <w:spacing w:line="260" w:lineRule="exact"/>
        <w:textAlignment w:val="auto"/>
        <w:rPr>
          <w:rFonts w:hint="default" w:ascii="Times New Roman" w:hAnsi="Times New Roman" w:cs="Times New Roman"/>
          <w:snapToGrid w:val="0"/>
          <w:color w:val="auto"/>
          <w:spacing w:val="-6"/>
          <w:kern w:val="21"/>
          <w:sz w:val="20"/>
          <w:szCs w:val="20"/>
        </w:rPr>
      </w:pPr>
      <w:r>
        <w:rPr>
          <w:rFonts w:hint="default" w:ascii="Times New Roman" w:hAnsi="Times New Roman" w:cs="Times New Roman"/>
          <w:snapToGrid w:val="0"/>
          <w:color w:val="auto"/>
          <w:kern w:val="21"/>
          <w:sz w:val="20"/>
          <w:szCs w:val="20"/>
        </w:rPr>
        <w:t>注：</w:t>
      </w:r>
      <w:r>
        <w:rPr>
          <w:rFonts w:hint="default" w:ascii="Times New Roman" w:hAnsi="Times New Roman" w:cs="Times New Roman"/>
          <w:snapToGrid w:val="0"/>
          <w:color w:val="auto"/>
          <w:spacing w:val="-16"/>
          <w:kern w:val="21"/>
          <w:sz w:val="20"/>
          <w:szCs w:val="20"/>
        </w:rPr>
        <w:fldChar w:fldCharType="begin"/>
      </w:r>
      <w:r>
        <w:rPr>
          <w:rFonts w:hint="default" w:ascii="Times New Roman" w:hAnsi="Times New Roman" w:cs="Times New Roman"/>
          <w:snapToGrid w:val="0"/>
          <w:color w:val="auto"/>
          <w:spacing w:val="-16"/>
          <w:kern w:val="21"/>
          <w:sz w:val="20"/>
          <w:szCs w:val="20"/>
        </w:rPr>
        <w:instrText xml:space="preserve"> = 6 \* GB3 \* MERGEFORMAT </w:instrText>
      </w:r>
      <w:r>
        <w:rPr>
          <w:rFonts w:hint="default" w:ascii="Times New Roman" w:hAnsi="Times New Roman" w:cs="Times New Roman"/>
          <w:snapToGrid w:val="0"/>
          <w:color w:val="auto"/>
          <w:spacing w:val="-16"/>
          <w:kern w:val="21"/>
          <w:sz w:val="20"/>
          <w:szCs w:val="20"/>
        </w:rPr>
        <w:fldChar w:fldCharType="separate"/>
      </w:r>
      <w:r>
        <w:rPr>
          <w:rFonts w:hint="default" w:ascii="Times New Roman" w:hAnsi="Times New Roman" w:cs="Times New Roman"/>
          <w:color w:val="auto"/>
          <w:sz w:val="20"/>
          <w:szCs w:val="20"/>
        </w:rPr>
        <w:t>⑥</w:t>
      </w:r>
      <w:r>
        <w:rPr>
          <w:rFonts w:hint="default" w:ascii="Times New Roman" w:hAnsi="Times New Roman" w:cs="Times New Roman"/>
          <w:snapToGrid w:val="0"/>
          <w:color w:val="auto"/>
          <w:spacing w:val="-16"/>
          <w:kern w:val="21"/>
          <w:sz w:val="20"/>
          <w:szCs w:val="20"/>
        </w:rPr>
        <w:fldChar w:fldCharType="end"/>
      </w:r>
      <w:r>
        <w:rPr>
          <w:rFonts w:hint="default" w:ascii="Times New Roman" w:hAnsi="Times New Roman" w:cs="Times New Roman"/>
          <w:snapToGrid w:val="0"/>
          <w:color w:val="auto"/>
          <w:spacing w:val="-16"/>
          <w:kern w:val="21"/>
          <w:sz w:val="20"/>
          <w:szCs w:val="20"/>
        </w:rPr>
        <w:t>=</w:t>
      </w:r>
      <w:r>
        <w:rPr>
          <w:rFonts w:hint="default" w:ascii="Times New Roman" w:hAnsi="Times New Roman" w:cs="Times New Roman"/>
          <w:snapToGrid w:val="0"/>
          <w:color w:val="auto"/>
          <w:spacing w:val="-6"/>
          <w:kern w:val="21"/>
          <w:sz w:val="20"/>
          <w:szCs w:val="20"/>
        </w:rPr>
        <w:fldChar w:fldCharType="begin"/>
      </w:r>
      <w:r>
        <w:rPr>
          <w:rFonts w:hint="default" w:ascii="Times New Roman" w:hAnsi="Times New Roman" w:cs="Times New Roman"/>
          <w:snapToGrid w:val="0"/>
          <w:color w:val="auto"/>
          <w:spacing w:val="-6"/>
          <w:kern w:val="21"/>
          <w:sz w:val="20"/>
          <w:szCs w:val="20"/>
        </w:rPr>
        <w:instrText xml:space="preserve"> = 1 \* GB3 \* MERGEFORMAT </w:instrText>
      </w:r>
      <w:r>
        <w:rPr>
          <w:rFonts w:hint="default" w:ascii="Times New Roman" w:hAnsi="Times New Roman" w:cs="Times New Roman"/>
          <w:snapToGrid w:val="0"/>
          <w:color w:val="auto"/>
          <w:spacing w:val="-6"/>
          <w:kern w:val="21"/>
          <w:sz w:val="20"/>
          <w:szCs w:val="20"/>
        </w:rPr>
        <w:fldChar w:fldCharType="separate"/>
      </w:r>
      <w:r>
        <w:rPr>
          <w:rFonts w:hint="default" w:ascii="Times New Roman" w:hAnsi="Times New Roman" w:cs="Times New Roman"/>
          <w:color w:val="auto"/>
          <w:sz w:val="20"/>
          <w:szCs w:val="20"/>
        </w:rPr>
        <w:t>①</w:t>
      </w:r>
      <w:r>
        <w:rPr>
          <w:rFonts w:hint="default" w:ascii="Times New Roman" w:hAnsi="Times New Roman" w:cs="Times New Roman"/>
          <w:snapToGrid w:val="0"/>
          <w:color w:val="auto"/>
          <w:spacing w:val="-6"/>
          <w:kern w:val="21"/>
          <w:sz w:val="20"/>
          <w:szCs w:val="20"/>
        </w:rPr>
        <w:fldChar w:fldCharType="end"/>
      </w:r>
      <w:r>
        <w:rPr>
          <w:rFonts w:hint="default" w:ascii="Times New Roman" w:hAnsi="Times New Roman" w:cs="Times New Roman"/>
          <w:snapToGrid w:val="0"/>
          <w:color w:val="auto"/>
          <w:spacing w:val="-6"/>
          <w:kern w:val="21"/>
          <w:sz w:val="20"/>
          <w:szCs w:val="20"/>
        </w:rPr>
        <w:t>+</w:t>
      </w:r>
      <w:r>
        <w:rPr>
          <w:rFonts w:hint="default" w:ascii="Times New Roman" w:hAnsi="Times New Roman" w:cs="Times New Roman"/>
          <w:snapToGrid w:val="0"/>
          <w:color w:val="auto"/>
          <w:spacing w:val="-6"/>
          <w:kern w:val="21"/>
          <w:sz w:val="20"/>
          <w:szCs w:val="20"/>
        </w:rPr>
        <w:fldChar w:fldCharType="begin"/>
      </w:r>
      <w:r>
        <w:rPr>
          <w:rFonts w:hint="default" w:ascii="Times New Roman" w:hAnsi="Times New Roman" w:cs="Times New Roman"/>
          <w:snapToGrid w:val="0"/>
          <w:color w:val="auto"/>
          <w:spacing w:val="-6"/>
          <w:kern w:val="21"/>
          <w:sz w:val="20"/>
          <w:szCs w:val="20"/>
        </w:rPr>
        <w:instrText xml:space="preserve"> = 3 \* GB3 \* MERGEFORMAT </w:instrText>
      </w:r>
      <w:r>
        <w:rPr>
          <w:rFonts w:hint="default" w:ascii="Times New Roman" w:hAnsi="Times New Roman" w:cs="Times New Roman"/>
          <w:snapToGrid w:val="0"/>
          <w:color w:val="auto"/>
          <w:spacing w:val="-6"/>
          <w:kern w:val="21"/>
          <w:sz w:val="20"/>
          <w:szCs w:val="20"/>
        </w:rPr>
        <w:fldChar w:fldCharType="separate"/>
      </w:r>
      <w:r>
        <w:rPr>
          <w:rFonts w:hint="default" w:ascii="Times New Roman" w:hAnsi="Times New Roman" w:cs="Times New Roman"/>
          <w:color w:val="auto"/>
          <w:sz w:val="20"/>
          <w:szCs w:val="20"/>
        </w:rPr>
        <w:t>③</w:t>
      </w:r>
      <w:r>
        <w:rPr>
          <w:rFonts w:hint="default" w:ascii="Times New Roman" w:hAnsi="Times New Roman" w:cs="Times New Roman"/>
          <w:snapToGrid w:val="0"/>
          <w:color w:val="auto"/>
          <w:spacing w:val="-6"/>
          <w:kern w:val="21"/>
          <w:sz w:val="20"/>
          <w:szCs w:val="20"/>
        </w:rPr>
        <w:fldChar w:fldCharType="end"/>
      </w:r>
      <w:r>
        <w:rPr>
          <w:rFonts w:hint="default" w:ascii="Times New Roman" w:hAnsi="Times New Roman" w:cs="Times New Roman"/>
          <w:snapToGrid w:val="0"/>
          <w:color w:val="auto"/>
          <w:spacing w:val="-6"/>
          <w:kern w:val="21"/>
          <w:sz w:val="20"/>
          <w:szCs w:val="20"/>
        </w:rPr>
        <w:t>+</w:t>
      </w:r>
      <w:r>
        <w:rPr>
          <w:rFonts w:hint="default" w:ascii="Times New Roman" w:hAnsi="Times New Roman" w:cs="Times New Roman"/>
          <w:snapToGrid w:val="0"/>
          <w:color w:val="auto"/>
          <w:spacing w:val="-6"/>
          <w:kern w:val="21"/>
          <w:sz w:val="20"/>
          <w:szCs w:val="20"/>
        </w:rPr>
        <w:fldChar w:fldCharType="begin"/>
      </w:r>
      <w:r>
        <w:rPr>
          <w:rFonts w:hint="default" w:ascii="Times New Roman" w:hAnsi="Times New Roman" w:cs="Times New Roman"/>
          <w:snapToGrid w:val="0"/>
          <w:color w:val="auto"/>
          <w:spacing w:val="-6"/>
          <w:kern w:val="21"/>
          <w:sz w:val="20"/>
          <w:szCs w:val="20"/>
        </w:rPr>
        <w:instrText xml:space="preserve"> = 4 \* GB3 \* MERGEFORMAT </w:instrText>
      </w:r>
      <w:r>
        <w:rPr>
          <w:rFonts w:hint="default" w:ascii="Times New Roman" w:hAnsi="Times New Roman" w:cs="Times New Roman"/>
          <w:snapToGrid w:val="0"/>
          <w:color w:val="auto"/>
          <w:spacing w:val="-6"/>
          <w:kern w:val="21"/>
          <w:sz w:val="20"/>
          <w:szCs w:val="20"/>
        </w:rPr>
        <w:fldChar w:fldCharType="separate"/>
      </w:r>
      <w:r>
        <w:rPr>
          <w:rFonts w:hint="default" w:ascii="Times New Roman" w:hAnsi="Times New Roman" w:cs="Times New Roman"/>
          <w:color w:val="auto"/>
          <w:sz w:val="20"/>
          <w:szCs w:val="20"/>
        </w:rPr>
        <w:t>④</w:t>
      </w:r>
      <w:r>
        <w:rPr>
          <w:rFonts w:hint="default" w:ascii="Times New Roman" w:hAnsi="Times New Roman" w:cs="Times New Roman"/>
          <w:snapToGrid w:val="0"/>
          <w:color w:val="auto"/>
          <w:spacing w:val="-6"/>
          <w:kern w:val="21"/>
          <w:sz w:val="20"/>
          <w:szCs w:val="20"/>
        </w:rPr>
        <w:fldChar w:fldCharType="end"/>
      </w:r>
      <w:r>
        <w:rPr>
          <w:rFonts w:hint="default" w:ascii="Times New Roman" w:hAnsi="Times New Roman" w:cs="Times New Roman"/>
          <w:snapToGrid w:val="0"/>
          <w:color w:val="auto"/>
          <w:spacing w:val="-6"/>
          <w:kern w:val="21"/>
          <w:sz w:val="20"/>
          <w:szCs w:val="20"/>
        </w:rPr>
        <w:t>-</w:t>
      </w:r>
      <w:r>
        <w:rPr>
          <w:rFonts w:hint="default" w:ascii="Times New Roman" w:hAnsi="Times New Roman" w:cs="Times New Roman"/>
          <w:snapToGrid w:val="0"/>
          <w:color w:val="auto"/>
          <w:spacing w:val="-16"/>
          <w:kern w:val="21"/>
          <w:sz w:val="20"/>
          <w:szCs w:val="20"/>
        </w:rPr>
        <w:fldChar w:fldCharType="begin"/>
      </w:r>
      <w:r>
        <w:rPr>
          <w:rFonts w:hint="default" w:ascii="Times New Roman" w:hAnsi="Times New Roman" w:cs="Times New Roman"/>
          <w:snapToGrid w:val="0"/>
          <w:color w:val="auto"/>
          <w:spacing w:val="-16"/>
          <w:kern w:val="21"/>
          <w:sz w:val="20"/>
          <w:szCs w:val="20"/>
        </w:rPr>
        <w:instrText xml:space="preserve"> = 5 \* GB3 \* MERGEFORMAT </w:instrText>
      </w:r>
      <w:r>
        <w:rPr>
          <w:rFonts w:hint="default" w:ascii="Times New Roman" w:hAnsi="Times New Roman" w:cs="Times New Roman"/>
          <w:snapToGrid w:val="0"/>
          <w:color w:val="auto"/>
          <w:spacing w:val="-16"/>
          <w:kern w:val="21"/>
          <w:sz w:val="20"/>
          <w:szCs w:val="20"/>
        </w:rPr>
        <w:fldChar w:fldCharType="separate"/>
      </w:r>
      <w:r>
        <w:rPr>
          <w:rFonts w:hint="default" w:ascii="Times New Roman" w:hAnsi="Times New Roman" w:cs="Times New Roman"/>
          <w:color w:val="auto"/>
          <w:sz w:val="20"/>
          <w:szCs w:val="20"/>
        </w:rPr>
        <w:t>⑤</w:t>
      </w:r>
      <w:r>
        <w:rPr>
          <w:rFonts w:hint="default" w:ascii="Times New Roman" w:hAnsi="Times New Roman" w:cs="Times New Roman"/>
          <w:snapToGrid w:val="0"/>
          <w:color w:val="auto"/>
          <w:spacing w:val="-16"/>
          <w:kern w:val="21"/>
          <w:sz w:val="20"/>
          <w:szCs w:val="20"/>
        </w:rPr>
        <w:fldChar w:fldCharType="end"/>
      </w:r>
      <w:r>
        <w:rPr>
          <w:rFonts w:hint="default" w:ascii="Times New Roman" w:hAnsi="Times New Roman" w:cs="Times New Roman"/>
          <w:snapToGrid w:val="0"/>
          <w:color w:val="auto"/>
          <w:spacing w:val="-16"/>
          <w:kern w:val="21"/>
          <w:sz w:val="20"/>
          <w:szCs w:val="20"/>
        </w:rPr>
        <w:t>；</w:t>
      </w:r>
      <w:r>
        <w:rPr>
          <w:rFonts w:hint="default" w:ascii="Times New Roman" w:hAnsi="Times New Roman" w:cs="Times New Roman"/>
          <w:snapToGrid w:val="0"/>
          <w:color w:val="auto"/>
          <w:spacing w:val="-6"/>
          <w:kern w:val="21"/>
          <w:sz w:val="20"/>
          <w:szCs w:val="20"/>
        </w:rPr>
        <w:fldChar w:fldCharType="begin"/>
      </w:r>
      <w:r>
        <w:rPr>
          <w:rFonts w:hint="default" w:ascii="Times New Roman" w:hAnsi="Times New Roman" w:cs="Times New Roman"/>
          <w:snapToGrid w:val="0"/>
          <w:color w:val="auto"/>
          <w:spacing w:val="-6"/>
          <w:kern w:val="21"/>
          <w:sz w:val="20"/>
          <w:szCs w:val="20"/>
        </w:rPr>
        <w:instrText xml:space="preserve"> = 7 \* GB3 \* MERGEFORMAT </w:instrText>
      </w:r>
      <w:r>
        <w:rPr>
          <w:rFonts w:hint="default" w:ascii="Times New Roman" w:hAnsi="Times New Roman" w:cs="Times New Roman"/>
          <w:snapToGrid w:val="0"/>
          <w:color w:val="auto"/>
          <w:spacing w:val="-6"/>
          <w:kern w:val="21"/>
          <w:sz w:val="20"/>
          <w:szCs w:val="20"/>
        </w:rPr>
        <w:fldChar w:fldCharType="separate"/>
      </w:r>
      <w:r>
        <w:rPr>
          <w:rFonts w:hint="default" w:ascii="Times New Roman" w:hAnsi="Times New Roman" w:cs="Times New Roman"/>
          <w:color w:val="auto"/>
          <w:sz w:val="20"/>
          <w:szCs w:val="20"/>
        </w:rPr>
        <w:t>⑦</w:t>
      </w:r>
      <w:r>
        <w:rPr>
          <w:rFonts w:hint="default" w:ascii="Times New Roman" w:hAnsi="Times New Roman" w:cs="Times New Roman"/>
          <w:snapToGrid w:val="0"/>
          <w:color w:val="auto"/>
          <w:spacing w:val="-6"/>
          <w:kern w:val="21"/>
          <w:sz w:val="20"/>
          <w:szCs w:val="20"/>
        </w:rPr>
        <w:fldChar w:fldCharType="end"/>
      </w:r>
      <w:r>
        <w:rPr>
          <w:rFonts w:hint="default" w:ascii="Times New Roman" w:hAnsi="Times New Roman" w:cs="Times New Roman"/>
          <w:snapToGrid w:val="0"/>
          <w:color w:val="auto"/>
          <w:spacing w:val="-6"/>
          <w:kern w:val="21"/>
          <w:sz w:val="20"/>
          <w:szCs w:val="20"/>
        </w:rPr>
        <w:t>=</w:t>
      </w:r>
      <w:r>
        <w:rPr>
          <w:rFonts w:hint="default" w:ascii="Times New Roman" w:hAnsi="Times New Roman" w:cs="Times New Roman"/>
          <w:snapToGrid w:val="0"/>
          <w:color w:val="auto"/>
          <w:spacing w:val="-16"/>
          <w:kern w:val="21"/>
          <w:sz w:val="20"/>
          <w:szCs w:val="20"/>
        </w:rPr>
        <w:fldChar w:fldCharType="begin"/>
      </w:r>
      <w:r>
        <w:rPr>
          <w:rFonts w:hint="default" w:ascii="Times New Roman" w:hAnsi="Times New Roman" w:cs="Times New Roman"/>
          <w:snapToGrid w:val="0"/>
          <w:color w:val="auto"/>
          <w:spacing w:val="-16"/>
          <w:kern w:val="21"/>
          <w:sz w:val="20"/>
          <w:szCs w:val="20"/>
        </w:rPr>
        <w:instrText xml:space="preserve"> = 6 \* GB3 \* MERGEFORMAT </w:instrText>
      </w:r>
      <w:r>
        <w:rPr>
          <w:rFonts w:hint="default" w:ascii="Times New Roman" w:hAnsi="Times New Roman" w:cs="Times New Roman"/>
          <w:snapToGrid w:val="0"/>
          <w:color w:val="auto"/>
          <w:spacing w:val="-16"/>
          <w:kern w:val="21"/>
          <w:sz w:val="20"/>
          <w:szCs w:val="20"/>
        </w:rPr>
        <w:fldChar w:fldCharType="separate"/>
      </w:r>
      <w:r>
        <w:rPr>
          <w:rFonts w:hint="default" w:ascii="Times New Roman" w:hAnsi="Times New Roman" w:cs="Times New Roman"/>
          <w:color w:val="auto"/>
          <w:sz w:val="20"/>
          <w:szCs w:val="20"/>
        </w:rPr>
        <w:t>⑥</w:t>
      </w:r>
      <w:r>
        <w:rPr>
          <w:rFonts w:hint="default" w:ascii="Times New Roman" w:hAnsi="Times New Roman" w:cs="Times New Roman"/>
          <w:snapToGrid w:val="0"/>
          <w:color w:val="auto"/>
          <w:spacing w:val="-16"/>
          <w:kern w:val="21"/>
          <w:sz w:val="20"/>
          <w:szCs w:val="20"/>
        </w:rPr>
        <w:fldChar w:fldCharType="end"/>
      </w:r>
      <w:r>
        <w:rPr>
          <w:rFonts w:hint="default" w:ascii="Times New Roman" w:hAnsi="Times New Roman" w:cs="Times New Roman"/>
          <w:snapToGrid w:val="0"/>
          <w:color w:val="auto"/>
          <w:spacing w:val="-16"/>
          <w:kern w:val="21"/>
          <w:sz w:val="20"/>
          <w:szCs w:val="20"/>
        </w:rPr>
        <w:t>-</w:t>
      </w:r>
      <w:r>
        <w:rPr>
          <w:rFonts w:hint="default" w:ascii="Times New Roman" w:hAnsi="Times New Roman" w:cs="Times New Roman"/>
          <w:snapToGrid w:val="0"/>
          <w:color w:val="auto"/>
          <w:spacing w:val="-6"/>
          <w:kern w:val="21"/>
          <w:sz w:val="20"/>
          <w:szCs w:val="20"/>
        </w:rPr>
        <w:fldChar w:fldCharType="begin"/>
      </w:r>
      <w:r>
        <w:rPr>
          <w:rFonts w:hint="default" w:ascii="Times New Roman" w:hAnsi="Times New Roman" w:cs="Times New Roman"/>
          <w:snapToGrid w:val="0"/>
          <w:color w:val="auto"/>
          <w:spacing w:val="-6"/>
          <w:kern w:val="21"/>
          <w:sz w:val="20"/>
          <w:szCs w:val="20"/>
        </w:rPr>
        <w:instrText xml:space="preserve"> = 1 \* GB3 \* MERGEFORMAT </w:instrText>
      </w:r>
      <w:r>
        <w:rPr>
          <w:rFonts w:hint="default" w:ascii="Times New Roman" w:hAnsi="Times New Roman" w:cs="Times New Roman"/>
          <w:snapToGrid w:val="0"/>
          <w:color w:val="auto"/>
          <w:spacing w:val="-6"/>
          <w:kern w:val="21"/>
          <w:sz w:val="20"/>
          <w:szCs w:val="20"/>
        </w:rPr>
        <w:fldChar w:fldCharType="separate"/>
      </w:r>
      <w:r>
        <w:rPr>
          <w:rFonts w:hint="default" w:ascii="Times New Roman" w:hAnsi="Times New Roman" w:cs="Times New Roman"/>
          <w:color w:val="auto"/>
          <w:sz w:val="20"/>
          <w:szCs w:val="20"/>
        </w:rPr>
        <w:t>①</w:t>
      </w:r>
      <w:r>
        <w:rPr>
          <w:rFonts w:hint="default" w:ascii="Times New Roman" w:hAnsi="Times New Roman" w:cs="Times New Roman"/>
          <w:snapToGrid w:val="0"/>
          <w:color w:val="auto"/>
          <w:spacing w:val="-6"/>
          <w:kern w:val="21"/>
          <w:sz w:val="20"/>
          <w:szCs w:val="20"/>
        </w:rPr>
        <w:fldChar w:fldCharType="end"/>
      </w:r>
    </w:p>
    <w:p w14:paraId="4AD58A5A">
      <w:pPr>
        <w:pStyle w:val="43"/>
        <w:keepNext w:val="0"/>
        <w:keepLines w:val="0"/>
        <w:pageBreakBefore w:val="0"/>
        <w:widowControl w:val="0"/>
        <w:kinsoku/>
        <w:overflowPunct/>
        <w:topLinePunct w:val="0"/>
        <w:autoSpaceDE/>
        <w:autoSpaceDN/>
        <w:bidi w:val="0"/>
        <w:spacing w:line="260" w:lineRule="exact"/>
        <w:textAlignment w:val="auto"/>
        <w:rPr>
          <w:rFonts w:hint="default" w:ascii="Times New Roman" w:hAnsi="Times New Roman" w:cs="Times New Roman"/>
          <w:snapToGrid w:val="0"/>
          <w:color w:val="auto"/>
          <w:spacing w:val="-6"/>
          <w:kern w:val="21"/>
          <w:sz w:val="20"/>
          <w:szCs w:val="20"/>
        </w:rPr>
      </w:pPr>
    </w:p>
    <w:p w14:paraId="713C1FE7">
      <w:pPr>
        <w:pStyle w:val="43"/>
        <w:keepNext w:val="0"/>
        <w:keepLines w:val="0"/>
        <w:pageBreakBefore w:val="0"/>
        <w:widowControl w:val="0"/>
        <w:kinsoku/>
        <w:overflowPunct/>
        <w:topLinePunct w:val="0"/>
        <w:autoSpaceDE/>
        <w:autoSpaceDN/>
        <w:bidi w:val="0"/>
        <w:spacing w:line="260" w:lineRule="exact"/>
        <w:textAlignment w:val="auto"/>
        <w:rPr>
          <w:rFonts w:hint="default" w:ascii="Times New Roman" w:hAnsi="Times New Roman" w:cs="Times New Roman"/>
          <w:snapToGrid w:val="0"/>
          <w:color w:val="auto"/>
          <w:spacing w:val="-6"/>
          <w:kern w:val="21"/>
          <w:sz w:val="20"/>
          <w:szCs w:val="20"/>
        </w:rPr>
      </w:pPr>
    </w:p>
    <w:p w14:paraId="5A096D63">
      <w:pPr>
        <w:pStyle w:val="43"/>
        <w:keepNext w:val="0"/>
        <w:keepLines w:val="0"/>
        <w:pageBreakBefore w:val="0"/>
        <w:widowControl w:val="0"/>
        <w:kinsoku/>
        <w:overflowPunct/>
        <w:topLinePunct w:val="0"/>
        <w:autoSpaceDE/>
        <w:autoSpaceDN/>
        <w:bidi w:val="0"/>
        <w:spacing w:line="260" w:lineRule="exact"/>
        <w:textAlignment w:val="auto"/>
        <w:rPr>
          <w:rFonts w:hint="default" w:ascii="Times New Roman" w:hAnsi="Times New Roman" w:cs="Times New Roman"/>
          <w:snapToGrid w:val="0"/>
          <w:color w:val="auto"/>
          <w:spacing w:val="-6"/>
          <w:kern w:val="21"/>
          <w:sz w:val="20"/>
          <w:szCs w:val="20"/>
        </w:rPr>
      </w:pPr>
    </w:p>
    <w:p w14:paraId="56E4151C">
      <w:pPr>
        <w:rPr>
          <w:rFonts w:hint="default" w:ascii="Times New Roman" w:hAnsi="Times New Roman" w:cs="Times New Roman"/>
          <w:color w:val="auto"/>
          <w:sz w:val="24"/>
          <w:lang w:val="en-US" w:eastAsia="zh-CN" w:bidi="ar-SA"/>
        </w:rPr>
      </w:pPr>
    </w:p>
    <w:p w14:paraId="270A0AF2">
      <w:pPr>
        <w:rPr>
          <w:rFonts w:hint="default" w:ascii="Times New Roman" w:hAnsi="Times New Roman" w:cs="Times New Roman"/>
          <w:color w:val="auto"/>
          <w:sz w:val="24"/>
          <w:lang w:val="en-US" w:eastAsia="zh-CN" w:bidi="ar-SA"/>
        </w:rPr>
      </w:pPr>
      <w:r>
        <w:rPr>
          <w:rFonts w:hint="default" w:ascii="Times New Roman" w:hAnsi="Times New Roman" w:cs="Times New Roman"/>
          <w:color w:val="auto"/>
          <w:sz w:val="24"/>
          <w:lang w:val="en-US" w:eastAsia="zh-CN" w:bidi="ar-SA"/>
        </w:rPr>
        <w:br w:type="page"/>
      </w:r>
    </w:p>
    <w:p w14:paraId="2BF51E78">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4"/>
          <w:lang w:val="en-US" w:eastAsia="zh-CN" w:bidi="ar-SA"/>
        </w:rPr>
        <w:sectPr>
          <w:footerReference r:id="rId4" w:type="default"/>
          <w:pgSz w:w="16838" w:h="11906" w:orient="landscape"/>
          <w:pgMar w:top="1576" w:right="1440" w:bottom="1576" w:left="1440" w:header="851" w:footer="850" w:gutter="0"/>
          <w:pgBorders w:offsetFrom="page">
            <w:top w:val="none" w:sz="0" w:space="0"/>
            <w:left w:val="none" w:sz="0" w:space="0"/>
            <w:bottom w:val="none" w:sz="0" w:space="0"/>
            <w:right w:val="none" w:sz="0" w:space="0"/>
          </w:pgBorders>
          <w:pgNumType w:fmt="decimal"/>
          <w:cols w:space="720" w:num="1"/>
          <w:rtlGutter w:val="0"/>
          <w:docGrid w:linePitch="312" w:charSpace="0"/>
        </w:sectPr>
      </w:pPr>
    </w:p>
    <w:p w14:paraId="1D386DFE">
      <w:pPr>
        <w:pStyle w:val="15"/>
        <w:rPr>
          <w:rFonts w:hint="default" w:ascii="Times New Roman" w:hAnsi="Times New Roman" w:cs="Times New Roman"/>
        </w:rPr>
      </w:pPr>
    </w:p>
    <w:p w14:paraId="1089B309">
      <w:pPr>
        <w:spacing w:line="360" w:lineRule="auto"/>
        <w:jc w:val="center"/>
        <w:rPr>
          <w:rFonts w:hint="default" w:ascii="Times New Roman" w:hAnsi="Times New Roman" w:eastAsia="黑体" w:cs="Times New Roman"/>
          <w:color w:val="auto"/>
          <w:kern w:val="2"/>
          <w:sz w:val="52"/>
          <w:szCs w:val="52"/>
        </w:rPr>
      </w:pPr>
    </w:p>
    <w:p w14:paraId="556F5A23">
      <w:pPr>
        <w:spacing w:line="360" w:lineRule="auto"/>
        <w:jc w:val="center"/>
        <w:rPr>
          <w:rFonts w:hint="default" w:ascii="Times New Roman" w:hAnsi="Times New Roman" w:eastAsia="黑体" w:cs="Times New Roman"/>
          <w:color w:val="auto"/>
          <w:kern w:val="2"/>
          <w:sz w:val="52"/>
          <w:szCs w:val="52"/>
        </w:rPr>
      </w:pPr>
    </w:p>
    <w:p w14:paraId="6E405A5C">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ascii="Times New Roman" w:hAnsi="Times New Roman" w:eastAsia="宋体" w:cs="Times New Roman"/>
          <w:b/>
          <w:color w:val="auto"/>
          <w:kern w:val="2"/>
          <w:sz w:val="44"/>
          <w:szCs w:val="44"/>
          <w:lang w:val="en-US" w:eastAsia="zh-CN"/>
        </w:rPr>
      </w:pPr>
    </w:p>
    <w:p w14:paraId="172F2087">
      <w:pPr>
        <w:keepNext w:val="0"/>
        <w:keepLines w:val="0"/>
        <w:pageBreakBefore w:val="0"/>
        <w:widowControl w:val="0"/>
        <w:kinsoku/>
        <w:wordWrap/>
        <w:overflowPunct/>
        <w:topLinePunct w:val="0"/>
        <w:autoSpaceDE/>
        <w:autoSpaceDN/>
        <w:bidi w:val="0"/>
        <w:adjustRightInd/>
        <w:snapToGrid/>
        <w:spacing w:line="720" w:lineRule="auto"/>
        <w:jc w:val="center"/>
        <w:textAlignment w:val="auto"/>
        <w:outlineLvl w:val="0"/>
        <w:rPr>
          <w:rFonts w:hint="default" w:ascii="Times New Roman" w:hAnsi="Times New Roman" w:eastAsia="宋体" w:cs="Times New Roman"/>
          <w:b/>
          <w:color w:val="auto"/>
          <w:kern w:val="2"/>
          <w:sz w:val="44"/>
          <w:szCs w:val="44"/>
          <w:lang w:val="en-US" w:eastAsia="zh-CN"/>
        </w:rPr>
      </w:pPr>
      <w:r>
        <w:rPr>
          <w:rFonts w:hint="default" w:ascii="Times New Roman" w:hAnsi="Times New Roman" w:eastAsia="宋体" w:cs="Times New Roman"/>
          <w:b/>
          <w:color w:val="auto"/>
          <w:kern w:val="2"/>
          <w:sz w:val="44"/>
          <w:szCs w:val="44"/>
          <w:lang w:val="en-US" w:eastAsia="zh-CN"/>
        </w:rPr>
        <w:t>民用燃气和工业丙烷以及新型高性能切割气体生产项目环境风险专项评价报告</w:t>
      </w:r>
    </w:p>
    <w:p w14:paraId="4B2E5ECF">
      <w:pPr>
        <w:spacing w:line="360" w:lineRule="auto"/>
        <w:jc w:val="center"/>
        <w:rPr>
          <w:rFonts w:hint="default" w:ascii="Times New Roman" w:hAnsi="Times New Roman" w:eastAsia="宋体" w:cs="Times New Roman"/>
          <w:color w:val="auto"/>
          <w:kern w:val="2"/>
          <w:sz w:val="52"/>
          <w:szCs w:val="52"/>
        </w:rPr>
      </w:pPr>
    </w:p>
    <w:p w14:paraId="54C16FD3">
      <w:pPr>
        <w:keepNext w:val="0"/>
        <w:keepLines w:val="0"/>
        <w:pageBreakBefore w:val="0"/>
        <w:widowControl w:val="0"/>
        <w:kinsoku/>
        <w:wordWrap/>
        <w:overflowPunct/>
        <w:topLinePunct w:val="0"/>
        <w:autoSpaceDE/>
        <w:autoSpaceDN/>
        <w:bidi w:val="0"/>
        <w:adjustRightInd/>
        <w:snapToGrid/>
        <w:spacing w:line="720" w:lineRule="auto"/>
        <w:jc w:val="center"/>
        <w:textAlignment w:val="auto"/>
        <w:rPr>
          <w:rFonts w:hint="default" w:ascii="Times New Roman" w:hAnsi="Times New Roman" w:eastAsia="宋体" w:cs="Times New Roman"/>
          <w:color w:val="auto"/>
          <w:kern w:val="2"/>
          <w:sz w:val="52"/>
          <w:szCs w:val="52"/>
        </w:rPr>
      </w:pPr>
    </w:p>
    <w:p w14:paraId="13FB7B37">
      <w:pPr>
        <w:rPr>
          <w:rFonts w:hint="default" w:ascii="Times New Roman" w:hAnsi="Times New Roman" w:eastAsia="宋体" w:cs="Times New Roman"/>
          <w:color w:val="auto"/>
          <w:kern w:val="2"/>
          <w:sz w:val="52"/>
          <w:szCs w:val="52"/>
        </w:rPr>
      </w:pPr>
    </w:p>
    <w:p w14:paraId="2B51AA44">
      <w:pPr>
        <w:pStyle w:val="15"/>
        <w:rPr>
          <w:rFonts w:hint="default" w:ascii="Times New Roman" w:hAnsi="Times New Roman" w:eastAsia="宋体" w:cs="Times New Roman"/>
          <w:color w:val="auto"/>
          <w:kern w:val="2"/>
          <w:sz w:val="52"/>
          <w:szCs w:val="52"/>
        </w:rPr>
      </w:pPr>
    </w:p>
    <w:p w14:paraId="099577FD">
      <w:pPr>
        <w:rPr>
          <w:rFonts w:hint="default" w:ascii="Times New Roman" w:hAnsi="Times New Roman" w:eastAsia="宋体" w:cs="Times New Roman"/>
          <w:color w:val="auto"/>
          <w:kern w:val="2"/>
          <w:sz w:val="52"/>
          <w:szCs w:val="52"/>
        </w:rPr>
      </w:pPr>
    </w:p>
    <w:p w14:paraId="657F76E6">
      <w:pPr>
        <w:pStyle w:val="15"/>
        <w:rPr>
          <w:rFonts w:hint="default" w:ascii="Times New Roman" w:hAnsi="Times New Roman" w:eastAsia="宋体" w:cs="Times New Roman"/>
          <w:color w:val="auto"/>
          <w:kern w:val="2"/>
          <w:sz w:val="52"/>
          <w:szCs w:val="52"/>
        </w:rPr>
      </w:pPr>
    </w:p>
    <w:p w14:paraId="7F48B075">
      <w:pPr>
        <w:pStyle w:val="15"/>
        <w:rPr>
          <w:rFonts w:hint="default" w:ascii="Times New Roman" w:hAnsi="Times New Roman" w:eastAsia="宋体" w:cs="Times New Roman"/>
          <w:color w:val="auto"/>
          <w:kern w:val="2"/>
          <w:sz w:val="52"/>
          <w:szCs w:val="52"/>
        </w:rPr>
      </w:pPr>
    </w:p>
    <w:p w14:paraId="25C9B3F7">
      <w:pPr>
        <w:rPr>
          <w:rFonts w:hint="default" w:ascii="Times New Roman" w:hAnsi="Times New Roman" w:eastAsia="宋体" w:cs="Times New Roman"/>
          <w:color w:val="auto"/>
          <w:kern w:val="2"/>
          <w:sz w:val="52"/>
          <w:szCs w:val="52"/>
        </w:rPr>
      </w:pPr>
    </w:p>
    <w:p w14:paraId="052E4B15">
      <w:pPr>
        <w:pStyle w:val="15"/>
        <w:rPr>
          <w:rFonts w:hint="default" w:ascii="Times New Roman" w:hAnsi="Times New Roman" w:cs="Times New Roman"/>
          <w:color w:val="auto"/>
        </w:rPr>
      </w:pPr>
    </w:p>
    <w:p w14:paraId="72F25B70">
      <w:pPr>
        <w:pStyle w:val="15"/>
        <w:rPr>
          <w:rFonts w:hint="default" w:ascii="Times New Roman" w:hAnsi="Times New Roman" w:cs="Times New Roman"/>
          <w:color w:val="auto"/>
        </w:rPr>
      </w:pPr>
    </w:p>
    <w:p w14:paraId="17D72813">
      <w:pPr>
        <w:spacing w:line="360" w:lineRule="auto"/>
        <w:jc w:val="center"/>
        <w:rPr>
          <w:rFonts w:hint="default" w:ascii="Times New Roman" w:hAnsi="Times New Roman" w:eastAsia="宋体" w:cs="Times New Roman"/>
          <w:color w:val="auto"/>
          <w:kern w:val="2"/>
          <w:sz w:val="52"/>
          <w:szCs w:val="52"/>
        </w:rPr>
      </w:pPr>
      <w:r>
        <w:rPr>
          <w:rFonts w:hint="default" w:ascii="Times New Roman" w:hAnsi="Times New Roman" w:eastAsia="宋体" w:cs="Times New Roman"/>
          <w:b/>
          <w:color w:val="auto"/>
          <w:kern w:val="2"/>
          <w:sz w:val="36"/>
          <w:szCs w:val="36"/>
          <w:lang w:val="en-US" w:eastAsia="zh-CN"/>
        </w:rPr>
        <w:t>内蒙古华泰瀚光环境科技有限公司</w:t>
      </w:r>
    </w:p>
    <w:p w14:paraId="147E7740">
      <w:pPr>
        <w:spacing w:line="360" w:lineRule="auto"/>
        <w:jc w:val="center"/>
        <w:rPr>
          <w:rFonts w:hint="default" w:ascii="Times New Roman" w:hAnsi="Times New Roman" w:eastAsia="宋体" w:cs="Times New Roman"/>
          <w:b/>
          <w:color w:val="auto"/>
          <w:kern w:val="2"/>
          <w:sz w:val="30"/>
          <w:szCs w:val="30"/>
          <w:lang w:val="en-US" w:eastAsia="zh-CN"/>
        </w:rPr>
        <w:sectPr>
          <w:footerReference r:id="rId5" w:type="default"/>
          <w:pgSz w:w="11906" w:h="16838"/>
          <w:pgMar w:top="1440" w:right="1800" w:bottom="1440" w:left="1800" w:header="851" w:footer="992" w:gutter="0"/>
          <w:pgBorders w:offsetFrom="page">
            <w:top w:val="none" w:sz="0" w:space="0"/>
            <w:left w:val="none" w:sz="0" w:space="0"/>
            <w:bottom w:val="none" w:sz="0" w:space="0"/>
            <w:right w:val="none" w:sz="0" w:space="0"/>
          </w:pgBorders>
          <w:cols w:space="720" w:num="1"/>
          <w:docGrid w:type="lines" w:linePitch="312" w:charSpace="0"/>
        </w:sectPr>
      </w:pPr>
      <w:r>
        <w:rPr>
          <w:rFonts w:hint="eastAsia" w:cs="Times New Roman"/>
          <w:b/>
          <w:color w:val="auto"/>
          <w:kern w:val="2"/>
          <w:sz w:val="30"/>
          <w:szCs w:val="30"/>
          <w:lang w:val="en-US" w:eastAsia="zh-CN"/>
        </w:rPr>
        <w:t>2026</w:t>
      </w:r>
      <w:r>
        <w:rPr>
          <w:rFonts w:hint="default" w:ascii="Times New Roman" w:hAnsi="Times New Roman" w:eastAsia="宋体" w:cs="Times New Roman"/>
          <w:b/>
          <w:color w:val="auto"/>
          <w:kern w:val="2"/>
          <w:sz w:val="30"/>
          <w:szCs w:val="30"/>
        </w:rPr>
        <w:t>年</w:t>
      </w:r>
      <w:r>
        <w:rPr>
          <w:rFonts w:hint="eastAsia" w:cs="Times New Roman"/>
          <w:b/>
          <w:color w:val="auto"/>
          <w:kern w:val="2"/>
          <w:sz w:val="30"/>
          <w:szCs w:val="30"/>
          <w:lang w:val="en-US" w:eastAsia="zh-CN"/>
        </w:rPr>
        <w:t>2</w:t>
      </w:r>
      <w:r>
        <w:rPr>
          <w:rFonts w:hint="default" w:ascii="Times New Roman" w:hAnsi="Times New Roman" w:eastAsia="宋体" w:cs="Times New Roman"/>
          <w:b/>
          <w:color w:val="auto"/>
          <w:kern w:val="2"/>
          <w:sz w:val="30"/>
          <w:szCs w:val="30"/>
          <w:lang w:val="en-US" w:eastAsia="zh-CN"/>
        </w:rPr>
        <w:t>月</w:t>
      </w:r>
    </w:p>
    <w:p w14:paraId="02D585CE">
      <w:pPr>
        <w:pStyle w:val="15"/>
        <w:rPr>
          <w:rFonts w:hint="default" w:ascii="Times New Roman" w:hAnsi="Times New Roman" w:cs="Times New Roman"/>
          <w:lang w:val="en-US" w:eastAsia="zh-CN"/>
        </w:rPr>
        <w:sectPr>
          <w:footerReference r:id="rId6" w:type="default"/>
          <w:pgSz w:w="11906" w:h="16838"/>
          <w:pgMar w:top="1440" w:right="1800" w:bottom="1440" w:left="1800" w:header="851" w:footer="992" w:gutter="0"/>
          <w:pgBorders w:offsetFrom="page">
            <w:top w:val="none" w:sz="0" w:space="0"/>
            <w:left w:val="none" w:sz="0" w:space="0"/>
            <w:bottom w:val="none" w:sz="0" w:space="0"/>
            <w:right w:val="none" w:sz="0" w:space="0"/>
          </w:pgBorders>
          <w:cols w:space="720" w:num="1"/>
          <w:docGrid w:type="lines" w:linePitch="312" w:charSpace="0"/>
        </w:sectPr>
      </w:pPr>
    </w:p>
    <w:p w14:paraId="717577D5">
      <w:pPr>
        <w:spacing w:before="0" w:beforeLines="0" w:after="0" w:afterLines="0" w:line="240" w:lineRule="auto"/>
        <w:ind w:left="0" w:leftChars="0" w:right="0" w:rightChars="0" w:firstLine="0" w:firstLineChars="0"/>
        <w:jc w:val="center"/>
        <w:rPr>
          <w:rFonts w:hint="default" w:ascii="Times New Roman" w:hAnsi="Times New Roman" w:cs="Times New Roman"/>
          <w:b/>
          <w:bCs/>
          <w:color w:val="auto"/>
          <w:sz w:val="32"/>
          <w:szCs w:val="32"/>
        </w:rPr>
      </w:pPr>
      <w:r>
        <w:rPr>
          <w:rFonts w:hint="default" w:ascii="Times New Roman" w:hAnsi="Times New Roman" w:eastAsia="宋体" w:cs="Times New Roman"/>
          <w:b/>
          <w:bCs/>
          <w:color w:val="auto"/>
          <w:sz w:val="32"/>
          <w:szCs w:val="32"/>
        </w:rPr>
        <w:t>目录</w:t>
      </w:r>
    </w:p>
    <w:p w14:paraId="358B2DA8">
      <w:pPr>
        <w:pStyle w:val="21"/>
        <w:keepNext w:val="0"/>
        <w:keepLines w:val="0"/>
        <w:pageBreakBefore w:val="0"/>
        <w:widowControl w:val="0"/>
        <w:tabs>
          <w:tab w:val="right" w:leader="dot" w:pos="8306"/>
        </w:tabs>
        <w:kinsoku/>
        <w:wordWrap/>
        <w:overflowPunct/>
        <w:topLinePunct w:val="0"/>
        <w:autoSpaceDE/>
        <w:autoSpaceDN/>
        <w:bidi w:val="0"/>
        <w:adjustRightInd/>
        <w:snapToGrid/>
        <w:spacing w:before="0"/>
        <w:textAlignment w:val="auto"/>
        <w:rPr>
          <w:rFonts w:hint="default" w:ascii="Times New Roman" w:hAnsi="Times New Roman" w:eastAsia="宋体" w:cs="Times New Roman"/>
          <w:b/>
          <w:bCs/>
          <w:i w:val="0"/>
          <w:iCs w:val="0"/>
          <w:caps/>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TOC \o "1-3" \h \u </w:instrText>
      </w:r>
      <w:r>
        <w:rPr>
          <w:rFonts w:hint="default" w:ascii="Times New Roman" w:hAnsi="Times New Roman" w:cs="Times New Roman"/>
          <w:i w:val="0"/>
          <w:iCs w:val="0"/>
          <w:color w:val="auto"/>
        </w:rPr>
        <w:fldChar w:fldCharType="separate"/>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HYPERLINK \l _Toc17641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lang w:val="en-US" w:eastAsia="zh-CN"/>
        </w:rPr>
        <w:t>概述</w:t>
      </w:r>
      <w:r>
        <w:rPr>
          <w:rFonts w:hint="default" w:ascii="Times New Roman" w:hAnsi="Times New Roman" w:eastAsia="宋体" w:cs="Times New Roman"/>
          <w:b/>
          <w:bCs/>
          <w:i w:val="0"/>
          <w:iCs w:val="0"/>
          <w:caps/>
          <w:color w:val="auto"/>
        </w:rPr>
        <w:tab/>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PAGEREF _Toc17641 \h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1</w:t>
      </w:r>
      <w:r>
        <w:rPr>
          <w:rFonts w:hint="default" w:ascii="Times New Roman" w:hAnsi="Times New Roman" w:eastAsia="宋体" w:cs="Times New Roman"/>
          <w:b/>
          <w:bCs/>
          <w:i w:val="0"/>
          <w:iCs w:val="0"/>
          <w:caps/>
          <w:color w:val="auto"/>
        </w:rPr>
        <w:fldChar w:fldCharType="end"/>
      </w:r>
      <w:r>
        <w:rPr>
          <w:rFonts w:hint="default" w:ascii="Times New Roman" w:hAnsi="Times New Roman" w:eastAsia="宋体" w:cs="Times New Roman"/>
          <w:b/>
          <w:bCs/>
          <w:i w:val="0"/>
          <w:iCs w:val="0"/>
          <w:caps/>
          <w:color w:val="auto"/>
        </w:rPr>
        <w:fldChar w:fldCharType="end"/>
      </w:r>
    </w:p>
    <w:p w14:paraId="3B67BA9B">
      <w:pPr>
        <w:pStyle w:val="21"/>
        <w:keepNext w:val="0"/>
        <w:keepLines w:val="0"/>
        <w:pageBreakBefore w:val="0"/>
        <w:widowControl w:val="0"/>
        <w:tabs>
          <w:tab w:val="right" w:leader="dot" w:pos="8306"/>
        </w:tabs>
        <w:kinsoku/>
        <w:wordWrap/>
        <w:overflowPunct/>
        <w:topLinePunct w:val="0"/>
        <w:autoSpaceDE/>
        <w:autoSpaceDN/>
        <w:bidi w:val="0"/>
        <w:adjustRightInd/>
        <w:snapToGrid/>
        <w:spacing w:before="0"/>
        <w:textAlignment w:val="auto"/>
        <w:rPr>
          <w:rFonts w:hint="default" w:ascii="Times New Roman" w:hAnsi="Times New Roman" w:eastAsia="宋体" w:cs="Times New Roman"/>
          <w:b/>
          <w:bCs/>
          <w:i w:val="0"/>
          <w:iCs w:val="0"/>
          <w:caps/>
          <w:color w:val="auto"/>
        </w:rPr>
      </w:pP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HYPERLINK \l _Toc24130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lang w:val="en-US" w:eastAsia="zh-CN"/>
        </w:rPr>
        <w:t>1 总则</w:t>
      </w:r>
      <w:r>
        <w:rPr>
          <w:rFonts w:hint="default" w:ascii="Times New Roman" w:hAnsi="Times New Roman" w:eastAsia="宋体" w:cs="Times New Roman"/>
          <w:b/>
          <w:bCs/>
          <w:i w:val="0"/>
          <w:iCs w:val="0"/>
          <w:caps/>
          <w:color w:val="auto"/>
        </w:rPr>
        <w:tab/>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PAGEREF _Toc24130 \h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2</w:t>
      </w:r>
      <w:r>
        <w:rPr>
          <w:rFonts w:hint="default" w:ascii="Times New Roman" w:hAnsi="Times New Roman" w:eastAsia="宋体" w:cs="Times New Roman"/>
          <w:b/>
          <w:bCs/>
          <w:i w:val="0"/>
          <w:iCs w:val="0"/>
          <w:caps/>
          <w:color w:val="auto"/>
        </w:rPr>
        <w:fldChar w:fldCharType="end"/>
      </w:r>
      <w:r>
        <w:rPr>
          <w:rFonts w:hint="default" w:ascii="Times New Roman" w:hAnsi="Times New Roman" w:eastAsia="宋体" w:cs="Times New Roman"/>
          <w:b/>
          <w:bCs/>
          <w:i w:val="0"/>
          <w:iCs w:val="0"/>
          <w:caps/>
          <w:color w:val="auto"/>
        </w:rPr>
        <w:fldChar w:fldCharType="end"/>
      </w:r>
    </w:p>
    <w:p w14:paraId="3C9F0D48">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_Toc17894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1.1 编制依据</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_Toc17894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4716B938">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_Toc15265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1.2 评价目的和评价重点</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_Toc15265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6157058C">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_Toc15728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1.3 风险调查</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_Toc15728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4DC59D8C">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_Toc5171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1.3.1 风险源调查</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_Toc5171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48BC4ECD">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_Toc11205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 xml:space="preserve">1.3.2 </w:t>
      </w:r>
      <w:r>
        <w:rPr>
          <w:rFonts w:hint="default" w:ascii="Times New Roman" w:hAnsi="Times New Roman" w:cs="Times New Roman"/>
          <w:i w:val="0"/>
          <w:iCs w:val="0"/>
          <w:color w:val="auto"/>
          <w:highlight w:val="none"/>
        </w:rPr>
        <w:t>环境敏感目标调查</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_Toc11205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4</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E8C73A6">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_Toc9615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1.4 环境风险评价等级判定</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_Toc9615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7</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3A2BE2C5">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_Toc12743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 xml:space="preserve">1.4.1 </w:t>
      </w:r>
      <w:r>
        <w:rPr>
          <w:rFonts w:hint="default" w:ascii="Times New Roman" w:hAnsi="Times New Roman" w:cs="Times New Roman"/>
          <w:i w:val="0"/>
          <w:iCs w:val="0"/>
          <w:color w:val="auto"/>
          <w:lang w:val="zh-CN" w:eastAsia="zh-CN"/>
        </w:rPr>
        <w:t>环境风险潜势初判</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_Toc12743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7</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40870305">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_Toc11124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1.4.2 建设项目环境风险潜势判断</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_Toc11124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12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13AF791D">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_Toc10525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1.4.3 风险评价等级</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_Toc10525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12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DBF88EA">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_Toc24324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1.5 环境风险评价范围及敏感目标</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_Toc24324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12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18FBB0F0">
      <w:pPr>
        <w:pStyle w:val="21"/>
        <w:keepNext w:val="0"/>
        <w:keepLines w:val="0"/>
        <w:pageBreakBefore w:val="0"/>
        <w:widowControl w:val="0"/>
        <w:tabs>
          <w:tab w:val="right" w:leader="dot" w:pos="8306"/>
        </w:tabs>
        <w:kinsoku/>
        <w:wordWrap/>
        <w:overflowPunct/>
        <w:topLinePunct w:val="0"/>
        <w:autoSpaceDE/>
        <w:autoSpaceDN/>
        <w:bidi w:val="0"/>
        <w:adjustRightInd/>
        <w:snapToGrid/>
        <w:spacing w:before="0"/>
        <w:textAlignment w:val="auto"/>
        <w:rPr>
          <w:rFonts w:hint="default" w:ascii="Times New Roman" w:hAnsi="Times New Roman" w:eastAsia="宋体" w:cs="Times New Roman"/>
          <w:b/>
          <w:bCs/>
          <w:i w:val="0"/>
          <w:iCs w:val="0"/>
          <w:caps/>
          <w:color w:val="auto"/>
        </w:rPr>
      </w:pP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HYPERLINK \l _Toc9174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lang w:val="en-US" w:eastAsia="zh-CN"/>
        </w:rPr>
        <w:t>2 环境风险识别</w:t>
      </w:r>
      <w:r>
        <w:rPr>
          <w:rFonts w:hint="default" w:ascii="Times New Roman" w:hAnsi="Times New Roman" w:eastAsia="宋体" w:cs="Times New Roman"/>
          <w:b/>
          <w:bCs/>
          <w:i w:val="0"/>
          <w:iCs w:val="0"/>
          <w:caps/>
          <w:color w:val="auto"/>
        </w:rPr>
        <w:tab/>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PAGEREF _Toc9174 \h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16</w:t>
      </w:r>
      <w:r>
        <w:rPr>
          <w:rFonts w:hint="default" w:ascii="Times New Roman" w:hAnsi="Times New Roman" w:eastAsia="宋体" w:cs="Times New Roman"/>
          <w:b/>
          <w:bCs/>
          <w:i w:val="0"/>
          <w:iCs w:val="0"/>
          <w:caps/>
          <w:color w:val="auto"/>
        </w:rPr>
        <w:fldChar w:fldCharType="end"/>
      </w:r>
      <w:r>
        <w:rPr>
          <w:rFonts w:hint="default" w:ascii="Times New Roman" w:hAnsi="Times New Roman" w:eastAsia="宋体" w:cs="Times New Roman"/>
          <w:b/>
          <w:bCs/>
          <w:i w:val="0"/>
          <w:iCs w:val="0"/>
          <w:caps/>
          <w:color w:val="auto"/>
        </w:rPr>
        <w:fldChar w:fldCharType="end"/>
      </w:r>
    </w:p>
    <w:p w14:paraId="7C8441F6">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_Toc2107 </w:instrText>
      </w:r>
      <w:r>
        <w:rPr>
          <w:rFonts w:hint="default" w:ascii="Times New Roman" w:hAnsi="Times New Roman" w:cs="Times New Roman"/>
          <w:i w:val="0"/>
          <w:iCs w:val="0"/>
          <w:color w:val="auto"/>
        </w:rPr>
        <w:fldChar w:fldCharType="separate"/>
      </w:r>
      <w:r>
        <w:rPr>
          <w:rFonts w:hint="default" w:ascii="Times New Roman" w:hAnsi="Times New Roman" w:eastAsia="宋体" w:cs="Times New Roman"/>
          <w:bCs/>
          <w:i w:val="0"/>
          <w:iCs w:val="0"/>
          <w:color w:val="auto"/>
          <w:kern w:val="2"/>
          <w:szCs w:val="21"/>
          <w:lang w:val="en-US" w:eastAsia="zh-CN" w:bidi="ar-SA"/>
        </w:rPr>
        <w:t xml:space="preserve">2.1 </w:t>
      </w:r>
      <w:r>
        <w:rPr>
          <w:rFonts w:hint="default" w:ascii="Times New Roman" w:hAnsi="Times New Roman" w:eastAsia="宋体" w:cs="Times New Roman"/>
          <w:bCs/>
          <w:i w:val="0"/>
          <w:iCs w:val="0"/>
          <w:color w:val="auto"/>
          <w:kern w:val="2"/>
          <w:szCs w:val="24"/>
          <w:lang w:val="en-US" w:eastAsia="zh-CN" w:bidi="ar-SA"/>
        </w:rPr>
        <w:t>物质风险识别</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_Toc2107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16</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118BAA98">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_Toc20267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2.2 生产系统危险性识别</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_Toc20267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69E970C">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_Toc14322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 xml:space="preserve">2.2.1 </w:t>
      </w:r>
      <w:r>
        <w:rPr>
          <w:rFonts w:hint="default" w:ascii="Times New Roman" w:hAnsi="Times New Roman" w:cs="Times New Roman"/>
          <w:i w:val="0"/>
          <w:iCs w:val="0"/>
          <w:color w:val="auto"/>
          <w:lang w:val="en-US" w:eastAsia="zh-CN"/>
        </w:rPr>
        <w:t>液化石油气危险性</w:t>
      </w:r>
      <w:r>
        <w:rPr>
          <w:rFonts w:hint="default" w:ascii="Times New Roman" w:hAnsi="Times New Roman" w:cs="Times New Roman"/>
          <w:i w:val="0"/>
          <w:iCs w:val="0"/>
          <w:color w:val="auto"/>
        </w:rPr>
        <w:t>识别：</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_Toc14322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23</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4176C4F0">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_Toc14089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2.2.2 危险废物暂存间泄漏</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_Toc14089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23</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170A0BD">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_Toc866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2.3 次生环境</w:t>
      </w:r>
      <w:r>
        <w:rPr>
          <w:rFonts w:hint="default" w:ascii="Times New Roman" w:hAnsi="Times New Roman" w:cs="Times New Roman"/>
          <w:i w:val="0"/>
          <w:iCs w:val="0"/>
          <w:color w:val="auto"/>
        </w:rPr>
        <w:t>风险辨识</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_Toc866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23</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27BF7AE">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_Toc11908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2.4 风险识别结果</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_Toc11908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26</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34799E07">
      <w:pPr>
        <w:pStyle w:val="21"/>
        <w:keepNext w:val="0"/>
        <w:keepLines w:val="0"/>
        <w:pageBreakBefore w:val="0"/>
        <w:widowControl w:val="0"/>
        <w:tabs>
          <w:tab w:val="right" w:leader="dot" w:pos="8306"/>
        </w:tabs>
        <w:kinsoku/>
        <w:wordWrap/>
        <w:overflowPunct/>
        <w:topLinePunct w:val="0"/>
        <w:autoSpaceDE/>
        <w:autoSpaceDN/>
        <w:bidi w:val="0"/>
        <w:adjustRightInd/>
        <w:snapToGrid/>
        <w:spacing w:before="0"/>
        <w:textAlignment w:val="auto"/>
        <w:rPr>
          <w:rFonts w:hint="default" w:ascii="Times New Roman" w:hAnsi="Times New Roman" w:eastAsia="宋体" w:cs="Times New Roman"/>
          <w:b/>
          <w:bCs/>
          <w:i w:val="0"/>
          <w:iCs w:val="0"/>
          <w:caps/>
          <w:color w:val="auto"/>
        </w:rPr>
      </w:pP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HYPERLINK \l _Toc23788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 xml:space="preserve">3 </w:t>
      </w:r>
      <w:r>
        <w:rPr>
          <w:rFonts w:hint="default" w:ascii="Times New Roman" w:hAnsi="Times New Roman" w:eastAsia="宋体" w:cs="Times New Roman"/>
          <w:b/>
          <w:bCs/>
          <w:i w:val="0"/>
          <w:iCs w:val="0"/>
          <w:caps/>
          <w:color w:val="auto"/>
          <w:lang w:val="en-US" w:eastAsia="zh-CN"/>
        </w:rPr>
        <w:t>风险事故情形分析</w:t>
      </w:r>
      <w:r>
        <w:rPr>
          <w:rFonts w:hint="default" w:ascii="Times New Roman" w:hAnsi="Times New Roman" w:eastAsia="宋体" w:cs="Times New Roman"/>
          <w:b/>
          <w:bCs/>
          <w:i w:val="0"/>
          <w:iCs w:val="0"/>
          <w:caps/>
          <w:color w:val="auto"/>
        </w:rPr>
        <w:tab/>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PAGEREF _Toc23788 \h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27</w:t>
      </w:r>
      <w:r>
        <w:rPr>
          <w:rFonts w:hint="default" w:ascii="Times New Roman" w:hAnsi="Times New Roman" w:eastAsia="宋体" w:cs="Times New Roman"/>
          <w:b/>
          <w:bCs/>
          <w:i w:val="0"/>
          <w:iCs w:val="0"/>
          <w:caps/>
          <w:color w:val="auto"/>
        </w:rPr>
        <w:fldChar w:fldCharType="end"/>
      </w:r>
      <w:r>
        <w:rPr>
          <w:rFonts w:hint="default" w:ascii="Times New Roman" w:hAnsi="Times New Roman" w:eastAsia="宋体" w:cs="Times New Roman"/>
          <w:b/>
          <w:bCs/>
          <w:i w:val="0"/>
          <w:iCs w:val="0"/>
          <w:caps/>
          <w:color w:val="auto"/>
        </w:rPr>
        <w:fldChar w:fldCharType="end"/>
      </w:r>
    </w:p>
    <w:p w14:paraId="27BCB924">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_Toc7871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3.1 风险事故情形设定</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_Toc7871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27</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051606EE">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_Toc6099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3.2 源项分析</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_Toc6099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27</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140E62D">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_Toc18244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3.2.1 液化石油气泄漏</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_Toc18244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28</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5007762D">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_Toc5926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3.2.2 残液罐泄漏</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_Toc5926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29</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7A5AB680">
      <w:pPr>
        <w:pStyle w:val="21"/>
        <w:keepNext w:val="0"/>
        <w:keepLines w:val="0"/>
        <w:pageBreakBefore w:val="0"/>
        <w:widowControl w:val="0"/>
        <w:tabs>
          <w:tab w:val="right" w:leader="dot" w:pos="8306"/>
        </w:tabs>
        <w:kinsoku/>
        <w:wordWrap/>
        <w:overflowPunct/>
        <w:topLinePunct w:val="0"/>
        <w:autoSpaceDE/>
        <w:autoSpaceDN/>
        <w:bidi w:val="0"/>
        <w:adjustRightInd/>
        <w:snapToGrid/>
        <w:spacing w:before="0"/>
        <w:textAlignment w:val="auto"/>
        <w:rPr>
          <w:rFonts w:hint="default" w:ascii="Times New Roman" w:hAnsi="Times New Roman" w:eastAsia="宋体" w:cs="Times New Roman"/>
          <w:b/>
          <w:bCs/>
          <w:i w:val="0"/>
          <w:iCs w:val="0"/>
          <w:caps/>
          <w:color w:val="auto"/>
        </w:rPr>
      </w:pP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HYPERLINK \l _Toc3729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 xml:space="preserve">4 </w:t>
      </w:r>
      <w:r>
        <w:rPr>
          <w:rFonts w:hint="default" w:ascii="Times New Roman" w:hAnsi="Times New Roman" w:eastAsia="宋体" w:cs="Times New Roman"/>
          <w:b/>
          <w:bCs/>
          <w:i w:val="0"/>
          <w:iCs w:val="0"/>
          <w:caps/>
          <w:color w:val="auto"/>
          <w:lang w:val="en-US" w:eastAsia="zh-CN"/>
        </w:rPr>
        <w:t>风险预测与评价</w:t>
      </w:r>
      <w:r>
        <w:rPr>
          <w:rFonts w:hint="default" w:ascii="Times New Roman" w:hAnsi="Times New Roman" w:eastAsia="宋体" w:cs="Times New Roman"/>
          <w:b/>
          <w:bCs/>
          <w:i w:val="0"/>
          <w:iCs w:val="0"/>
          <w:caps/>
          <w:color w:val="auto"/>
        </w:rPr>
        <w:tab/>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PAGEREF _Toc3729 \h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31</w:t>
      </w:r>
      <w:r>
        <w:rPr>
          <w:rFonts w:hint="default" w:ascii="Times New Roman" w:hAnsi="Times New Roman" w:eastAsia="宋体" w:cs="Times New Roman"/>
          <w:b/>
          <w:bCs/>
          <w:i w:val="0"/>
          <w:iCs w:val="0"/>
          <w:caps/>
          <w:color w:val="auto"/>
        </w:rPr>
        <w:fldChar w:fldCharType="end"/>
      </w:r>
      <w:r>
        <w:rPr>
          <w:rFonts w:hint="default" w:ascii="Times New Roman" w:hAnsi="Times New Roman" w:eastAsia="宋体" w:cs="Times New Roman"/>
          <w:b/>
          <w:bCs/>
          <w:i w:val="0"/>
          <w:iCs w:val="0"/>
          <w:caps/>
          <w:color w:val="auto"/>
        </w:rPr>
        <w:fldChar w:fldCharType="end"/>
      </w:r>
    </w:p>
    <w:p w14:paraId="344B29F7">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_Toc11786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 xml:space="preserve">4.1 </w:t>
      </w:r>
      <w:r>
        <w:rPr>
          <w:rFonts w:hint="default" w:ascii="Times New Roman" w:hAnsi="Times New Roman" w:cs="Times New Roman"/>
          <w:i w:val="0"/>
          <w:iCs w:val="0"/>
          <w:color w:val="auto"/>
          <w:lang w:val="en-US" w:eastAsia="zh-CN"/>
        </w:rPr>
        <w:t>大气环境</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_Toc11786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31</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FF8850B">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_Toc19874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4.2 地下水环境风险</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_Toc19874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31</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1F5C30F3">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_Toc1859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4.2.1 区域水文地质</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_Toc1859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32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BD9C1DC">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_Toc6608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4.2.2 地下水环境影响预测</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_Toc6608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40</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3B10A732">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_Toc18888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4.3 环境风险评价</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_Toc18888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41</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0127FB33">
      <w:pPr>
        <w:pStyle w:val="21"/>
        <w:keepNext w:val="0"/>
        <w:keepLines w:val="0"/>
        <w:pageBreakBefore w:val="0"/>
        <w:widowControl w:val="0"/>
        <w:tabs>
          <w:tab w:val="right" w:leader="dot" w:pos="8306"/>
        </w:tabs>
        <w:kinsoku/>
        <w:wordWrap/>
        <w:overflowPunct/>
        <w:topLinePunct w:val="0"/>
        <w:autoSpaceDE/>
        <w:autoSpaceDN/>
        <w:bidi w:val="0"/>
        <w:adjustRightInd/>
        <w:snapToGrid/>
        <w:spacing w:before="0"/>
        <w:textAlignment w:val="auto"/>
        <w:rPr>
          <w:rFonts w:hint="default" w:ascii="Times New Roman" w:hAnsi="Times New Roman" w:eastAsia="宋体" w:cs="Times New Roman"/>
          <w:b/>
          <w:bCs/>
          <w:i w:val="0"/>
          <w:iCs w:val="0"/>
          <w:caps/>
          <w:color w:val="auto"/>
        </w:rPr>
      </w:pP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HYPERLINK \l _Toc20792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5 风险管理</w:t>
      </w:r>
      <w:r>
        <w:rPr>
          <w:rFonts w:hint="default" w:ascii="Times New Roman" w:hAnsi="Times New Roman" w:eastAsia="宋体" w:cs="Times New Roman"/>
          <w:b/>
          <w:bCs/>
          <w:i w:val="0"/>
          <w:iCs w:val="0"/>
          <w:caps/>
          <w:color w:val="auto"/>
        </w:rPr>
        <w:tab/>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PAGEREF _Toc20792 \h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42</w:t>
      </w:r>
      <w:r>
        <w:rPr>
          <w:rFonts w:hint="default" w:ascii="Times New Roman" w:hAnsi="Times New Roman" w:eastAsia="宋体" w:cs="Times New Roman"/>
          <w:b/>
          <w:bCs/>
          <w:i w:val="0"/>
          <w:iCs w:val="0"/>
          <w:caps/>
          <w:color w:val="auto"/>
        </w:rPr>
        <w:fldChar w:fldCharType="end"/>
      </w:r>
      <w:r>
        <w:rPr>
          <w:rFonts w:hint="default" w:ascii="Times New Roman" w:hAnsi="Times New Roman" w:eastAsia="宋体" w:cs="Times New Roman"/>
          <w:b/>
          <w:bCs/>
          <w:i w:val="0"/>
          <w:iCs w:val="0"/>
          <w:caps/>
          <w:color w:val="auto"/>
        </w:rPr>
        <w:fldChar w:fldCharType="end"/>
      </w:r>
    </w:p>
    <w:p w14:paraId="38753B28">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_Toc19026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5.1 风险防范措施</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_Toc19026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42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74261EA4">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_Toc28784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 xml:space="preserve">5.1.1 </w:t>
      </w:r>
      <w:r>
        <w:rPr>
          <w:rFonts w:hint="default" w:ascii="Times New Roman" w:hAnsi="Times New Roman" w:cs="Times New Roman"/>
          <w:i w:val="0"/>
          <w:iCs w:val="0"/>
          <w:color w:val="auto"/>
          <w:lang w:val="en-US" w:eastAsia="zh-CN"/>
        </w:rPr>
        <w:t>灌装站风险防范措施</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_Toc28784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42</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2F6874DD">
      <w:pPr>
        <w:pStyle w:val="1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_Toc19141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lang w:val="en-US" w:eastAsia="zh-CN"/>
        </w:rPr>
        <w:t>5.1.2 危险废物暂存间</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_Toc19141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44</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3D3AB07D">
      <w:pPr>
        <w:pStyle w:val="24"/>
        <w:tabs>
          <w:tab w:val="right" w:leader="dot" w:pos="8306"/>
        </w:tabs>
        <w:rPr>
          <w:rFonts w:hint="default" w:ascii="Times New Roman" w:hAnsi="Times New Roman" w:cs="Times New Roman"/>
          <w:i w:val="0"/>
          <w:iCs w:val="0"/>
          <w:color w:val="auto"/>
        </w:rPr>
      </w:pP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HYPERLINK \l _Toc15730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5.2 风险应急预案</w:t>
      </w:r>
      <w:r>
        <w:rPr>
          <w:rFonts w:hint="default" w:ascii="Times New Roman" w:hAnsi="Times New Roman" w:cs="Times New Roman"/>
          <w:i w:val="0"/>
          <w:iCs w:val="0"/>
          <w:color w:val="auto"/>
        </w:rPr>
        <w:tab/>
      </w:r>
      <w:r>
        <w:rPr>
          <w:rFonts w:hint="default" w:ascii="Times New Roman" w:hAnsi="Times New Roman" w:cs="Times New Roman"/>
          <w:i w:val="0"/>
          <w:iCs w:val="0"/>
          <w:color w:val="auto"/>
        </w:rPr>
        <w:fldChar w:fldCharType="begin"/>
      </w:r>
      <w:r>
        <w:rPr>
          <w:rFonts w:hint="default" w:ascii="Times New Roman" w:hAnsi="Times New Roman" w:cs="Times New Roman"/>
          <w:i w:val="0"/>
          <w:iCs w:val="0"/>
          <w:color w:val="auto"/>
        </w:rPr>
        <w:instrText xml:space="preserve"> PAGEREF _Toc15730 \h </w:instrText>
      </w:r>
      <w:r>
        <w:rPr>
          <w:rFonts w:hint="default" w:ascii="Times New Roman" w:hAnsi="Times New Roman" w:cs="Times New Roman"/>
          <w:i w:val="0"/>
          <w:iCs w:val="0"/>
          <w:color w:val="auto"/>
        </w:rPr>
        <w:fldChar w:fldCharType="separate"/>
      </w:r>
      <w:r>
        <w:rPr>
          <w:rFonts w:hint="default" w:ascii="Times New Roman" w:hAnsi="Times New Roman" w:cs="Times New Roman"/>
          <w:i w:val="0"/>
          <w:iCs w:val="0"/>
          <w:color w:val="auto"/>
        </w:rPr>
        <w:t>48</w:t>
      </w:r>
      <w:r>
        <w:rPr>
          <w:rFonts w:hint="default" w:ascii="Times New Roman" w:hAnsi="Times New Roman" w:cs="Times New Roman"/>
          <w:i w:val="0"/>
          <w:iCs w:val="0"/>
          <w:color w:val="auto"/>
        </w:rPr>
        <w:fldChar w:fldCharType="end"/>
      </w:r>
      <w:r>
        <w:rPr>
          <w:rFonts w:hint="default" w:ascii="Times New Roman" w:hAnsi="Times New Roman" w:cs="Times New Roman"/>
          <w:i w:val="0"/>
          <w:iCs w:val="0"/>
          <w:color w:val="auto"/>
        </w:rPr>
        <w:fldChar w:fldCharType="end"/>
      </w:r>
    </w:p>
    <w:p w14:paraId="438B392A">
      <w:pPr>
        <w:pStyle w:val="21"/>
        <w:keepNext w:val="0"/>
        <w:keepLines w:val="0"/>
        <w:pageBreakBefore w:val="0"/>
        <w:widowControl w:val="0"/>
        <w:tabs>
          <w:tab w:val="right" w:leader="dot" w:pos="8306"/>
        </w:tabs>
        <w:kinsoku/>
        <w:wordWrap/>
        <w:overflowPunct/>
        <w:topLinePunct w:val="0"/>
        <w:autoSpaceDE/>
        <w:autoSpaceDN/>
        <w:bidi w:val="0"/>
        <w:adjustRightInd/>
        <w:snapToGrid/>
        <w:spacing w:before="0"/>
        <w:textAlignment w:val="auto"/>
        <w:rPr>
          <w:rFonts w:hint="default" w:ascii="Times New Roman" w:hAnsi="Times New Roman" w:eastAsia="宋体" w:cs="Times New Roman"/>
          <w:b/>
          <w:bCs/>
          <w:i w:val="0"/>
          <w:iCs w:val="0"/>
          <w:caps/>
          <w:color w:val="auto"/>
        </w:rPr>
      </w:pP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HYPERLINK \l _Toc29625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6 风险评价结论</w:t>
      </w:r>
      <w:r>
        <w:rPr>
          <w:rFonts w:hint="default" w:ascii="Times New Roman" w:hAnsi="Times New Roman" w:eastAsia="宋体" w:cs="Times New Roman"/>
          <w:b/>
          <w:bCs/>
          <w:i w:val="0"/>
          <w:iCs w:val="0"/>
          <w:caps/>
          <w:color w:val="auto"/>
        </w:rPr>
        <w:tab/>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PAGEREF _Toc29625 \h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51</w:t>
      </w:r>
      <w:r>
        <w:rPr>
          <w:rFonts w:hint="default" w:ascii="Times New Roman" w:hAnsi="Times New Roman" w:eastAsia="宋体" w:cs="Times New Roman"/>
          <w:b/>
          <w:bCs/>
          <w:i w:val="0"/>
          <w:iCs w:val="0"/>
          <w:caps/>
          <w:color w:val="auto"/>
        </w:rPr>
        <w:fldChar w:fldCharType="end"/>
      </w:r>
      <w:r>
        <w:rPr>
          <w:rFonts w:hint="default" w:ascii="Times New Roman" w:hAnsi="Times New Roman" w:eastAsia="宋体" w:cs="Times New Roman"/>
          <w:b/>
          <w:bCs/>
          <w:i w:val="0"/>
          <w:iCs w:val="0"/>
          <w:caps/>
          <w:color w:val="auto"/>
        </w:rPr>
        <w:fldChar w:fldCharType="end"/>
      </w:r>
    </w:p>
    <w:p w14:paraId="3259C5FD">
      <w:pPr>
        <w:pStyle w:val="21"/>
        <w:keepNext w:val="0"/>
        <w:keepLines w:val="0"/>
        <w:pageBreakBefore w:val="0"/>
        <w:widowControl w:val="0"/>
        <w:tabs>
          <w:tab w:val="right" w:leader="dot" w:pos="8306"/>
        </w:tabs>
        <w:kinsoku/>
        <w:wordWrap/>
        <w:overflowPunct/>
        <w:topLinePunct w:val="0"/>
        <w:autoSpaceDE/>
        <w:autoSpaceDN/>
        <w:bidi w:val="0"/>
        <w:adjustRightInd/>
        <w:snapToGrid/>
        <w:spacing w:before="0"/>
        <w:textAlignment w:val="auto"/>
        <w:rPr>
          <w:rFonts w:hint="default" w:ascii="Times New Roman" w:hAnsi="Times New Roman" w:eastAsia="宋体" w:cs="Times New Roman"/>
          <w:b/>
          <w:bCs/>
          <w:i w:val="0"/>
          <w:iCs w:val="0"/>
          <w:caps/>
          <w:color w:val="auto"/>
        </w:rPr>
      </w:pP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HYPERLINK \l _Toc12203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lang w:val="en-US" w:eastAsia="zh-CN"/>
        </w:rPr>
        <w:t>7 风险自查表</w:t>
      </w:r>
      <w:r>
        <w:rPr>
          <w:rFonts w:hint="default" w:ascii="Times New Roman" w:hAnsi="Times New Roman" w:eastAsia="宋体" w:cs="Times New Roman"/>
          <w:b/>
          <w:bCs/>
          <w:i w:val="0"/>
          <w:iCs w:val="0"/>
          <w:caps/>
          <w:color w:val="auto"/>
        </w:rPr>
        <w:tab/>
      </w:r>
      <w:r>
        <w:rPr>
          <w:rFonts w:hint="default" w:ascii="Times New Roman" w:hAnsi="Times New Roman" w:eastAsia="宋体" w:cs="Times New Roman"/>
          <w:b/>
          <w:bCs/>
          <w:i w:val="0"/>
          <w:iCs w:val="0"/>
          <w:caps/>
          <w:color w:val="auto"/>
        </w:rPr>
        <w:fldChar w:fldCharType="begin"/>
      </w:r>
      <w:r>
        <w:rPr>
          <w:rFonts w:hint="default" w:ascii="Times New Roman" w:hAnsi="Times New Roman" w:eastAsia="宋体" w:cs="Times New Roman"/>
          <w:b/>
          <w:bCs/>
          <w:i w:val="0"/>
          <w:iCs w:val="0"/>
          <w:caps/>
          <w:color w:val="auto"/>
        </w:rPr>
        <w:instrText xml:space="preserve"> PAGEREF _Toc12203 \h </w:instrText>
      </w:r>
      <w:r>
        <w:rPr>
          <w:rFonts w:hint="default" w:ascii="Times New Roman" w:hAnsi="Times New Roman" w:eastAsia="宋体" w:cs="Times New Roman"/>
          <w:b/>
          <w:bCs/>
          <w:i w:val="0"/>
          <w:iCs w:val="0"/>
          <w:caps/>
          <w:color w:val="auto"/>
        </w:rPr>
        <w:fldChar w:fldCharType="separate"/>
      </w:r>
      <w:r>
        <w:rPr>
          <w:rFonts w:hint="default" w:ascii="Times New Roman" w:hAnsi="Times New Roman" w:eastAsia="宋体" w:cs="Times New Roman"/>
          <w:b/>
          <w:bCs/>
          <w:i w:val="0"/>
          <w:iCs w:val="0"/>
          <w:caps/>
          <w:color w:val="auto"/>
        </w:rPr>
        <w:t>52</w:t>
      </w:r>
      <w:r>
        <w:rPr>
          <w:rFonts w:hint="default" w:ascii="Times New Roman" w:hAnsi="Times New Roman" w:eastAsia="宋体" w:cs="Times New Roman"/>
          <w:b/>
          <w:bCs/>
          <w:i w:val="0"/>
          <w:iCs w:val="0"/>
          <w:caps/>
          <w:color w:val="auto"/>
        </w:rPr>
        <w:fldChar w:fldCharType="end"/>
      </w:r>
      <w:r>
        <w:rPr>
          <w:rFonts w:hint="default" w:ascii="Times New Roman" w:hAnsi="Times New Roman" w:eastAsia="宋体" w:cs="Times New Roman"/>
          <w:b/>
          <w:bCs/>
          <w:i w:val="0"/>
          <w:iCs w:val="0"/>
          <w:caps/>
          <w:color w:val="auto"/>
        </w:rPr>
        <w:fldChar w:fldCharType="end"/>
      </w:r>
    </w:p>
    <w:p w14:paraId="4F983269">
      <w:pPr>
        <w:pStyle w:val="31"/>
        <w:keepNext w:val="0"/>
        <w:keepLines w:val="0"/>
        <w:pageBreakBefore w:val="0"/>
        <w:widowControl w:val="0"/>
        <w:kinsoku/>
        <w:wordWrap/>
        <w:overflowPunct/>
        <w:topLinePunct w:val="0"/>
        <w:autoSpaceDE/>
        <w:autoSpaceDN/>
        <w:bidi w:val="0"/>
        <w:adjustRightInd w:val="0"/>
        <w:snapToGrid/>
        <w:spacing w:line="360" w:lineRule="auto"/>
        <w:ind w:left="420" w:firstLine="210"/>
        <w:jc w:val="left"/>
        <w:textAlignment w:val="baseline"/>
        <w:outlineLvl w:val="0"/>
        <w:rPr>
          <w:rFonts w:hint="default" w:ascii="Times New Roman" w:hAnsi="Times New Roman" w:cs="Times New Roman"/>
          <w:i w:val="0"/>
          <w:iCs w:val="0"/>
          <w:color w:val="auto"/>
        </w:rPr>
        <w:sectPr>
          <w:headerReference r:id="rId7" w:type="default"/>
          <w:footerReference r:id="rId8"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start="1"/>
          <w:cols w:space="720" w:num="1"/>
          <w:docGrid w:type="lines" w:linePitch="312" w:charSpace="0"/>
        </w:sectPr>
      </w:pPr>
      <w:r>
        <w:rPr>
          <w:rFonts w:hint="default" w:ascii="Times New Roman" w:hAnsi="Times New Roman" w:cs="Times New Roman"/>
          <w:i w:val="0"/>
          <w:iCs w:val="0"/>
          <w:color w:val="auto"/>
        </w:rPr>
        <w:fldChar w:fldCharType="end"/>
      </w:r>
    </w:p>
    <w:p w14:paraId="7E24DE63">
      <w:pPr>
        <w:rPr>
          <w:rFonts w:hint="default" w:ascii="Times New Roman" w:hAnsi="Times New Roman" w:cs="Times New Roman"/>
        </w:rPr>
        <w:sectPr>
          <w:footerReference r:id="rId9"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start="1"/>
          <w:cols w:space="720" w:num="1"/>
          <w:docGrid w:type="lines" w:linePitch="312" w:charSpace="0"/>
        </w:sectPr>
      </w:pPr>
    </w:p>
    <w:p w14:paraId="7AD23FCC">
      <w:pPr>
        <w:pStyle w:val="31"/>
        <w:keepNext w:val="0"/>
        <w:keepLines w:val="0"/>
        <w:pageBreakBefore w:val="0"/>
        <w:widowControl w:val="0"/>
        <w:kinsoku/>
        <w:wordWrap/>
        <w:overflowPunct/>
        <w:topLinePunct w:val="0"/>
        <w:autoSpaceDE/>
        <w:autoSpaceDN/>
        <w:bidi w:val="0"/>
        <w:adjustRightInd w:val="0"/>
        <w:snapToGrid/>
        <w:spacing w:line="360" w:lineRule="auto"/>
        <w:ind w:left="0" w:leftChars="0" w:firstLine="0"/>
        <w:jc w:val="center"/>
        <w:textAlignment w:val="baseline"/>
        <w:outlineLvl w:val="0"/>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概</w:t>
      </w:r>
      <w:r>
        <w:rPr>
          <w:rFonts w:hint="eastAsia" w:ascii="Times New Roman" w:hAnsi="Times New Roman" w:cs="Times New Roman"/>
          <w:b/>
          <w:bCs/>
          <w:color w:val="auto"/>
          <w:sz w:val="28"/>
          <w:szCs w:val="28"/>
          <w:lang w:val="en-US" w:eastAsia="zh-CN"/>
        </w:rPr>
        <w:t xml:space="preserve"> </w:t>
      </w:r>
      <w:r>
        <w:rPr>
          <w:rFonts w:hint="default" w:ascii="Times New Roman" w:hAnsi="Times New Roman" w:cs="Times New Roman"/>
          <w:b/>
          <w:bCs/>
          <w:color w:val="auto"/>
          <w:sz w:val="28"/>
          <w:szCs w:val="28"/>
          <w:lang w:val="en-US" w:eastAsia="zh-CN"/>
        </w:rPr>
        <w:t>述</w:t>
      </w:r>
    </w:p>
    <w:p w14:paraId="6389C9B8">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内蒙古东方神气</w:t>
      </w:r>
      <w:r>
        <w:rPr>
          <w:rFonts w:hint="default" w:ascii="Times New Roman" w:hAnsi="Times New Roman" w:eastAsia="宋体" w:cs="Times New Roman"/>
          <w:color w:val="auto"/>
          <w:kern w:val="2"/>
          <w:sz w:val="24"/>
          <w:szCs w:val="24"/>
          <w:lang w:val="en-US" w:eastAsia="zh-CN" w:bidi="ar-SA"/>
        </w:rPr>
        <w:t>公司</w:t>
      </w:r>
      <w:r>
        <w:rPr>
          <w:rFonts w:hint="default" w:ascii="Times New Roman" w:hAnsi="Times New Roman" w:cs="Times New Roman"/>
          <w:color w:val="auto"/>
          <w:kern w:val="2"/>
          <w:sz w:val="24"/>
          <w:szCs w:val="24"/>
          <w:lang w:val="en-US" w:eastAsia="zh-CN" w:bidi="ar-SA"/>
        </w:rPr>
        <w:t>科技有限责任公司</w:t>
      </w:r>
      <w:r>
        <w:rPr>
          <w:rFonts w:hint="default" w:ascii="Times New Roman" w:hAnsi="Times New Roman" w:eastAsia="宋体" w:cs="Times New Roman"/>
          <w:color w:val="auto"/>
          <w:kern w:val="2"/>
          <w:sz w:val="24"/>
          <w:szCs w:val="24"/>
          <w:lang w:val="en-US" w:eastAsia="zh-CN" w:bidi="ar-SA"/>
        </w:rPr>
        <w:t>（以下简称</w:t>
      </w:r>
      <w:r>
        <w:rPr>
          <w:rFonts w:hint="default" w:ascii="Times New Roman" w:hAnsi="Times New Roman" w:cs="Times New Roman"/>
          <w:color w:val="auto"/>
          <w:kern w:val="2"/>
          <w:sz w:val="24"/>
          <w:szCs w:val="24"/>
          <w:lang w:val="en-US" w:eastAsia="zh-CN" w:bidi="ar-SA"/>
        </w:rPr>
        <w:t>东方神气</w:t>
      </w:r>
      <w:r>
        <w:rPr>
          <w:rFonts w:hint="default" w:ascii="Times New Roman" w:hAnsi="Times New Roman" w:eastAsia="宋体" w:cs="Times New Roman"/>
          <w:color w:val="auto"/>
          <w:kern w:val="2"/>
          <w:sz w:val="24"/>
          <w:szCs w:val="24"/>
          <w:lang w:val="en-US" w:eastAsia="zh-CN" w:bidi="ar-SA"/>
        </w:rPr>
        <w:t>）主要从事特种设备制造</w:t>
      </w:r>
      <w:r>
        <w:rPr>
          <w:rFonts w:hint="default" w:ascii="Times New Roman" w:hAnsi="Times New Roman" w:cs="Times New Roman"/>
          <w:color w:val="auto"/>
          <w:kern w:val="2"/>
          <w:sz w:val="24"/>
          <w:szCs w:val="24"/>
          <w:lang w:val="en-US" w:eastAsia="zh-CN" w:bidi="ar-SA"/>
        </w:rPr>
        <w:t>；特种</w:t>
      </w:r>
      <w:r>
        <w:rPr>
          <w:rFonts w:hint="default" w:ascii="Times New Roman" w:hAnsi="Times New Roman" w:eastAsia="宋体" w:cs="Times New Roman"/>
          <w:color w:val="auto"/>
          <w:kern w:val="2"/>
          <w:sz w:val="24"/>
          <w:szCs w:val="24"/>
          <w:lang w:val="en-US" w:eastAsia="zh-CN" w:bidi="ar-SA"/>
        </w:rPr>
        <w:t>设备设计</w:t>
      </w:r>
      <w:r>
        <w:rPr>
          <w:rFonts w:hint="default" w:ascii="Times New Roman" w:hAnsi="Times New Roman"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燃气经营</w:t>
      </w:r>
      <w:r>
        <w:rPr>
          <w:rFonts w:hint="default" w:ascii="Times New Roman" w:hAnsi="Times New Roman"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移动式压力容器/气充装等。</w:t>
      </w:r>
    </w:p>
    <w:p w14:paraId="33819BEF">
      <w:pPr>
        <w:pStyle w:val="10"/>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为推进</w:t>
      </w:r>
      <w:r>
        <w:rPr>
          <w:rFonts w:hint="default" w:ascii="Times New Roman" w:hAnsi="Times New Roman" w:eastAsia="宋体" w:cs="Times New Roman"/>
          <w:color w:val="0000FF"/>
          <w:kern w:val="0"/>
          <w:sz w:val="24"/>
          <w:szCs w:val="24"/>
          <w:shd w:val="clear" w:color="auto" w:fill="auto"/>
          <w:lang w:val="en-US" w:eastAsia="zh-CN"/>
        </w:rPr>
        <w:t>内蒙古包头九原工业园区—新材料产业园</w:t>
      </w:r>
      <w:r>
        <w:rPr>
          <w:rFonts w:hint="default" w:ascii="Times New Roman" w:hAnsi="Times New Roman" w:cs="Times New Roman"/>
          <w:color w:val="auto"/>
          <w:kern w:val="2"/>
          <w:sz w:val="24"/>
          <w:szCs w:val="24"/>
          <w:lang w:val="en-US" w:eastAsia="zh-CN" w:bidi="ar-SA"/>
        </w:rPr>
        <w:t>及周边工业用切割气体的供应，及民用</w:t>
      </w:r>
      <w:r>
        <w:rPr>
          <w:rFonts w:hint="default" w:ascii="Times New Roman" w:hAnsi="Times New Roman" w:eastAsia="宋体" w:cs="Times New Roman"/>
          <w:color w:val="auto"/>
          <w:kern w:val="2"/>
          <w:sz w:val="24"/>
          <w:szCs w:val="24"/>
          <w:lang w:val="en-US" w:eastAsia="zh-CN" w:bidi="ar-SA"/>
        </w:rPr>
        <w:t>液化石油气市场健康发展，着眼新时代城市功能定位，实现长远、有效管控城市运行风险，遏制</w:t>
      </w:r>
      <w:r>
        <w:rPr>
          <w:rFonts w:hint="default" w:ascii="Times New Roman" w:hAnsi="Times New Roman" w:cs="Times New Roman"/>
          <w:color w:val="auto"/>
          <w:kern w:val="2"/>
          <w:sz w:val="24"/>
          <w:szCs w:val="24"/>
          <w:lang w:val="en-US" w:eastAsia="zh-CN" w:bidi="ar-SA"/>
        </w:rPr>
        <w:t>工业可燃</w:t>
      </w:r>
      <w:r>
        <w:rPr>
          <w:rFonts w:hint="default" w:ascii="Times New Roman" w:hAnsi="Times New Roman" w:eastAsia="宋体" w:cs="Times New Roman"/>
          <w:color w:val="auto"/>
          <w:kern w:val="2"/>
          <w:sz w:val="24"/>
          <w:szCs w:val="24"/>
          <w:lang w:val="en-US" w:eastAsia="zh-CN" w:bidi="ar-SA"/>
        </w:rPr>
        <w:t>气事故，</w:t>
      </w:r>
      <w:r>
        <w:rPr>
          <w:rFonts w:hint="default" w:ascii="Times New Roman" w:hAnsi="Times New Roman" w:cs="Times New Roman"/>
          <w:color w:val="auto"/>
          <w:kern w:val="2"/>
          <w:sz w:val="24"/>
          <w:szCs w:val="24"/>
          <w:lang w:val="en-US" w:eastAsia="zh-CN" w:bidi="ar-SA"/>
        </w:rPr>
        <w:t>推动园区周边工业用气</w:t>
      </w:r>
      <w:r>
        <w:rPr>
          <w:rFonts w:hint="default" w:ascii="Times New Roman" w:hAnsi="Times New Roman" w:eastAsia="宋体" w:cs="Times New Roman"/>
          <w:color w:val="auto"/>
          <w:kern w:val="2"/>
          <w:sz w:val="24"/>
          <w:szCs w:val="24"/>
          <w:lang w:val="en-US" w:eastAsia="zh-CN" w:bidi="ar-SA"/>
        </w:rPr>
        <w:t>集约化经营、智能信息化发展，</w:t>
      </w:r>
      <w:r>
        <w:rPr>
          <w:rFonts w:hint="default" w:ascii="Times New Roman" w:hAnsi="Times New Roman" w:cs="Times New Roman"/>
          <w:color w:val="auto"/>
          <w:kern w:val="2"/>
          <w:sz w:val="24"/>
          <w:szCs w:val="24"/>
          <w:lang w:val="en-US" w:eastAsia="zh-CN" w:bidi="ar-SA"/>
        </w:rPr>
        <w:t>东方神气</w:t>
      </w:r>
      <w:r>
        <w:rPr>
          <w:rFonts w:hint="default" w:ascii="Times New Roman" w:hAnsi="Times New Roman" w:eastAsia="宋体" w:cs="Times New Roman"/>
          <w:color w:val="auto"/>
          <w:kern w:val="2"/>
          <w:sz w:val="24"/>
          <w:szCs w:val="24"/>
          <w:lang w:val="en-US" w:eastAsia="zh-CN" w:bidi="ar-SA"/>
        </w:rPr>
        <w:t>拟在</w:t>
      </w:r>
      <w:r>
        <w:rPr>
          <w:rFonts w:hint="default" w:ascii="Times New Roman" w:hAnsi="Times New Roman" w:eastAsia="宋体" w:cs="Times New Roman"/>
          <w:color w:val="0000FF"/>
          <w:kern w:val="0"/>
          <w:sz w:val="24"/>
          <w:szCs w:val="24"/>
          <w:shd w:val="clear" w:color="auto" w:fill="auto"/>
          <w:lang w:val="en-US" w:eastAsia="zh-CN"/>
        </w:rPr>
        <w:t>内蒙古包头九原工业园区—新材料产业园</w:t>
      </w:r>
      <w:r>
        <w:rPr>
          <w:rFonts w:hint="default" w:ascii="Times New Roman" w:hAnsi="Times New Roman" w:cs="Times New Roman"/>
          <w:b w:val="0"/>
          <w:bCs w:val="0"/>
          <w:sz w:val="24"/>
          <w:lang w:val="en-US" w:eastAsia="zh-CN"/>
        </w:rPr>
        <w:t>新型化工及高分子材料产业区</w:t>
      </w:r>
      <w:r>
        <w:rPr>
          <w:rFonts w:hint="default" w:ascii="Times New Roman" w:hAnsi="Times New Roman" w:eastAsia="宋体" w:cs="Times New Roman"/>
          <w:color w:val="auto"/>
          <w:kern w:val="2"/>
          <w:sz w:val="24"/>
          <w:szCs w:val="24"/>
          <w:lang w:val="en-US" w:eastAsia="zh-CN" w:bidi="ar-SA"/>
        </w:rPr>
        <w:t>建设“民用燃气和工业丙烷以及新型高性能切割气体生产项目”（以下简称“本项目”）。本项目建设完成后，可为园区内及周边企业集中提供</w:t>
      </w:r>
      <w:r>
        <w:rPr>
          <w:rFonts w:hint="default" w:ascii="Times New Roman" w:hAnsi="Times New Roman" w:cs="Times New Roman"/>
          <w:color w:val="auto"/>
          <w:kern w:val="2"/>
          <w:sz w:val="24"/>
          <w:szCs w:val="24"/>
          <w:lang w:val="en-US" w:eastAsia="zh-CN" w:bidi="ar-SA"/>
        </w:rPr>
        <w:t>改性</w:t>
      </w:r>
      <w:r>
        <w:rPr>
          <w:rFonts w:hint="default" w:ascii="Times New Roman" w:hAnsi="Times New Roman" w:eastAsia="宋体" w:cs="Times New Roman"/>
          <w:color w:val="auto"/>
          <w:kern w:val="2"/>
          <w:sz w:val="24"/>
          <w:szCs w:val="24"/>
          <w:lang w:val="en-US" w:eastAsia="zh-CN" w:bidi="ar-SA"/>
        </w:rPr>
        <w:t>丙烷、氧气、氮气、氩气、二氧化碳气体，同时兼顾部分民用LPG气体的供应。为园区工业生产用气提供便利，并减少气体分散输送的风险。</w:t>
      </w:r>
    </w:p>
    <w:p w14:paraId="08E80A3E">
      <w:pPr>
        <w:spacing w:line="360" w:lineRule="auto"/>
        <w:ind w:firstLine="504" w:firstLineChars="200"/>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本项目</w:t>
      </w:r>
      <w:r>
        <w:rPr>
          <w:rFonts w:hint="default" w:ascii="Times New Roman" w:hAnsi="Times New Roman" w:eastAsia="宋体" w:cs="Times New Roman"/>
          <w:sz w:val="24"/>
          <w:lang w:val="en-US" w:eastAsia="zh-CN"/>
        </w:rPr>
        <w:t>建设（民用）</w:t>
      </w:r>
      <w:r>
        <w:rPr>
          <w:rFonts w:hint="default" w:ascii="Times New Roman" w:hAnsi="Times New Roman" w:eastAsia="宋体" w:cs="Times New Roman"/>
          <w:color w:val="auto"/>
          <w:spacing w:val="6"/>
          <w:kern w:val="0"/>
          <w:sz w:val="24"/>
          <w:szCs w:val="24"/>
          <w:lang w:val="en-US" w:eastAsia="zh-CN" w:bidi="ar-SA"/>
        </w:rPr>
        <w:t>液化石油气（</w:t>
      </w:r>
      <w:r>
        <w:rPr>
          <w:rFonts w:hint="default" w:ascii="Times New Roman" w:hAnsi="Times New Roman" w:eastAsia="宋体" w:cs="Times New Roman"/>
          <w:sz w:val="24"/>
        </w:rPr>
        <w:t>LPG</w:t>
      </w:r>
      <w:r>
        <w:rPr>
          <w:rFonts w:hint="default" w:ascii="Times New Roman" w:hAnsi="Times New Roman" w:eastAsia="宋体" w:cs="Times New Roman"/>
          <w:color w:val="auto"/>
          <w:spacing w:val="6"/>
          <w:kern w:val="0"/>
          <w:sz w:val="24"/>
          <w:szCs w:val="24"/>
          <w:lang w:val="en-US" w:eastAsia="zh-CN" w:bidi="ar-SA"/>
        </w:rPr>
        <w:t>）</w:t>
      </w:r>
      <w:r>
        <w:rPr>
          <w:rFonts w:hint="default" w:ascii="Times New Roman" w:hAnsi="Times New Roman" w:eastAsia="宋体" w:cs="Times New Roman"/>
          <w:sz w:val="24"/>
        </w:rPr>
        <w:t>灌装区：</w:t>
      </w:r>
      <w:r>
        <w:rPr>
          <w:rFonts w:hint="default" w:ascii="Times New Roman" w:hAnsi="Times New Roman" w:eastAsia="宋体" w:cs="Times New Roman"/>
          <w:sz w:val="24"/>
          <w:lang w:val="en-US" w:eastAsia="zh-CN"/>
        </w:rPr>
        <w:t>包括</w:t>
      </w:r>
      <w:r>
        <w:rPr>
          <w:rFonts w:hint="default" w:ascii="Times New Roman" w:hAnsi="Times New Roman" w:eastAsia="宋体" w:cs="Times New Roman"/>
          <w:sz w:val="24"/>
        </w:rPr>
        <w:t>LPG储罐区、LPG灌瓶间</w:t>
      </w:r>
      <w:r>
        <w:rPr>
          <w:rFonts w:hint="default" w:ascii="Times New Roman" w:hAnsi="Times New Roman" w:eastAsia="宋体" w:cs="Times New Roman"/>
          <w:sz w:val="24"/>
          <w:lang w:val="en-US" w:eastAsia="zh-CN"/>
        </w:rPr>
        <w:t>1座</w:t>
      </w:r>
      <w:r>
        <w:rPr>
          <w:rFonts w:hint="default" w:ascii="Times New Roman" w:hAnsi="Times New Roman" w:eastAsia="宋体" w:cs="Times New Roman"/>
          <w:sz w:val="24"/>
        </w:rPr>
        <w:t>（含压缩机房）和LPG卸车台</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其中LPG储罐区</w:t>
      </w:r>
      <w:r>
        <w:rPr>
          <w:rFonts w:hint="default" w:ascii="Times New Roman" w:hAnsi="Times New Roman" w:eastAsia="宋体" w:cs="Times New Roman"/>
          <w:color w:val="auto"/>
          <w:spacing w:val="6"/>
          <w:kern w:val="0"/>
          <w:sz w:val="24"/>
          <w:szCs w:val="24"/>
          <w:lang w:val="en-US" w:eastAsia="zh-CN" w:bidi="ar-SA"/>
        </w:rPr>
        <w:t>设置3个50m</w:t>
      </w:r>
      <w:r>
        <w:rPr>
          <w:rFonts w:hint="default" w:ascii="Times New Roman" w:hAnsi="Times New Roman" w:eastAsia="宋体" w:cs="Times New Roman"/>
          <w:color w:val="auto"/>
          <w:spacing w:val="6"/>
          <w:kern w:val="0"/>
          <w:sz w:val="24"/>
          <w:szCs w:val="24"/>
          <w:vertAlign w:val="superscript"/>
          <w:lang w:val="en-US" w:eastAsia="zh-CN" w:bidi="ar-SA"/>
        </w:rPr>
        <w:t>3</w:t>
      </w:r>
      <w:r>
        <w:rPr>
          <w:rFonts w:hint="default" w:ascii="Times New Roman" w:hAnsi="Times New Roman" w:eastAsia="宋体" w:cs="Times New Roman"/>
          <w:color w:val="auto"/>
          <w:spacing w:val="6"/>
          <w:kern w:val="0"/>
          <w:sz w:val="24"/>
          <w:szCs w:val="24"/>
          <w:lang w:val="en-US" w:eastAsia="zh-CN" w:bidi="ar-SA"/>
        </w:rPr>
        <w:t>的地下储罐</w:t>
      </w:r>
      <w:r>
        <w:rPr>
          <w:rFonts w:hint="default" w:ascii="Times New Roman" w:hAnsi="Times New Roman" w:cs="Times New Roman"/>
          <w:color w:val="auto"/>
          <w:spacing w:val="6"/>
          <w:kern w:val="0"/>
          <w:sz w:val="24"/>
          <w:szCs w:val="24"/>
          <w:lang w:val="en-US" w:eastAsia="zh-CN" w:bidi="ar-SA"/>
        </w:rPr>
        <w:t>（</w:t>
      </w:r>
      <w:r>
        <w:rPr>
          <w:rFonts w:hint="default" w:ascii="Times New Roman" w:hAnsi="Times New Roman" w:eastAsia="宋体" w:cs="Times New Roman"/>
          <w:color w:val="auto"/>
          <w:spacing w:val="6"/>
          <w:kern w:val="0"/>
          <w:sz w:val="24"/>
          <w:szCs w:val="24"/>
          <w:lang w:val="en-US" w:eastAsia="zh-CN" w:bidi="ar-SA"/>
        </w:rPr>
        <w:t>LPG储罐</w:t>
      </w:r>
      <w:r>
        <w:rPr>
          <w:rFonts w:hint="eastAsia" w:cs="Times New Roman"/>
          <w:color w:val="auto"/>
          <w:spacing w:val="6"/>
          <w:kern w:val="0"/>
          <w:sz w:val="24"/>
          <w:szCs w:val="24"/>
          <w:lang w:val="en-US" w:eastAsia="zh-CN" w:bidi="ar-SA"/>
        </w:rPr>
        <w:t>2用1备</w:t>
      </w:r>
      <w:r>
        <w:rPr>
          <w:rFonts w:hint="default" w:ascii="Times New Roman" w:hAnsi="Times New Roman" w:cs="Times New Roman"/>
          <w:color w:val="auto"/>
          <w:spacing w:val="6"/>
          <w:kern w:val="0"/>
          <w:sz w:val="24"/>
          <w:szCs w:val="24"/>
          <w:lang w:val="en-US" w:eastAsia="zh-CN" w:bidi="ar-SA"/>
        </w:rPr>
        <w:t>）</w:t>
      </w:r>
      <w:r>
        <w:rPr>
          <w:rFonts w:hint="default" w:ascii="Times New Roman" w:hAnsi="Times New Roman" w:eastAsia="宋体" w:cs="Times New Roman"/>
          <w:color w:val="auto"/>
          <w:spacing w:val="6"/>
          <w:kern w:val="0"/>
          <w:sz w:val="24"/>
          <w:szCs w:val="24"/>
          <w:lang w:val="en-US" w:eastAsia="zh-CN" w:bidi="ar-SA"/>
        </w:rPr>
        <w:t>；</w:t>
      </w:r>
      <w:r>
        <w:rPr>
          <w:rFonts w:hint="default" w:ascii="Times New Roman" w:hAnsi="Times New Roman" w:cs="Times New Roman"/>
          <w:color w:val="auto"/>
          <w:spacing w:val="6"/>
          <w:kern w:val="0"/>
          <w:sz w:val="24"/>
          <w:szCs w:val="24"/>
          <w:lang w:val="en-US" w:eastAsia="zh-CN" w:bidi="ar-SA"/>
        </w:rPr>
        <w:t>改性</w:t>
      </w:r>
      <w:r>
        <w:rPr>
          <w:rFonts w:hint="default" w:ascii="Times New Roman" w:hAnsi="Times New Roman" w:eastAsia="宋体" w:cs="Times New Roman"/>
          <w:sz w:val="24"/>
        </w:rPr>
        <w:t>丙烷灌装区：</w:t>
      </w:r>
      <w:r>
        <w:rPr>
          <w:rFonts w:hint="default" w:ascii="Times New Roman" w:hAnsi="Times New Roman" w:eastAsia="宋体" w:cs="Times New Roman"/>
          <w:sz w:val="24"/>
          <w:lang w:val="en-US" w:eastAsia="zh-CN"/>
        </w:rPr>
        <w:t>包括</w:t>
      </w:r>
      <w:r>
        <w:rPr>
          <w:rFonts w:hint="default" w:ascii="Times New Roman" w:hAnsi="Times New Roman" w:eastAsia="宋体" w:cs="Times New Roman"/>
          <w:sz w:val="24"/>
        </w:rPr>
        <w:t>丙烷罐区</w:t>
      </w:r>
      <w:r>
        <w:rPr>
          <w:rFonts w:hint="default" w:ascii="Times New Roman" w:hAnsi="Times New Roman" w:cs="Times New Roman"/>
          <w:sz w:val="24"/>
          <w:lang w:eastAsia="zh-CN"/>
        </w:rPr>
        <w:t>、</w:t>
      </w:r>
      <w:r>
        <w:rPr>
          <w:rFonts w:hint="default" w:ascii="Times New Roman" w:hAnsi="Times New Roman" w:eastAsia="宋体" w:cs="Times New Roman"/>
          <w:sz w:val="24"/>
        </w:rPr>
        <w:t>丙烷灌瓶间</w:t>
      </w:r>
      <w:r>
        <w:rPr>
          <w:rFonts w:hint="default" w:ascii="Times New Roman" w:hAnsi="Times New Roman" w:eastAsia="宋体" w:cs="Times New Roman"/>
          <w:sz w:val="24"/>
          <w:lang w:val="en-US" w:eastAsia="zh-CN"/>
        </w:rPr>
        <w:t>1座</w:t>
      </w:r>
      <w:r>
        <w:rPr>
          <w:rFonts w:hint="default" w:ascii="Times New Roman" w:hAnsi="Times New Roman" w:cs="Times New Roman"/>
          <w:sz w:val="24"/>
          <w:lang w:val="en-US" w:eastAsia="zh-CN"/>
        </w:rPr>
        <w:t>（含压缩机房），卸车台与LPG公用，</w:t>
      </w:r>
      <w:r>
        <w:rPr>
          <w:rFonts w:hint="default" w:ascii="Times New Roman" w:hAnsi="Times New Roman" w:eastAsia="宋体" w:cs="Times New Roman"/>
          <w:sz w:val="24"/>
          <w:lang w:val="en-US" w:eastAsia="zh-CN"/>
        </w:rPr>
        <w:t>其中丙烷储罐区</w:t>
      </w:r>
      <w:r>
        <w:rPr>
          <w:rFonts w:hint="default" w:ascii="Times New Roman" w:hAnsi="Times New Roman" w:eastAsia="宋体" w:cs="Times New Roman"/>
          <w:color w:val="auto"/>
          <w:spacing w:val="6"/>
          <w:kern w:val="0"/>
          <w:sz w:val="24"/>
          <w:szCs w:val="24"/>
          <w:lang w:val="en-US" w:eastAsia="zh-CN" w:bidi="ar-SA"/>
        </w:rPr>
        <w:t>设置3个50m</w:t>
      </w:r>
      <w:r>
        <w:rPr>
          <w:rFonts w:hint="default" w:ascii="Times New Roman" w:hAnsi="Times New Roman" w:eastAsia="宋体" w:cs="Times New Roman"/>
          <w:color w:val="auto"/>
          <w:spacing w:val="6"/>
          <w:kern w:val="0"/>
          <w:sz w:val="24"/>
          <w:szCs w:val="24"/>
          <w:vertAlign w:val="superscript"/>
          <w:lang w:val="en-US" w:eastAsia="zh-CN" w:bidi="ar-SA"/>
        </w:rPr>
        <w:t>3</w:t>
      </w:r>
      <w:r>
        <w:rPr>
          <w:rFonts w:hint="default" w:ascii="Times New Roman" w:hAnsi="Times New Roman" w:eastAsia="宋体" w:cs="Times New Roman"/>
          <w:color w:val="auto"/>
          <w:spacing w:val="6"/>
          <w:kern w:val="0"/>
          <w:sz w:val="24"/>
          <w:szCs w:val="24"/>
          <w:lang w:val="en-US" w:eastAsia="zh-CN" w:bidi="ar-SA"/>
        </w:rPr>
        <w:t>的地下储罐</w:t>
      </w:r>
      <w:r>
        <w:rPr>
          <w:rFonts w:hint="default" w:ascii="Times New Roman" w:hAnsi="Times New Roman" w:cs="Times New Roman"/>
          <w:color w:val="auto"/>
          <w:spacing w:val="6"/>
          <w:kern w:val="0"/>
          <w:sz w:val="24"/>
          <w:szCs w:val="24"/>
          <w:lang w:val="en-US" w:eastAsia="zh-CN" w:bidi="ar-SA"/>
        </w:rPr>
        <w:t>（</w:t>
      </w:r>
      <w:r>
        <w:rPr>
          <w:rFonts w:hint="default" w:ascii="Times New Roman" w:hAnsi="Times New Roman" w:cs="Times New Roman"/>
          <w:sz w:val="24"/>
          <w:lang w:val="en-US" w:eastAsia="zh-CN"/>
        </w:rPr>
        <w:t>2用1备</w:t>
      </w:r>
      <w:r>
        <w:rPr>
          <w:rFonts w:hint="default" w:ascii="Times New Roman" w:hAnsi="Times New Roman" w:cs="Times New Roman"/>
          <w:color w:val="auto"/>
          <w:spacing w:val="6"/>
          <w:kern w:val="0"/>
          <w:sz w:val="24"/>
          <w:szCs w:val="24"/>
          <w:lang w:val="en-US" w:eastAsia="zh-CN" w:bidi="ar-SA"/>
        </w:rPr>
        <w:t>）</w:t>
      </w:r>
      <w:r>
        <w:rPr>
          <w:rFonts w:hint="default" w:ascii="Times New Roman" w:hAnsi="Times New Roman" w:eastAsia="宋体" w:cs="Times New Roman"/>
          <w:color w:val="auto"/>
          <w:spacing w:val="6"/>
          <w:kern w:val="0"/>
          <w:sz w:val="24"/>
          <w:szCs w:val="24"/>
          <w:lang w:val="en-US" w:eastAsia="zh-CN" w:bidi="ar-SA"/>
        </w:rPr>
        <w:t>。根据分析，本项目LPG的最大储存量为46.40t，总储存量超过LPG的临界量10t；液体丙烷的最大储存量为40.56t，总储存量超过丙烷的临界量10t。</w:t>
      </w:r>
    </w:p>
    <w:p w14:paraId="1B623FC6">
      <w:pPr>
        <w:spacing w:line="360" w:lineRule="auto"/>
        <w:ind w:firstLine="504" w:firstLineChars="200"/>
        <w:rPr>
          <w:rFonts w:hint="default" w:ascii="Times New Roman" w:hAnsi="Times New Roman" w:eastAsia="宋体" w:cs="Times New Roman"/>
          <w:color w:val="auto"/>
          <w:spacing w:val="6"/>
          <w:kern w:val="0"/>
          <w:sz w:val="24"/>
          <w:szCs w:val="24"/>
          <w:lang w:val="en-US" w:eastAsia="zh-CN" w:bidi="ar-SA"/>
        </w:rPr>
        <w:sectPr>
          <w:footerReference r:id="rId10"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start="1"/>
          <w:cols w:space="720" w:num="1"/>
          <w:docGrid w:type="lines" w:linePitch="312" w:charSpace="0"/>
        </w:sectPr>
      </w:pPr>
      <w:r>
        <w:rPr>
          <w:rFonts w:hint="default" w:ascii="Times New Roman" w:hAnsi="Times New Roman" w:eastAsia="宋体" w:cs="Times New Roman"/>
          <w:color w:val="auto"/>
          <w:spacing w:val="6"/>
          <w:kern w:val="0"/>
          <w:sz w:val="24"/>
          <w:szCs w:val="24"/>
          <w:lang w:val="en-US" w:eastAsia="zh-CN" w:bidi="ar-SA"/>
        </w:rPr>
        <w:t>因此，根据《建设项目环境影响报告表编制技术指南》（污染影响类）（试行），本项目需开展风险专项评价。</w:t>
      </w:r>
    </w:p>
    <w:p w14:paraId="559EC3D8">
      <w:pPr>
        <w:keepNext w:val="0"/>
        <w:keepLines w:val="0"/>
        <w:pageBreakBefore w:val="0"/>
        <w:widowControl w:val="0"/>
        <w:numPr>
          <w:ilvl w:val="0"/>
          <w:numId w:val="3"/>
        </w:numPr>
        <w:tabs>
          <w:tab w:val="left" w:pos="942"/>
        </w:tabs>
        <w:kinsoku/>
        <w:wordWrap/>
        <w:overflowPunct/>
        <w:topLinePunct w:val="0"/>
        <w:autoSpaceDE/>
        <w:autoSpaceDN/>
        <w:bidi w:val="0"/>
        <w:adjustRightInd/>
        <w:snapToGrid w:val="0"/>
        <w:spacing w:before="50" w:beforeLines="50" w:after="50" w:afterLines="50" w:line="360" w:lineRule="auto"/>
        <w:ind w:left="941" w:leftChars="0" w:hanging="431" w:firstLineChars="0"/>
        <w:jc w:val="both"/>
        <w:textAlignment w:val="auto"/>
        <w:outlineLvl w:val="0"/>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总则</w:t>
      </w:r>
    </w:p>
    <w:p w14:paraId="7B5C81F1">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编制依据</w:t>
      </w:r>
    </w:p>
    <w:p w14:paraId="0273597C">
      <w:pPr>
        <w:widowControl w:val="0"/>
        <w:numPr>
          <w:ilvl w:val="0"/>
          <w:numId w:val="15"/>
        </w:numPr>
        <w:adjustRightInd/>
        <w:snapToGrid/>
        <w:spacing w:line="360" w:lineRule="auto"/>
        <w:ind w:firstLine="480" w:firstLineChars="200"/>
        <w:jc w:val="both"/>
        <w:rPr>
          <w:rFonts w:cs="Times New Roman"/>
          <w:color w:val="0000FF"/>
          <w:kern w:val="2"/>
          <w:sz w:val="24"/>
          <w:szCs w:val="24"/>
        </w:rPr>
      </w:pPr>
      <w:r>
        <w:rPr>
          <w:rFonts w:cs="Times New Roman"/>
          <w:color w:val="0000FF"/>
          <w:kern w:val="2"/>
          <w:sz w:val="24"/>
          <w:szCs w:val="24"/>
        </w:rPr>
        <w:t>《中华人民共和国环境保护法》（2015年1月1日施行）；</w:t>
      </w:r>
    </w:p>
    <w:p w14:paraId="74EB7BCF">
      <w:pPr>
        <w:widowControl w:val="0"/>
        <w:numPr>
          <w:ilvl w:val="0"/>
          <w:numId w:val="15"/>
        </w:numPr>
        <w:adjustRightInd/>
        <w:snapToGrid/>
        <w:spacing w:line="360" w:lineRule="auto"/>
        <w:ind w:firstLine="480" w:firstLineChars="200"/>
        <w:jc w:val="both"/>
        <w:rPr>
          <w:rFonts w:cs="Times New Roman"/>
          <w:color w:val="0000FF"/>
          <w:kern w:val="2"/>
          <w:sz w:val="24"/>
          <w:szCs w:val="24"/>
        </w:rPr>
      </w:pPr>
      <w:r>
        <w:rPr>
          <w:rFonts w:cs="Times New Roman"/>
          <w:color w:val="0000FF"/>
          <w:kern w:val="2"/>
          <w:sz w:val="24"/>
          <w:szCs w:val="24"/>
        </w:rPr>
        <w:t>《中华人民共和国环境影响评价法》（2018年12月29日施行）；</w:t>
      </w:r>
    </w:p>
    <w:p w14:paraId="278A82D5">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hint="default" w:cs="Times New Roman"/>
          <w:color w:val="0000FF"/>
          <w:kern w:val="2"/>
          <w:sz w:val="24"/>
          <w:szCs w:val="24"/>
          <w:lang w:val="en-US" w:eastAsia="zh-CN"/>
        </w:rPr>
        <w:t>《危险化学品安全管理条例》（2011年国务院令第592号）；</w:t>
      </w:r>
    </w:p>
    <w:p w14:paraId="0A0266E3">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hint="default" w:cs="Times New Roman"/>
          <w:color w:val="0000FF"/>
          <w:kern w:val="2"/>
          <w:sz w:val="24"/>
          <w:szCs w:val="24"/>
          <w:lang w:val="en-US" w:eastAsia="zh-CN"/>
        </w:rPr>
        <w:t>《国家危险废物名录》（2025年版）；</w:t>
      </w:r>
    </w:p>
    <w:p w14:paraId="283ED9FE">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hint="default" w:cs="Times New Roman"/>
          <w:color w:val="0000FF"/>
          <w:kern w:val="2"/>
          <w:sz w:val="24"/>
          <w:szCs w:val="24"/>
          <w:lang w:val="en-US" w:eastAsia="zh-CN"/>
        </w:rPr>
        <w:t>《关于进一步加强环境影响评价管理防范环境风险的通知》（环发[2012]77号）；</w:t>
      </w:r>
    </w:p>
    <w:p w14:paraId="6F929CDC">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cs="Times New Roman"/>
          <w:color w:val="0000FF"/>
          <w:kern w:val="2"/>
          <w:sz w:val="24"/>
          <w:szCs w:val="24"/>
        </w:rPr>
        <w:t>《建设项目危险废物环境影响评价指南》（2017年10月1日起施行）；</w:t>
      </w:r>
    </w:p>
    <w:p w14:paraId="57BCE30E">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hint="default" w:cs="Times New Roman"/>
          <w:color w:val="0000FF"/>
          <w:kern w:val="2"/>
          <w:sz w:val="24"/>
          <w:szCs w:val="24"/>
          <w:lang w:val="en-US" w:eastAsia="zh-CN"/>
        </w:rPr>
        <w:t>《关于提升危险废物环境监管能力、利用处置能力和环境风险防范能力的指导意见》（环固体〔2019〕92号）。</w:t>
      </w:r>
    </w:p>
    <w:p w14:paraId="5857C7E8">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hint="default" w:cs="Times New Roman"/>
          <w:color w:val="0000FF"/>
          <w:kern w:val="2"/>
          <w:sz w:val="24"/>
          <w:szCs w:val="24"/>
          <w:lang w:val="en-US" w:eastAsia="zh-CN"/>
        </w:rPr>
        <w:t>《建设项目环境风险评价技术导则》(HJ169-2018)</w:t>
      </w:r>
      <w:r>
        <w:rPr>
          <w:rFonts w:hint="eastAsia" w:cs="Times New Roman"/>
          <w:color w:val="0000FF"/>
          <w:kern w:val="2"/>
          <w:sz w:val="24"/>
          <w:szCs w:val="24"/>
          <w:lang w:val="en-US" w:eastAsia="zh-CN"/>
        </w:rPr>
        <w:t>；</w:t>
      </w:r>
    </w:p>
    <w:p w14:paraId="62D6BC46">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hint="default" w:cs="Times New Roman"/>
          <w:color w:val="0000FF"/>
          <w:kern w:val="2"/>
          <w:sz w:val="24"/>
          <w:szCs w:val="24"/>
          <w:lang w:val="en-US" w:eastAsia="zh-CN"/>
        </w:rPr>
        <w:t>《环境影响评价技术导则 地下水环境》(HJ610-2016)；</w:t>
      </w:r>
    </w:p>
    <w:p w14:paraId="27087038">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hint="default" w:cs="Times New Roman"/>
          <w:color w:val="0000FF"/>
          <w:kern w:val="2"/>
          <w:sz w:val="24"/>
          <w:szCs w:val="24"/>
          <w:lang w:val="it-IT" w:eastAsia="it-IT"/>
        </w:rPr>
        <w:t>《环境影响评价技术导则 大气环境》（HJ 2.2-2018）；</w:t>
      </w:r>
    </w:p>
    <w:p w14:paraId="7C5FD09A">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it-IT" w:eastAsia="it-IT"/>
        </w:rPr>
      </w:pPr>
      <w:r>
        <w:rPr>
          <w:rFonts w:hint="default" w:cs="Times New Roman"/>
          <w:color w:val="0000FF"/>
          <w:kern w:val="2"/>
          <w:sz w:val="24"/>
          <w:szCs w:val="24"/>
          <w:lang w:val="it-IT" w:eastAsia="it-IT"/>
        </w:rPr>
        <w:t>《环境影响评价技术导则 土壤环境（试行）》（HJ 964-2018）；</w:t>
      </w:r>
    </w:p>
    <w:p w14:paraId="5A145C62">
      <w:pPr>
        <w:widowControl w:val="0"/>
        <w:numPr>
          <w:ilvl w:val="0"/>
          <w:numId w:val="15"/>
        </w:numPr>
        <w:adjustRightInd/>
        <w:snapToGrid/>
        <w:spacing w:line="360" w:lineRule="auto"/>
        <w:ind w:firstLine="480" w:firstLineChars="200"/>
        <w:jc w:val="both"/>
        <w:rPr>
          <w:rFonts w:hint="default" w:cs="Times New Roman"/>
          <w:color w:val="0000FF"/>
          <w:kern w:val="2"/>
          <w:sz w:val="24"/>
          <w:szCs w:val="24"/>
          <w:lang w:val="en-US" w:eastAsia="zh-CN"/>
        </w:rPr>
      </w:pPr>
      <w:r>
        <w:rPr>
          <w:rFonts w:hint="default" w:cs="Times New Roman"/>
          <w:color w:val="0000FF"/>
          <w:kern w:val="2"/>
          <w:sz w:val="24"/>
          <w:szCs w:val="24"/>
          <w:lang w:val="it-IT" w:eastAsia="it-IT"/>
        </w:rPr>
        <w:t>《内蒙古包头九原工业园区-新材料产业园总体规划（2021-2030）环境影响报告书》</w:t>
      </w:r>
      <w:r>
        <w:rPr>
          <w:rFonts w:hint="eastAsia" w:cs="Times New Roman"/>
          <w:color w:val="0000FF"/>
          <w:kern w:val="2"/>
          <w:sz w:val="24"/>
          <w:szCs w:val="24"/>
          <w:lang w:val="en-US" w:eastAsia="zh-CN"/>
        </w:rPr>
        <w:t>及其</w:t>
      </w:r>
      <w:r>
        <w:rPr>
          <w:rFonts w:hint="default" w:cs="Times New Roman"/>
          <w:color w:val="0000FF"/>
          <w:kern w:val="2"/>
          <w:sz w:val="24"/>
          <w:szCs w:val="24"/>
          <w:lang w:val="it-IT" w:eastAsia="it-IT"/>
        </w:rPr>
        <w:t>审查意见（内环审[2023]29号）</w:t>
      </w:r>
      <w:r>
        <w:rPr>
          <w:rFonts w:hint="eastAsia" w:cs="Times New Roman"/>
          <w:color w:val="0000FF"/>
          <w:kern w:val="2"/>
          <w:sz w:val="24"/>
          <w:szCs w:val="24"/>
          <w:lang w:val="it-IT" w:eastAsia="zh-CN"/>
        </w:rPr>
        <w:t>。</w:t>
      </w:r>
    </w:p>
    <w:p w14:paraId="760B6A30">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评价目的和评价重点</w:t>
      </w:r>
      <w:r>
        <w:rPr>
          <w:rFonts w:hint="eastAsia" w:eastAsia="黑体" w:cs="Times New Roman"/>
          <w:b/>
          <w:color w:val="auto"/>
          <w:kern w:val="2"/>
          <w:sz w:val="28"/>
          <w:szCs w:val="24"/>
          <w:lang w:val="en-US" w:eastAsia="zh-CN" w:bidi="ar-SA"/>
        </w:rPr>
        <w:t xml:space="preserve">  </w:t>
      </w:r>
    </w:p>
    <w:p w14:paraId="34F78FD1">
      <w:pPr>
        <w:pStyle w:val="58"/>
        <w:keepNext w:val="0"/>
        <w:keepLines w:val="0"/>
        <w:pageBreakBefore w:val="0"/>
        <w:widowControl w:val="0"/>
        <w:kinsoku/>
        <w:wordWrap/>
        <w:overflowPunct/>
        <w:topLinePunct w:val="0"/>
        <w:autoSpaceDE/>
        <w:autoSpaceDN/>
        <w:bidi w:val="0"/>
        <w:adjustRightInd w:val="0"/>
        <w:snapToGrid w:val="0"/>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（1）环境风险评价的目的</w:t>
      </w:r>
    </w:p>
    <w:p w14:paraId="0A2CEF8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环境风险评价以突发性事故导致的危险物质环境急性损害防控为目标，对建设项目的环境风险进行分析、预测和评估，提出环境风险预防、控制、减缓措施，明确环境风险监控及应急建议要求，为建设项目环境风险防控提供科学依据，力求将建设项目的环境风险降至可防控水平。</w:t>
      </w:r>
    </w:p>
    <w:p w14:paraId="68CB0884">
      <w:pPr>
        <w:pStyle w:val="58"/>
        <w:keepNext w:val="0"/>
        <w:keepLines w:val="0"/>
        <w:pageBreakBefore w:val="0"/>
        <w:widowControl w:val="0"/>
        <w:kinsoku/>
        <w:wordWrap/>
        <w:overflowPunct/>
        <w:topLinePunct w:val="0"/>
        <w:autoSpaceDE/>
        <w:autoSpaceDN/>
        <w:bidi w:val="0"/>
        <w:adjustRightInd w:val="0"/>
        <w:snapToGrid w:val="0"/>
        <w:textAlignment w:val="baseline"/>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（2）环境风险评价的重点</w:t>
      </w:r>
    </w:p>
    <w:p w14:paraId="3E8FE89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分析本工程可能存在的环境风险，预测风险发生后可能影响的程度和范围，对本工程环境风险进行评估，并提出相应的风险防范和应急措施。</w:t>
      </w:r>
    </w:p>
    <w:p w14:paraId="17CF6984">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风险调查</w:t>
      </w:r>
    </w:p>
    <w:p w14:paraId="7E35482E">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8"/>
          <w:szCs w:val="24"/>
          <w:lang w:val="en-US" w:eastAsia="zh-CN" w:bidi="ar-SA"/>
        </w:rPr>
      </w:pPr>
      <w:r>
        <w:rPr>
          <w:rFonts w:hint="default" w:ascii="Times New Roman" w:hAnsi="Times New Roman" w:eastAsia="宋体" w:cs="Times New Roman"/>
          <w:b w:val="0"/>
          <w:color w:val="auto"/>
          <w:kern w:val="2"/>
          <w:sz w:val="28"/>
          <w:szCs w:val="24"/>
          <w:lang w:val="en-US" w:eastAsia="zh-CN" w:bidi="ar-SA"/>
        </w:rPr>
        <w:t>风险源调查</w:t>
      </w:r>
    </w:p>
    <w:p w14:paraId="6D62652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根据工程分析，本项目运行过程中投入、产出及生产过程中涉及的物料（物质）主要包括：①原料：液化石油气</w:t>
      </w:r>
      <w:r>
        <w:rPr>
          <w:rFonts w:hint="eastAsia" w:cs="Times New Roman"/>
          <w:color w:val="auto"/>
          <w:spacing w:val="6"/>
          <w:kern w:val="0"/>
          <w:sz w:val="24"/>
          <w:szCs w:val="24"/>
          <w:lang w:val="en-US" w:eastAsia="zh-CN" w:bidi="ar-SA"/>
        </w:rPr>
        <w:t>（LPG）</w:t>
      </w:r>
      <w:r>
        <w:rPr>
          <w:rFonts w:hint="default" w:ascii="Times New Roman" w:hAnsi="Times New Roman" w:eastAsia="宋体" w:cs="Times New Roman"/>
          <w:color w:val="auto"/>
          <w:spacing w:val="6"/>
          <w:kern w:val="0"/>
          <w:sz w:val="24"/>
          <w:szCs w:val="24"/>
          <w:lang w:val="en-US" w:eastAsia="zh-CN" w:bidi="ar-SA"/>
        </w:rPr>
        <w:t>、丙烷（液化）、氧气（液化）、氮气（液化）、氩气（液化）、二氧化碳气体（液化）、钢瓶</w:t>
      </w:r>
      <w:r>
        <w:rPr>
          <w:rFonts w:hint="eastAsia" w:cs="Times New Roman"/>
          <w:color w:val="auto"/>
          <w:spacing w:val="6"/>
          <w:kern w:val="0"/>
          <w:sz w:val="24"/>
          <w:szCs w:val="24"/>
          <w:lang w:val="en-US" w:eastAsia="zh-CN" w:bidi="ar-SA"/>
        </w:rPr>
        <w:t>（待检验）</w:t>
      </w:r>
      <w:r>
        <w:rPr>
          <w:rFonts w:hint="default" w:ascii="Times New Roman" w:hAnsi="Times New Roman" w:eastAsia="宋体" w:cs="Times New Roman"/>
          <w:color w:val="auto"/>
          <w:spacing w:val="6"/>
          <w:kern w:val="0"/>
          <w:sz w:val="24"/>
          <w:szCs w:val="24"/>
          <w:lang w:val="en-US" w:eastAsia="zh-CN" w:bidi="ar-SA"/>
        </w:rPr>
        <w:t>等；②辅料：丙烷增效剂（主要成分为</w:t>
      </w:r>
      <w:r>
        <w:rPr>
          <w:rFonts w:hint="default" w:ascii="Times New Roman" w:hAnsi="Times New Roman" w:cs="Times New Roman"/>
          <w:sz w:val="24"/>
          <w:szCs w:val="24"/>
          <w:lang w:val="en-US" w:eastAsia="zh-CN"/>
        </w:rPr>
        <w:t>丙烷、丁烷等</w:t>
      </w:r>
      <w:r>
        <w:rPr>
          <w:rFonts w:hint="default" w:ascii="Times New Roman" w:hAnsi="Times New Roman" w:eastAsia="宋体" w:cs="Times New Roman"/>
          <w:color w:val="auto"/>
          <w:spacing w:val="6"/>
          <w:kern w:val="0"/>
          <w:sz w:val="24"/>
          <w:szCs w:val="24"/>
          <w:lang w:val="en-US" w:eastAsia="zh-CN" w:bidi="ar-SA"/>
        </w:rPr>
        <w:t>）、消毒剂（乙醇溶液）、油墨（环己酮、溶剂等）、塑粉（聚酯粉末涂料）</w:t>
      </w:r>
      <w:r>
        <w:rPr>
          <w:rFonts w:hint="default" w:ascii="Times New Roman" w:hAnsi="Times New Roman" w:cs="Times New Roman"/>
          <w:color w:val="auto"/>
          <w:spacing w:val="6"/>
          <w:kern w:val="0"/>
          <w:sz w:val="24"/>
          <w:szCs w:val="24"/>
          <w:lang w:val="en-US" w:eastAsia="zh-CN" w:bidi="ar-SA"/>
        </w:rPr>
        <w:t>、钢丸</w:t>
      </w:r>
      <w:r>
        <w:rPr>
          <w:rFonts w:hint="default" w:ascii="Times New Roman" w:hAnsi="Times New Roman" w:eastAsia="宋体" w:cs="Times New Roman"/>
          <w:color w:val="auto"/>
          <w:spacing w:val="6"/>
          <w:kern w:val="0"/>
          <w:sz w:val="24"/>
          <w:szCs w:val="24"/>
          <w:lang w:val="en-US" w:eastAsia="zh-CN" w:bidi="ar-SA"/>
        </w:rPr>
        <w:t>等；③产品：液化石油气、改性丙烷（液化）、氧气（气化）、氮气（气化）、氩气（气化）、二氧化碳气体（气化）、钢瓶</w:t>
      </w:r>
      <w:r>
        <w:rPr>
          <w:rFonts w:hint="eastAsia" w:cs="Times New Roman"/>
          <w:color w:val="auto"/>
          <w:spacing w:val="6"/>
          <w:kern w:val="0"/>
          <w:sz w:val="24"/>
          <w:szCs w:val="24"/>
          <w:lang w:val="en-US" w:eastAsia="zh-CN" w:bidi="ar-SA"/>
        </w:rPr>
        <w:t>（检验合格）</w:t>
      </w:r>
      <w:r>
        <w:rPr>
          <w:rFonts w:hint="default" w:ascii="Times New Roman" w:hAnsi="Times New Roman" w:eastAsia="宋体" w:cs="Times New Roman"/>
          <w:color w:val="auto"/>
          <w:spacing w:val="6"/>
          <w:kern w:val="0"/>
          <w:sz w:val="24"/>
          <w:szCs w:val="24"/>
          <w:lang w:val="en-US" w:eastAsia="zh-CN" w:bidi="ar-SA"/>
        </w:rPr>
        <w:t>；④燃料：</w:t>
      </w:r>
      <w:r>
        <w:rPr>
          <w:rFonts w:hint="default" w:ascii="Times New Roman" w:hAnsi="Times New Roman" w:cs="Times New Roman"/>
          <w:color w:val="auto"/>
          <w:spacing w:val="6"/>
          <w:kern w:val="0"/>
          <w:sz w:val="24"/>
          <w:szCs w:val="24"/>
          <w:lang w:val="en-US" w:eastAsia="zh-CN" w:bidi="ar-SA"/>
        </w:rPr>
        <w:t>液化石油气</w:t>
      </w:r>
      <w:r>
        <w:rPr>
          <w:rFonts w:hint="default" w:ascii="Times New Roman" w:hAnsi="Times New Roman" w:eastAsia="宋体" w:cs="Times New Roman"/>
          <w:color w:val="auto"/>
          <w:spacing w:val="6"/>
          <w:kern w:val="0"/>
          <w:sz w:val="24"/>
          <w:szCs w:val="24"/>
          <w:lang w:val="en-US" w:eastAsia="zh-CN" w:bidi="ar-SA"/>
        </w:rPr>
        <w:t>。上述物质主要分布于罐区、库房、生产装置区及输送管道。</w:t>
      </w:r>
    </w:p>
    <w:p w14:paraId="1A27A01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“三废”涉及的物质主要包括：</w:t>
      </w:r>
    </w:p>
    <w:p w14:paraId="53EE16A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①废气：</w:t>
      </w:r>
    </w:p>
    <w:p w14:paraId="49615938">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eastAsia" w:ascii="Times New Roman" w:hAnsi="Times New Roman" w:eastAsia="宋体" w:cs="Times New Roman"/>
          <w:color w:val="auto"/>
          <w:spacing w:val="6"/>
          <w:kern w:val="0"/>
          <w:sz w:val="24"/>
          <w:szCs w:val="24"/>
          <w:lang w:val="en-US" w:eastAsia="zh-CN" w:bidi="ar-SA"/>
        </w:rPr>
        <w:t>液化石油气、丙烷</w:t>
      </w:r>
      <w:r>
        <w:rPr>
          <w:rFonts w:hint="default" w:ascii="Times New Roman" w:hAnsi="Times New Roman" w:eastAsia="宋体" w:cs="Times New Roman"/>
          <w:color w:val="auto"/>
          <w:spacing w:val="6"/>
          <w:kern w:val="0"/>
          <w:sz w:val="24"/>
          <w:szCs w:val="24"/>
          <w:lang w:val="en-US" w:eastAsia="zh-CN" w:bidi="ar-SA"/>
        </w:rPr>
        <w:t>卸车废气，主要污染物为非甲烷总烃</w:t>
      </w:r>
      <w:r>
        <w:rPr>
          <w:rFonts w:hint="eastAsia" w:cs="Times New Roman"/>
          <w:color w:val="auto"/>
          <w:spacing w:val="6"/>
          <w:kern w:val="0"/>
          <w:sz w:val="24"/>
          <w:szCs w:val="24"/>
          <w:lang w:val="en-US" w:eastAsia="zh-CN" w:bidi="ar-SA"/>
        </w:rPr>
        <w:t>、臭气浓度</w:t>
      </w:r>
      <w:r>
        <w:rPr>
          <w:rFonts w:hint="default" w:ascii="Times New Roman" w:hAnsi="Times New Roman" w:eastAsia="宋体" w:cs="Times New Roman"/>
          <w:color w:val="auto"/>
          <w:spacing w:val="6"/>
          <w:kern w:val="0"/>
          <w:sz w:val="24"/>
          <w:szCs w:val="24"/>
          <w:lang w:val="en-US" w:eastAsia="zh-CN" w:bidi="ar-SA"/>
        </w:rPr>
        <w:t>；</w:t>
      </w:r>
    </w:p>
    <w:p w14:paraId="18CC13B8">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eastAsia" w:ascii="Times New Roman" w:hAnsi="Times New Roman" w:eastAsia="宋体" w:cs="Times New Roman"/>
          <w:color w:val="auto"/>
          <w:spacing w:val="6"/>
          <w:kern w:val="0"/>
          <w:sz w:val="24"/>
          <w:szCs w:val="24"/>
          <w:lang w:val="en-US" w:eastAsia="zh-CN" w:bidi="ar-SA"/>
        </w:rPr>
        <w:t>液化石油气、丙烷</w:t>
      </w:r>
      <w:r>
        <w:rPr>
          <w:rFonts w:hint="default" w:ascii="Times New Roman" w:hAnsi="Times New Roman" w:eastAsia="宋体" w:cs="Times New Roman"/>
          <w:color w:val="auto"/>
          <w:spacing w:val="6"/>
          <w:kern w:val="0"/>
          <w:sz w:val="24"/>
          <w:szCs w:val="24"/>
          <w:lang w:val="en-US" w:eastAsia="zh-CN" w:bidi="ar-SA"/>
        </w:rPr>
        <w:t>储罐呼吸废气，主要污染物为非甲烷总烃</w:t>
      </w:r>
      <w:r>
        <w:rPr>
          <w:rFonts w:hint="eastAsia" w:cs="Times New Roman"/>
          <w:color w:val="auto"/>
          <w:spacing w:val="6"/>
          <w:kern w:val="0"/>
          <w:sz w:val="24"/>
          <w:szCs w:val="24"/>
          <w:lang w:val="en-US" w:eastAsia="zh-CN" w:bidi="ar-SA"/>
        </w:rPr>
        <w:t>、臭气浓度</w:t>
      </w:r>
      <w:r>
        <w:rPr>
          <w:rFonts w:hint="default" w:ascii="Times New Roman" w:hAnsi="Times New Roman" w:eastAsia="宋体" w:cs="Times New Roman"/>
          <w:color w:val="auto"/>
          <w:spacing w:val="6"/>
          <w:kern w:val="0"/>
          <w:sz w:val="24"/>
          <w:szCs w:val="24"/>
          <w:lang w:val="en-US" w:eastAsia="zh-CN" w:bidi="ar-SA"/>
        </w:rPr>
        <w:t>；</w:t>
      </w:r>
    </w:p>
    <w:p w14:paraId="7EF05AC8">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eastAsia" w:ascii="Times New Roman" w:hAnsi="Times New Roman" w:eastAsia="宋体" w:cs="Times New Roman"/>
          <w:color w:val="auto"/>
          <w:spacing w:val="6"/>
          <w:kern w:val="0"/>
          <w:sz w:val="24"/>
          <w:szCs w:val="24"/>
          <w:lang w:val="en-US" w:eastAsia="zh-CN" w:bidi="ar-SA"/>
        </w:rPr>
        <w:t>液化石油气、丙烷</w:t>
      </w:r>
      <w:r>
        <w:rPr>
          <w:rFonts w:hint="default" w:ascii="Times New Roman" w:hAnsi="Times New Roman" w:eastAsia="宋体" w:cs="Times New Roman"/>
          <w:color w:val="auto"/>
          <w:spacing w:val="6"/>
          <w:kern w:val="0"/>
          <w:sz w:val="24"/>
          <w:szCs w:val="24"/>
          <w:lang w:val="en-US" w:eastAsia="zh-CN" w:bidi="ar-SA"/>
        </w:rPr>
        <w:t>灌装废气，主要污染物为非甲烷总烃、臭气浓度；</w:t>
      </w:r>
    </w:p>
    <w:p w14:paraId="428C8455">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eastAsia" w:ascii="Times New Roman" w:hAnsi="Times New Roman" w:eastAsia="宋体" w:cs="Times New Roman"/>
          <w:color w:val="auto"/>
          <w:spacing w:val="6"/>
          <w:kern w:val="0"/>
          <w:sz w:val="24"/>
          <w:szCs w:val="24"/>
          <w:lang w:val="en-US" w:eastAsia="zh-CN" w:bidi="ar-SA"/>
        </w:rPr>
      </w:pPr>
      <w:r>
        <w:rPr>
          <w:rFonts w:hint="eastAsia" w:ascii="Times New Roman" w:hAnsi="Times New Roman" w:eastAsia="宋体" w:cs="Times New Roman"/>
          <w:color w:val="auto"/>
          <w:spacing w:val="6"/>
          <w:kern w:val="0"/>
          <w:sz w:val="24"/>
          <w:szCs w:val="24"/>
          <w:lang w:val="en-US" w:eastAsia="zh-CN" w:bidi="ar-SA"/>
        </w:rPr>
        <w:t>医用氧气瓶消毒废气，主要污染物为非甲烷总烃；</w:t>
      </w:r>
    </w:p>
    <w:p w14:paraId="6647323B">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管道及灌装设备</w:t>
      </w:r>
      <w:r>
        <w:rPr>
          <w:rFonts w:hint="eastAsia" w:ascii="Times New Roman" w:hAnsi="Times New Roman" w:eastAsia="宋体" w:cs="Times New Roman"/>
          <w:color w:val="auto"/>
          <w:spacing w:val="6"/>
          <w:kern w:val="0"/>
          <w:sz w:val="24"/>
          <w:szCs w:val="24"/>
          <w:lang w:val="en-US" w:eastAsia="zh-CN" w:bidi="ar-SA"/>
        </w:rPr>
        <w:t>逸散废气，主要污染物为非甲烷总烃</w:t>
      </w:r>
      <w:r>
        <w:rPr>
          <w:rFonts w:hint="eastAsia" w:cs="Times New Roman"/>
          <w:color w:val="auto"/>
          <w:spacing w:val="6"/>
          <w:kern w:val="0"/>
          <w:sz w:val="24"/>
          <w:szCs w:val="24"/>
          <w:lang w:val="en-US" w:eastAsia="zh-CN" w:bidi="ar-SA"/>
        </w:rPr>
        <w:t>、臭气浓度</w:t>
      </w:r>
      <w:r>
        <w:rPr>
          <w:rFonts w:hint="eastAsia" w:ascii="Times New Roman" w:hAnsi="Times New Roman" w:eastAsia="宋体" w:cs="Times New Roman"/>
          <w:color w:val="auto"/>
          <w:spacing w:val="6"/>
          <w:kern w:val="0"/>
          <w:sz w:val="24"/>
          <w:szCs w:val="24"/>
          <w:lang w:val="en-US" w:eastAsia="zh-CN" w:bidi="ar-SA"/>
        </w:rPr>
        <w:t>；</w:t>
      </w:r>
    </w:p>
    <w:p w14:paraId="306DC984">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钢瓶</w:t>
      </w:r>
      <w:r>
        <w:rPr>
          <w:rFonts w:hint="eastAsia" w:cs="Times New Roman"/>
          <w:color w:val="auto"/>
          <w:spacing w:val="6"/>
          <w:kern w:val="0"/>
          <w:sz w:val="24"/>
          <w:szCs w:val="24"/>
          <w:lang w:val="en-US" w:eastAsia="zh-CN" w:bidi="ar-SA"/>
        </w:rPr>
        <w:t>焚烧</w:t>
      </w:r>
      <w:r>
        <w:rPr>
          <w:rFonts w:hint="default" w:ascii="Times New Roman" w:hAnsi="Times New Roman" w:eastAsia="宋体" w:cs="Times New Roman"/>
          <w:color w:val="auto"/>
          <w:spacing w:val="6"/>
          <w:kern w:val="0"/>
          <w:sz w:val="24"/>
          <w:szCs w:val="24"/>
          <w:lang w:val="en-US" w:eastAsia="zh-CN" w:bidi="ar-SA"/>
        </w:rPr>
        <w:t>燃烧废气，主要污染物为颗粒物、二氧化硫、氮氧化物；</w:t>
      </w:r>
    </w:p>
    <w:p w14:paraId="30BACCCD">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抛丸废气，主要污染物为颗粒物；</w:t>
      </w:r>
    </w:p>
    <w:p w14:paraId="6EA17BD2">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喷塑废气，主要污染物为颗粒物；</w:t>
      </w:r>
    </w:p>
    <w:p w14:paraId="44DA7FE1">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eastAsia" w:cs="Times New Roman"/>
          <w:color w:val="auto"/>
          <w:spacing w:val="6"/>
          <w:kern w:val="0"/>
          <w:sz w:val="24"/>
          <w:szCs w:val="24"/>
          <w:lang w:val="en-US" w:eastAsia="zh-CN" w:bidi="ar-SA"/>
        </w:rPr>
        <w:t>收残、</w:t>
      </w:r>
      <w:r>
        <w:rPr>
          <w:rFonts w:hint="default" w:ascii="Times New Roman" w:hAnsi="Times New Roman" w:cs="Times New Roman"/>
          <w:color w:val="auto"/>
          <w:spacing w:val="6"/>
          <w:kern w:val="0"/>
          <w:sz w:val="24"/>
          <w:szCs w:val="24"/>
          <w:lang w:val="en-US" w:eastAsia="zh-CN" w:bidi="ar-SA"/>
        </w:rPr>
        <w:t>钢瓶卸阀</w:t>
      </w:r>
      <w:r>
        <w:rPr>
          <w:rFonts w:hint="default" w:ascii="Times New Roman" w:hAnsi="Times New Roman" w:eastAsia="宋体" w:cs="Times New Roman"/>
          <w:color w:val="auto"/>
          <w:spacing w:val="6"/>
          <w:kern w:val="0"/>
          <w:sz w:val="24"/>
          <w:szCs w:val="24"/>
          <w:lang w:val="en-US" w:eastAsia="zh-CN" w:bidi="ar-SA"/>
        </w:rPr>
        <w:t>废气，主要污染物为非甲烷总烃</w:t>
      </w:r>
      <w:r>
        <w:rPr>
          <w:rFonts w:hint="default" w:ascii="Times New Roman" w:hAnsi="Times New Roman" w:cs="Times New Roman"/>
          <w:color w:val="auto"/>
          <w:spacing w:val="6"/>
          <w:kern w:val="0"/>
          <w:sz w:val="24"/>
          <w:szCs w:val="24"/>
          <w:lang w:val="en-US" w:eastAsia="zh-CN" w:bidi="ar-SA"/>
        </w:rPr>
        <w:t>、臭气浓度</w:t>
      </w:r>
      <w:r>
        <w:rPr>
          <w:rFonts w:hint="default" w:ascii="Times New Roman" w:hAnsi="Times New Roman" w:eastAsia="宋体" w:cs="Times New Roman"/>
          <w:color w:val="auto"/>
          <w:spacing w:val="6"/>
          <w:kern w:val="0"/>
          <w:sz w:val="24"/>
          <w:szCs w:val="24"/>
          <w:lang w:val="en-US" w:eastAsia="zh-CN" w:bidi="ar-SA"/>
        </w:rPr>
        <w:t>；</w:t>
      </w:r>
    </w:p>
    <w:p w14:paraId="0F4B1152">
      <w:pPr>
        <w:keepNext w:val="0"/>
        <w:keepLines w:val="0"/>
        <w:pageBreakBefore w:val="0"/>
        <w:widowControl w:val="0"/>
        <w:numPr>
          <w:ilvl w:val="0"/>
          <w:numId w:val="16"/>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highlight w:val="none"/>
          <w:lang w:val="en-US" w:eastAsia="zh-CN" w:bidi="ar-SA"/>
        </w:rPr>
      </w:pPr>
      <w:r>
        <w:rPr>
          <w:rFonts w:hint="default" w:ascii="Times New Roman" w:hAnsi="Times New Roman" w:eastAsia="宋体" w:cs="Times New Roman"/>
          <w:color w:val="auto"/>
          <w:spacing w:val="6"/>
          <w:kern w:val="0"/>
          <w:sz w:val="24"/>
          <w:szCs w:val="24"/>
          <w:highlight w:val="none"/>
          <w:lang w:val="en-US" w:eastAsia="zh-CN" w:bidi="ar-SA"/>
        </w:rPr>
        <w:t>印字及固化废气，主要污染物为非甲烷总烃。</w:t>
      </w:r>
    </w:p>
    <w:p w14:paraId="6FF6D62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②废水：</w:t>
      </w:r>
    </w:p>
    <w:p w14:paraId="6EA39E1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外排废水主要为生活污水，主要污染物为COD、BOD</w:t>
      </w:r>
      <w:r>
        <w:rPr>
          <w:rFonts w:hint="default" w:ascii="Times New Roman" w:hAnsi="Times New Roman" w:eastAsia="宋体" w:cs="Times New Roman"/>
          <w:color w:val="auto"/>
          <w:spacing w:val="6"/>
          <w:kern w:val="0"/>
          <w:sz w:val="24"/>
          <w:szCs w:val="24"/>
          <w:vertAlign w:val="subscript"/>
          <w:lang w:val="en-US" w:eastAsia="zh-CN" w:bidi="ar-SA"/>
        </w:rPr>
        <w:t>5</w:t>
      </w:r>
      <w:r>
        <w:rPr>
          <w:rFonts w:hint="default" w:ascii="Times New Roman" w:hAnsi="Times New Roman" w:eastAsia="宋体" w:cs="Times New Roman"/>
          <w:color w:val="auto"/>
          <w:spacing w:val="6"/>
          <w:kern w:val="0"/>
          <w:sz w:val="24"/>
          <w:szCs w:val="24"/>
          <w:lang w:val="en-US" w:eastAsia="zh-CN" w:bidi="ar-SA"/>
        </w:rPr>
        <w:t>、SS、氨氮等。</w:t>
      </w:r>
    </w:p>
    <w:p w14:paraId="765B1E0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③固废：</w:t>
      </w:r>
      <w:r>
        <w:rPr>
          <w:rFonts w:hint="default" w:ascii="Times New Roman" w:hAnsi="Times New Roman" w:eastAsia="宋体" w:cs="Times New Roman"/>
          <w:bCs/>
          <w:snapToGrid w:val="0"/>
          <w:color w:val="auto"/>
          <w:kern w:val="0"/>
          <w:sz w:val="24"/>
          <w:szCs w:val="21"/>
          <w:lang w:val="en-US" w:eastAsia="zh-CN" w:bidi="ar-SA"/>
        </w:rPr>
        <w:t>废钢瓶、</w:t>
      </w:r>
      <w:r>
        <w:rPr>
          <w:rFonts w:hint="eastAsia" w:cs="Times New Roman"/>
          <w:bCs/>
          <w:snapToGrid w:val="0"/>
          <w:color w:val="auto"/>
          <w:kern w:val="0"/>
          <w:sz w:val="24"/>
          <w:szCs w:val="21"/>
          <w:lang w:val="en-US" w:eastAsia="zh-CN" w:bidi="ar-SA"/>
        </w:rPr>
        <w:t>焚烧</w:t>
      </w:r>
      <w:r>
        <w:rPr>
          <w:rFonts w:hint="default" w:ascii="Times New Roman" w:hAnsi="Times New Roman" w:eastAsia="宋体" w:cs="Times New Roman"/>
          <w:bCs/>
          <w:snapToGrid w:val="0"/>
          <w:color w:val="auto"/>
          <w:kern w:val="0"/>
          <w:sz w:val="24"/>
          <w:szCs w:val="21"/>
          <w:lang w:val="en-US" w:eastAsia="zh-CN" w:bidi="ar-SA"/>
        </w:rPr>
        <w:t>废渣、</w:t>
      </w:r>
      <w:r>
        <w:rPr>
          <w:rFonts w:hint="eastAsia" w:cs="Times New Roman"/>
          <w:bCs/>
          <w:snapToGrid w:val="0"/>
          <w:color w:val="auto"/>
          <w:kern w:val="0"/>
          <w:sz w:val="24"/>
          <w:szCs w:val="21"/>
          <w:lang w:val="en-US" w:eastAsia="zh-CN" w:bidi="ar-SA"/>
        </w:rPr>
        <w:t>水喷淋污泥、</w:t>
      </w:r>
      <w:r>
        <w:rPr>
          <w:rFonts w:hint="default" w:ascii="Times New Roman" w:hAnsi="Times New Roman" w:eastAsia="宋体" w:cs="Times New Roman"/>
          <w:bCs/>
          <w:snapToGrid w:val="0"/>
          <w:color w:val="auto"/>
          <w:kern w:val="0"/>
          <w:sz w:val="24"/>
          <w:szCs w:val="21"/>
          <w:lang w:val="en-US" w:eastAsia="zh-CN" w:bidi="ar-SA"/>
        </w:rPr>
        <w:t>废钢丸、</w:t>
      </w:r>
      <w:r>
        <w:rPr>
          <w:rFonts w:hint="eastAsia" w:cs="Times New Roman"/>
          <w:bCs/>
          <w:snapToGrid w:val="0"/>
          <w:color w:val="auto"/>
          <w:kern w:val="0"/>
          <w:sz w:val="24"/>
          <w:szCs w:val="21"/>
          <w:lang w:val="en-US" w:eastAsia="zh-CN" w:bidi="ar-SA"/>
        </w:rPr>
        <w:t>除尘灰、</w:t>
      </w:r>
      <w:r>
        <w:rPr>
          <w:rFonts w:hint="default" w:ascii="Times New Roman" w:hAnsi="Times New Roman" w:eastAsia="宋体" w:cs="Times New Roman"/>
          <w:bCs/>
          <w:snapToGrid w:val="0"/>
          <w:color w:val="auto"/>
          <w:kern w:val="0"/>
          <w:sz w:val="24"/>
          <w:szCs w:val="21"/>
          <w:lang w:val="en-US" w:eastAsia="zh-CN" w:bidi="ar-SA"/>
        </w:rPr>
        <w:t>废卸阀、废布袋（抛丸）、废滤芯（塑粉回收）、</w:t>
      </w:r>
      <w:r>
        <w:rPr>
          <w:rFonts w:hint="eastAsia" w:cs="Times New Roman"/>
          <w:bCs/>
          <w:snapToGrid w:val="0"/>
          <w:color w:val="auto"/>
          <w:kern w:val="0"/>
          <w:sz w:val="24"/>
          <w:szCs w:val="21"/>
          <w:lang w:val="en-US" w:eastAsia="zh-CN" w:bidi="ar-SA"/>
        </w:rPr>
        <w:t>一般废包材、</w:t>
      </w:r>
      <w:r>
        <w:rPr>
          <w:rFonts w:hint="default" w:ascii="Times New Roman" w:hAnsi="Times New Roman" w:eastAsia="宋体" w:cs="Times New Roman"/>
          <w:bCs/>
          <w:snapToGrid w:val="0"/>
          <w:color w:val="auto"/>
          <w:kern w:val="0"/>
          <w:sz w:val="24"/>
          <w:szCs w:val="21"/>
          <w:lang w:val="en-US" w:eastAsia="zh-CN" w:bidi="ar-SA"/>
        </w:rPr>
        <w:t>废抹布</w:t>
      </w:r>
      <w:r>
        <w:rPr>
          <w:rFonts w:hint="default" w:ascii="Times New Roman" w:hAnsi="Times New Roman" w:cs="Times New Roman"/>
          <w:bCs/>
          <w:snapToGrid w:val="0"/>
          <w:color w:val="auto"/>
          <w:kern w:val="0"/>
          <w:sz w:val="24"/>
          <w:szCs w:val="21"/>
          <w:lang w:val="en-US" w:eastAsia="zh-CN" w:bidi="ar-SA"/>
        </w:rPr>
        <w:t>（丝印）</w:t>
      </w:r>
      <w:r>
        <w:rPr>
          <w:rFonts w:hint="default" w:ascii="Times New Roman" w:hAnsi="Times New Roman" w:eastAsia="宋体" w:cs="Times New Roman"/>
          <w:bCs/>
          <w:snapToGrid w:val="0"/>
          <w:color w:val="auto"/>
          <w:kern w:val="0"/>
          <w:sz w:val="24"/>
          <w:szCs w:val="21"/>
          <w:lang w:val="en-US" w:eastAsia="zh-CN" w:bidi="ar-SA"/>
        </w:rPr>
        <w:t>、废丝印版、废油墨包装、</w:t>
      </w:r>
      <w:r>
        <w:rPr>
          <w:rFonts w:hint="eastAsia" w:cs="Times New Roman"/>
          <w:color w:val="auto"/>
          <w:spacing w:val="6"/>
          <w:kern w:val="0"/>
          <w:sz w:val="24"/>
          <w:szCs w:val="24"/>
          <w:lang w:val="en-US" w:eastAsia="zh-CN" w:bidi="ar-SA"/>
        </w:rPr>
        <w:t>LPG</w:t>
      </w:r>
      <w:r>
        <w:rPr>
          <w:rFonts w:hint="default" w:ascii="Times New Roman" w:hAnsi="Times New Roman" w:eastAsia="宋体" w:cs="Times New Roman"/>
          <w:bCs/>
          <w:snapToGrid w:val="0"/>
          <w:color w:val="auto"/>
          <w:kern w:val="0"/>
          <w:sz w:val="24"/>
          <w:szCs w:val="21"/>
          <w:lang w:val="en-US" w:eastAsia="zh-CN" w:bidi="ar-SA"/>
        </w:rPr>
        <w:t>残液</w:t>
      </w:r>
      <w:r>
        <w:rPr>
          <w:rFonts w:hint="default" w:ascii="Times New Roman" w:hAnsi="Times New Roman" w:cs="Times New Roman"/>
          <w:bCs/>
          <w:snapToGrid w:val="0"/>
          <w:color w:val="auto"/>
          <w:kern w:val="0"/>
          <w:sz w:val="24"/>
          <w:szCs w:val="21"/>
          <w:lang w:val="en-US" w:eastAsia="zh-CN" w:bidi="ar-SA"/>
        </w:rPr>
        <w:t>、</w:t>
      </w:r>
      <w:r>
        <w:rPr>
          <w:rFonts w:hint="default" w:ascii="Times New Roman" w:hAnsi="Times New Roman" w:eastAsia="宋体" w:cs="Times New Roman"/>
          <w:bCs/>
          <w:snapToGrid w:val="0"/>
          <w:color w:val="auto"/>
          <w:kern w:val="0"/>
          <w:sz w:val="24"/>
          <w:szCs w:val="21"/>
          <w:lang w:val="en-US" w:eastAsia="zh-CN" w:bidi="ar-SA"/>
        </w:rPr>
        <w:t>废</w:t>
      </w:r>
      <w:r>
        <w:rPr>
          <w:rFonts w:hint="eastAsia" w:cs="Times New Roman"/>
          <w:bCs/>
          <w:snapToGrid w:val="0"/>
          <w:color w:val="auto"/>
          <w:kern w:val="0"/>
          <w:sz w:val="24"/>
          <w:szCs w:val="21"/>
          <w:lang w:val="en-US" w:eastAsia="zh-CN" w:bidi="ar-SA"/>
        </w:rPr>
        <w:t>矿物</w:t>
      </w:r>
      <w:r>
        <w:rPr>
          <w:rFonts w:hint="default" w:ascii="Times New Roman" w:hAnsi="Times New Roman" w:eastAsia="宋体" w:cs="Times New Roman"/>
          <w:bCs/>
          <w:snapToGrid w:val="0"/>
          <w:color w:val="auto"/>
          <w:kern w:val="0"/>
          <w:sz w:val="24"/>
          <w:szCs w:val="21"/>
          <w:lang w:val="en-US" w:eastAsia="zh-CN" w:bidi="ar-SA"/>
        </w:rPr>
        <w:t>油、废油桶和生活垃圾</w:t>
      </w:r>
      <w:r>
        <w:rPr>
          <w:rFonts w:hint="default" w:ascii="Times New Roman" w:hAnsi="Times New Roman" w:eastAsia="宋体" w:cs="Times New Roman"/>
          <w:color w:val="auto"/>
          <w:spacing w:val="6"/>
          <w:kern w:val="0"/>
          <w:sz w:val="24"/>
          <w:szCs w:val="24"/>
          <w:lang w:val="en-US" w:eastAsia="zh-CN" w:bidi="ar-SA"/>
        </w:rPr>
        <w:t>等。</w:t>
      </w:r>
    </w:p>
    <w:p w14:paraId="1E89218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zh-CN" w:eastAsia="zh-CN" w:bidi="ar-SA"/>
        </w:rPr>
      </w:pPr>
      <w:r>
        <w:rPr>
          <w:rFonts w:hint="default" w:ascii="Times New Roman" w:hAnsi="Times New Roman" w:eastAsia="宋体" w:cs="Times New Roman"/>
          <w:color w:val="auto"/>
          <w:spacing w:val="6"/>
          <w:kern w:val="0"/>
          <w:sz w:val="24"/>
          <w:szCs w:val="24"/>
          <w:lang w:val="zh-CN" w:eastAsia="zh-CN" w:bidi="ar-SA"/>
        </w:rPr>
        <w:t>根据上述调查，结合《建设项目环境风险评价技术导则》（HJ169-2018）附录B、GB3000.18、GB30000.28，拟建项目涉及的危险物质主要包括</w:t>
      </w:r>
      <w:r>
        <w:rPr>
          <w:rFonts w:hint="default" w:ascii="Times New Roman" w:hAnsi="Times New Roman" w:eastAsia="宋体" w:cs="Times New Roman"/>
          <w:color w:val="auto"/>
          <w:spacing w:val="6"/>
          <w:kern w:val="0"/>
          <w:sz w:val="24"/>
          <w:szCs w:val="24"/>
          <w:lang w:val="en-US" w:eastAsia="zh-CN" w:bidi="ar-SA"/>
        </w:rPr>
        <w:t>液化石油气</w:t>
      </w:r>
      <w:r>
        <w:rPr>
          <w:rFonts w:hint="eastAsia" w:cs="Times New Roman"/>
          <w:color w:val="auto"/>
          <w:spacing w:val="6"/>
          <w:kern w:val="0"/>
          <w:sz w:val="24"/>
          <w:szCs w:val="24"/>
          <w:lang w:val="en-US" w:eastAsia="zh-CN" w:bidi="ar-SA"/>
        </w:rPr>
        <w:t>（LPG）</w:t>
      </w:r>
      <w:r>
        <w:rPr>
          <w:rFonts w:hint="default" w:ascii="Times New Roman" w:hAnsi="Times New Roman" w:eastAsia="宋体" w:cs="Times New Roman"/>
          <w:color w:val="auto"/>
          <w:spacing w:val="6"/>
          <w:kern w:val="0"/>
          <w:sz w:val="24"/>
          <w:szCs w:val="24"/>
          <w:lang w:val="en-US" w:eastAsia="zh-CN" w:bidi="ar-SA"/>
        </w:rPr>
        <w:t>、丙烷、</w:t>
      </w:r>
      <w:r>
        <w:rPr>
          <w:rFonts w:hint="eastAsia" w:cs="Times New Roman"/>
          <w:color w:val="auto"/>
          <w:spacing w:val="6"/>
          <w:kern w:val="0"/>
          <w:sz w:val="24"/>
          <w:szCs w:val="24"/>
          <w:lang w:val="en-US" w:eastAsia="zh-CN" w:bidi="ar-SA"/>
        </w:rPr>
        <w:t>丙烷增效剂、</w:t>
      </w:r>
      <w:r>
        <w:rPr>
          <w:rFonts w:hint="default" w:ascii="Times New Roman" w:hAnsi="Times New Roman" w:cs="Times New Roman"/>
          <w:color w:val="auto"/>
          <w:spacing w:val="6"/>
          <w:kern w:val="0"/>
          <w:sz w:val="24"/>
          <w:szCs w:val="24"/>
          <w:lang w:val="en-US" w:eastAsia="zh-CN" w:bidi="ar-SA"/>
        </w:rPr>
        <w:t>LPG</w:t>
      </w:r>
      <w:r>
        <w:rPr>
          <w:rFonts w:hint="default" w:ascii="Times New Roman" w:hAnsi="Times New Roman" w:eastAsia="宋体" w:cs="Times New Roman"/>
          <w:color w:val="auto"/>
          <w:spacing w:val="6"/>
          <w:kern w:val="0"/>
          <w:sz w:val="24"/>
          <w:szCs w:val="24"/>
          <w:lang w:val="en-US" w:eastAsia="zh-CN" w:bidi="ar-SA"/>
        </w:rPr>
        <w:t>残液、油墨（</w:t>
      </w:r>
      <w:r>
        <w:rPr>
          <w:rFonts w:hint="default" w:ascii="Times New Roman" w:hAnsi="Times New Roman" w:cs="Times New Roman"/>
          <w:color w:val="auto"/>
          <w:spacing w:val="6"/>
          <w:kern w:val="0"/>
          <w:sz w:val="24"/>
          <w:szCs w:val="24"/>
          <w:lang w:val="en-US" w:eastAsia="zh-CN" w:bidi="ar-SA"/>
        </w:rPr>
        <w:t>65%</w:t>
      </w:r>
      <w:r>
        <w:rPr>
          <w:rFonts w:hint="default" w:ascii="Times New Roman" w:hAnsi="Times New Roman" w:eastAsia="宋体" w:cs="Times New Roman"/>
          <w:color w:val="auto"/>
          <w:spacing w:val="6"/>
          <w:kern w:val="0"/>
          <w:sz w:val="24"/>
          <w:szCs w:val="24"/>
          <w:lang w:val="en-US" w:eastAsia="zh-CN" w:bidi="ar-SA"/>
        </w:rPr>
        <w:t>环己酮）、废矿物油等</w:t>
      </w:r>
      <w:r>
        <w:rPr>
          <w:rFonts w:hint="default" w:ascii="Times New Roman" w:hAnsi="Times New Roman" w:eastAsia="宋体" w:cs="Times New Roman"/>
          <w:color w:val="auto"/>
          <w:spacing w:val="6"/>
          <w:kern w:val="0"/>
          <w:sz w:val="24"/>
          <w:szCs w:val="24"/>
          <w:lang w:val="zh-CN" w:eastAsia="zh-CN" w:bidi="ar-SA"/>
        </w:rPr>
        <w:t>。各危险物质的存在量包括生产线在线量和储罐区的储存量，具体详见表</w:t>
      </w:r>
      <w:r>
        <w:rPr>
          <w:rFonts w:hint="default" w:ascii="Times New Roman" w:hAnsi="Times New Roman" w:eastAsia="宋体" w:cs="Times New Roman"/>
          <w:color w:val="auto"/>
          <w:spacing w:val="6"/>
          <w:kern w:val="0"/>
          <w:sz w:val="24"/>
          <w:szCs w:val="24"/>
          <w:lang w:val="en-US" w:eastAsia="zh-CN" w:bidi="ar-SA"/>
        </w:rPr>
        <w:t>1.3-1</w:t>
      </w:r>
      <w:r>
        <w:rPr>
          <w:rFonts w:hint="default" w:ascii="Times New Roman" w:hAnsi="Times New Roman" w:eastAsia="宋体" w:cs="Times New Roman"/>
          <w:color w:val="auto"/>
          <w:spacing w:val="6"/>
          <w:kern w:val="0"/>
          <w:sz w:val="24"/>
          <w:szCs w:val="24"/>
          <w:lang w:val="zh-CN" w:eastAsia="zh-CN" w:bidi="ar-SA"/>
        </w:rPr>
        <w:t>。</w:t>
      </w:r>
    </w:p>
    <w:p w14:paraId="4FDB6B32">
      <w:pPr>
        <w:widowControl w:val="0"/>
        <w:adjustRightInd/>
        <w:snapToGrid/>
        <w:ind w:firstLine="480" w:firstLineChars="0"/>
        <w:jc w:val="center"/>
        <w:rPr>
          <w:rFonts w:hint="default" w:ascii="Times New Roman" w:hAnsi="Times New Roman" w:eastAsia="宋体" w:cs="Times New Roman"/>
          <w:b/>
          <w:bCs/>
          <w:color w:val="auto"/>
          <w:kern w:val="2"/>
          <w:szCs w:val="24"/>
          <w:highlight w:val="none"/>
        </w:rPr>
      </w:pPr>
      <w:r>
        <w:rPr>
          <w:rFonts w:hint="default" w:ascii="Times New Roman" w:hAnsi="Times New Roman" w:eastAsia="宋体" w:cs="Times New Roman"/>
          <w:b/>
          <w:bCs/>
          <w:color w:val="auto"/>
          <w:kern w:val="2"/>
          <w:szCs w:val="24"/>
          <w:highlight w:val="none"/>
        </w:rPr>
        <w:t>表</w:t>
      </w:r>
      <w:r>
        <w:rPr>
          <w:rFonts w:hint="default" w:ascii="Times New Roman" w:hAnsi="Times New Roman" w:eastAsia="宋体" w:cs="Times New Roman"/>
          <w:b/>
          <w:bCs/>
          <w:color w:val="auto"/>
          <w:kern w:val="2"/>
          <w:szCs w:val="24"/>
          <w:highlight w:val="none"/>
          <w:lang w:val="en-US" w:eastAsia="zh-CN"/>
        </w:rPr>
        <w:t>1.3-1</w:t>
      </w:r>
      <w:r>
        <w:rPr>
          <w:rFonts w:hint="default" w:ascii="Times New Roman" w:hAnsi="Times New Roman" w:eastAsia="宋体" w:cs="Times New Roman"/>
          <w:b/>
          <w:bCs/>
          <w:color w:val="auto"/>
          <w:kern w:val="2"/>
          <w:szCs w:val="24"/>
          <w:highlight w:val="none"/>
        </w:rPr>
        <w:t xml:space="preserve">    拟建项目危险物质数量及分布一览表</w:t>
      </w:r>
    </w:p>
    <w:tbl>
      <w:tblPr>
        <w:tblStyle w:val="32"/>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33"/>
        <w:gridCol w:w="1066"/>
        <w:gridCol w:w="1171"/>
        <w:gridCol w:w="1171"/>
        <w:gridCol w:w="834"/>
        <w:gridCol w:w="834"/>
        <w:gridCol w:w="940"/>
        <w:gridCol w:w="834"/>
        <w:gridCol w:w="834"/>
      </w:tblGrid>
      <w:tr w14:paraId="2BE2679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25" w:hRule="atLeast"/>
        </w:trPr>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2DBF76">
            <w:pPr>
              <w:pStyle w:val="40"/>
              <w:bidi w:val="0"/>
              <w:rPr>
                <w:rFonts w:hint="default" w:ascii="Times New Roman" w:hAnsi="Times New Roman" w:cs="Times New Roman"/>
              </w:rPr>
            </w:pPr>
            <w:r>
              <w:rPr>
                <w:rFonts w:hint="default" w:ascii="Times New Roman" w:hAnsi="Times New Roman" w:cs="Times New Roman"/>
                <w:lang w:val="en-US" w:eastAsia="zh-CN"/>
              </w:rPr>
              <w:t>序号</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43BCC97">
            <w:pPr>
              <w:pStyle w:val="40"/>
              <w:bidi w:val="0"/>
              <w:rPr>
                <w:rFonts w:hint="default" w:ascii="Times New Roman" w:hAnsi="Times New Roman" w:cs="Times New Roman"/>
              </w:rPr>
            </w:pPr>
            <w:r>
              <w:rPr>
                <w:rFonts w:hint="default" w:ascii="Times New Roman" w:hAnsi="Times New Roman" w:cs="Times New Roman"/>
                <w:lang w:val="en-US" w:eastAsia="zh-CN"/>
              </w:rPr>
              <w:t>来源</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92DEB4">
            <w:pPr>
              <w:pStyle w:val="40"/>
              <w:bidi w:val="0"/>
              <w:rPr>
                <w:rFonts w:hint="default" w:ascii="Times New Roman" w:hAnsi="Times New Roman" w:cs="Times New Roman"/>
              </w:rPr>
            </w:pPr>
            <w:r>
              <w:rPr>
                <w:rFonts w:hint="default" w:ascii="Times New Roman" w:hAnsi="Times New Roman" w:cs="Times New Roman"/>
                <w:lang w:val="en-US" w:eastAsia="zh-CN"/>
              </w:rPr>
              <w:t>物质名称</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7A3E7EB">
            <w:pPr>
              <w:pStyle w:val="40"/>
              <w:bidi w:val="0"/>
              <w:rPr>
                <w:rFonts w:hint="default" w:ascii="Times New Roman" w:hAnsi="Times New Roman" w:cs="Times New Roman"/>
              </w:rPr>
            </w:pPr>
            <w:r>
              <w:rPr>
                <w:rFonts w:hint="default" w:ascii="Times New Roman" w:hAnsi="Times New Roman" w:cs="Times New Roman"/>
                <w:lang w:val="en-US" w:eastAsia="zh-CN"/>
              </w:rPr>
              <w:t>储存方式</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8096F8B">
            <w:pPr>
              <w:pStyle w:val="40"/>
              <w:bidi w:val="0"/>
              <w:rPr>
                <w:rFonts w:hint="default" w:ascii="Times New Roman" w:hAnsi="Times New Roman" w:cs="Times New Roman"/>
              </w:rPr>
            </w:pPr>
            <w:r>
              <w:rPr>
                <w:rFonts w:hint="default" w:ascii="Times New Roman" w:hAnsi="Times New Roman" w:cs="Times New Roman"/>
                <w:lang w:val="en-US" w:eastAsia="zh-CN"/>
              </w:rPr>
              <w:t>是否属于危险物质</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C8C4D6">
            <w:pPr>
              <w:pStyle w:val="40"/>
              <w:bidi w:val="0"/>
              <w:rPr>
                <w:rFonts w:hint="default" w:ascii="Times New Roman" w:hAnsi="Times New Roman" w:cs="Times New Roman"/>
              </w:rPr>
            </w:pPr>
            <w:r>
              <w:rPr>
                <w:rFonts w:hint="default" w:ascii="Times New Roman" w:hAnsi="Times New Roman" w:cs="Times New Roman"/>
                <w:lang w:val="en-US" w:eastAsia="zh-CN"/>
              </w:rPr>
              <w:t>危险特性</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0D230E">
            <w:pPr>
              <w:pStyle w:val="40"/>
              <w:bidi w:val="0"/>
              <w:rPr>
                <w:rFonts w:hint="default" w:ascii="Times New Roman" w:hAnsi="Times New Roman" w:cs="Times New Roman"/>
              </w:rPr>
            </w:pPr>
            <w:r>
              <w:rPr>
                <w:rFonts w:hint="default" w:ascii="Times New Roman" w:hAnsi="Times New Roman" w:cs="Times New Roman"/>
                <w:lang w:val="en-US" w:eastAsia="zh-CN"/>
              </w:rPr>
              <w:t>最大存在量t</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815623A">
            <w:pPr>
              <w:pStyle w:val="40"/>
              <w:bidi w:val="0"/>
              <w:rPr>
                <w:rFonts w:hint="default" w:ascii="Times New Roman" w:hAnsi="Times New Roman" w:cs="Times New Roman"/>
              </w:rPr>
            </w:pPr>
            <w:r>
              <w:rPr>
                <w:rFonts w:hint="default" w:ascii="Times New Roman" w:hAnsi="Times New Roman" w:cs="Times New Roman"/>
                <w:lang w:val="en-US" w:eastAsia="zh-CN"/>
              </w:rPr>
              <w:t>储存位置</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1A6335D">
            <w:pPr>
              <w:pStyle w:val="40"/>
              <w:bidi w:val="0"/>
              <w:rPr>
                <w:rFonts w:hint="default" w:ascii="Times New Roman" w:hAnsi="Times New Roman" w:cs="Times New Roman"/>
              </w:rPr>
            </w:pPr>
            <w:r>
              <w:rPr>
                <w:rFonts w:hint="default" w:ascii="Times New Roman" w:hAnsi="Times New Roman" w:cs="Times New Roman"/>
                <w:lang w:val="en-US" w:eastAsia="zh-CN"/>
              </w:rPr>
              <w:t>备注</w:t>
            </w:r>
          </w:p>
        </w:tc>
      </w:tr>
      <w:tr w14:paraId="03C2D9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8F295C">
            <w:pPr>
              <w:pStyle w:val="40"/>
              <w:bidi w:val="0"/>
              <w:rPr>
                <w:rFonts w:hint="default" w:ascii="Times New Roman" w:hAnsi="Times New Roman" w:cs="Times New Roman"/>
              </w:rPr>
            </w:pPr>
            <w:r>
              <w:rPr>
                <w:rFonts w:hint="default" w:ascii="Times New Roman" w:hAnsi="Times New Roman" w:cs="Times New Roman"/>
                <w:lang w:val="en-US" w:eastAsia="zh-CN"/>
              </w:rPr>
              <w:t>1</w:t>
            </w:r>
          </w:p>
        </w:tc>
        <w:tc>
          <w:tcPr>
            <w:tcW w:w="625" w:type="pct"/>
            <w:vMerge w:val="restart"/>
            <w:tcBorders>
              <w:top w:val="single" w:color="000000" w:sz="4" w:space="0"/>
              <w:left w:val="single" w:color="000000" w:sz="4" w:space="0"/>
              <w:right w:val="single" w:color="000000" w:sz="4" w:space="0"/>
            </w:tcBorders>
            <w:shd w:val="clear" w:color="auto" w:fill="auto"/>
            <w:vAlign w:val="center"/>
          </w:tcPr>
          <w:p w14:paraId="785D04E8">
            <w:pPr>
              <w:pStyle w:val="40"/>
              <w:bidi w:val="0"/>
              <w:rPr>
                <w:rFonts w:hint="default" w:ascii="Times New Roman" w:hAnsi="Times New Roman" w:cs="Times New Roman"/>
              </w:rPr>
            </w:pPr>
            <w:r>
              <w:rPr>
                <w:rFonts w:hint="default" w:ascii="Times New Roman" w:hAnsi="Times New Roman" w:cs="Times New Roman"/>
                <w:lang w:val="en-US" w:eastAsia="zh-CN"/>
              </w:rPr>
              <w:t>原料</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2AFBAD">
            <w:pPr>
              <w:pStyle w:val="40"/>
              <w:bidi w:val="0"/>
              <w:rPr>
                <w:rFonts w:hint="default" w:ascii="Times New Roman" w:hAnsi="Times New Roman" w:cs="Times New Roman"/>
              </w:rPr>
            </w:pPr>
            <w:r>
              <w:rPr>
                <w:rFonts w:hint="default" w:ascii="Times New Roman" w:hAnsi="Times New Roman" w:cs="Times New Roman"/>
                <w:lang w:val="en-US" w:eastAsia="zh-CN"/>
              </w:rPr>
              <w:t>石油气</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50C72C">
            <w:pPr>
              <w:pStyle w:val="40"/>
              <w:bidi w:val="0"/>
              <w:rPr>
                <w:rFonts w:hint="default" w:ascii="Times New Roman" w:hAnsi="Times New Roman" w:cs="Times New Roman"/>
              </w:rPr>
            </w:pPr>
            <w:r>
              <w:rPr>
                <w:rFonts w:hint="default" w:ascii="Times New Roman" w:hAnsi="Times New Roman" w:cs="Times New Roman"/>
                <w:lang w:val="en-US" w:eastAsia="zh-CN"/>
              </w:rPr>
              <w:t>储罐</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2144C6">
            <w:pPr>
              <w:pStyle w:val="40"/>
              <w:bidi w:val="0"/>
              <w:rPr>
                <w:rFonts w:hint="default" w:ascii="Times New Roman" w:hAnsi="Times New Roman" w:cs="Times New Roman"/>
              </w:rPr>
            </w:pPr>
            <w:r>
              <w:rPr>
                <w:rFonts w:hint="default" w:ascii="Times New Roman" w:hAnsi="Times New Roman" w:cs="Times New Roman"/>
                <w:lang w:val="en-US" w:eastAsia="zh-CN"/>
              </w:rPr>
              <w:t>是</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63B296">
            <w:pPr>
              <w:pStyle w:val="40"/>
              <w:bidi w:val="0"/>
              <w:rPr>
                <w:rFonts w:hint="default" w:ascii="Times New Roman" w:hAnsi="Times New Roman" w:cs="Times New Roman"/>
              </w:rPr>
            </w:pPr>
            <w:r>
              <w:rPr>
                <w:rFonts w:hint="default" w:ascii="Times New Roman" w:hAnsi="Times New Roman" w:cs="Times New Roman"/>
                <w:lang w:val="en-US" w:eastAsia="zh-CN"/>
              </w:rPr>
              <w:t>易燃</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9B86EF">
            <w:pPr>
              <w:pStyle w:val="40"/>
              <w:bidi w:val="0"/>
              <w:rPr>
                <w:rFonts w:hint="default" w:ascii="Times New Roman" w:hAnsi="Times New Roman" w:cs="Times New Roman"/>
              </w:rPr>
            </w:pPr>
            <w:r>
              <w:rPr>
                <w:rFonts w:hint="default" w:ascii="Times New Roman" w:hAnsi="Times New Roman" w:cs="Times New Roman"/>
                <w:lang w:val="en-US" w:eastAsia="zh-CN"/>
              </w:rPr>
              <w:t>46.4</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FF13FBB">
            <w:pPr>
              <w:pStyle w:val="40"/>
              <w:bidi w:val="0"/>
              <w:rPr>
                <w:rFonts w:hint="default" w:ascii="Times New Roman" w:hAnsi="Times New Roman" w:cs="Times New Roman"/>
              </w:rPr>
            </w:pPr>
            <w:r>
              <w:rPr>
                <w:rFonts w:hint="default" w:ascii="Times New Roman" w:hAnsi="Times New Roman" w:cs="Times New Roman"/>
                <w:lang w:val="en-US" w:eastAsia="zh-CN"/>
              </w:rPr>
              <w:t>原料库</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1C9133">
            <w:pPr>
              <w:pStyle w:val="40"/>
              <w:bidi w:val="0"/>
              <w:rPr>
                <w:rFonts w:hint="default" w:ascii="Times New Roman" w:hAnsi="Times New Roman" w:cs="Times New Roman"/>
              </w:rPr>
            </w:pPr>
            <w:r>
              <w:rPr>
                <w:rFonts w:hint="default" w:ascii="Times New Roman" w:hAnsi="Times New Roman" w:cs="Times New Roman"/>
                <w:lang w:val="en-US" w:eastAsia="zh-CN"/>
              </w:rPr>
              <w:t>储罐储量</w:t>
            </w:r>
          </w:p>
        </w:tc>
      </w:tr>
      <w:tr w14:paraId="1F33A7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E7F775">
            <w:pPr>
              <w:pStyle w:val="40"/>
              <w:bidi w:val="0"/>
              <w:rPr>
                <w:rFonts w:hint="default" w:ascii="Times New Roman" w:hAnsi="Times New Roman" w:cs="Times New Roman"/>
              </w:rPr>
            </w:pPr>
            <w:r>
              <w:rPr>
                <w:rFonts w:hint="default" w:ascii="Times New Roman" w:hAnsi="Times New Roman" w:cs="Times New Roman"/>
                <w:lang w:val="en-US" w:eastAsia="zh-CN"/>
              </w:rPr>
              <w:t>2</w:t>
            </w:r>
          </w:p>
        </w:tc>
        <w:tc>
          <w:tcPr>
            <w:tcW w:w="625" w:type="pct"/>
            <w:vMerge w:val="continue"/>
            <w:tcBorders>
              <w:left w:val="single" w:color="000000" w:sz="4" w:space="0"/>
              <w:bottom w:val="single" w:color="000000" w:sz="4" w:space="0"/>
              <w:right w:val="single" w:color="000000" w:sz="4" w:space="0"/>
            </w:tcBorders>
            <w:shd w:val="clear" w:color="auto" w:fill="auto"/>
            <w:vAlign w:val="center"/>
          </w:tcPr>
          <w:p w14:paraId="50968C0D">
            <w:pPr>
              <w:pStyle w:val="40"/>
              <w:bidi w:val="0"/>
              <w:rPr>
                <w:rFonts w:hint="default" w:ascii="Times New Roman" w:hAnsi="Times New Roman" w:cs="Times New Roman"/>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A3B86F">
            <w:pPr>
              <w:pStyle w:val="40"/>
              <w:bidi w:val="0"/>
              <w:rPr>
                <w:rFonts w:hint="default" w:ascii="Times New Roman" w:hAnsi="Times New Roman" w:cs="Times New Roman"/>
              </w:rPr>
            </w:pPr>
            <w:r>
              <w:rPr>
                <w:rFonts w:hint="default" w:ascii="Times New Roman" w:hAnsi="Times New Roman" w:cs="Times New Roman"/>
                <w:lang w:val="en-US" w:eastAsia="zh-CN"/>
              </w:rPr>
              <w:t>丙烷</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FB90675">
            <w:pPr>
              <w:pStyle w:val="40"/>
              <w:bidi w:val="0"/>
              <w:rPr>
                <w:rFonts w:hint="default" w:ascii="Times New Roman" w:hAnsi="Times New Roman" w:cs="Times New Roman"/>
              </w:rPr>
            </w:pPr>
            <w:r>
              <w:rPr>
                <w:rFonts w:hint="default" w:ascii="Times New Roman" w:hAnsi="Times New Roman" w:cs="Times New Roman"/>
                <w:lang w:val="en-US" w:eastAsia="zh-CN"/>
              </w:rPr>
              <w:t>储罐</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D4BF855">
            <w:pPr>
              <w:pStyle w:val="40"/>
              <w:bidi w:val="0"/>
              <w:rPr>
                <w:rFonts w:hint="default" w:ascii="Times New Roman" w:hAnsi="Times New Roman" w:cs="Times New Roman"/>
              </w:rPr>
            </w:pPr>
            <w:r>
              <w:rPr>
                <w:rFonts w:hint="default" w:ascii="Times New Roman" w:hAnsi="Times New Roman" w:cs="Times New Roman"/>
                <w:lang w:val="en-US" w:eastAsia="zh-CN"/>
              </w:rPr>
              <w:t>是</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FF046D">
            <w:pPr>
              <w:pStyle w:val="40"/>
              <w:bidi w:val="0"/>
              <w:rPr>
                <w:rFonts w:hint="default" w:ascii="Times New Roman" w:hAnsi="Times New Roman" w:cs="Times New Roman"/>
              </w:rPr>
            </w:pPr>
            <w:r>
              <w:rPr>
                <w:rFonts w:hint="default" w:ascii="Times New Roman" w:hAnsi="Times New Roman" w:cs="Times New Roman"/>
                <w:lang w:val="en-US" w:eastAsia="zh-CN"/>
              </w:rPr>
              <w:t>易燃</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2925D0">
            <w:pPr>
              <w:pStyle w:val="40"/>
              <w:bidi w:val="0"/>
              <w:rPr>
                <w:rFonts w:hint="default" w:ascii="Times New Roman" w:hAnsi="Times New Roman" w:cs="Times New Roman"/>
              </w:rPr>
            </w:pPr>
            <w:r>
              <w:rPr>
                <w:rFonts w:hint="default" w:ascii="Times New Roman" w:hAnsi="Times New Roman" w:cs="Times New Roman"/>
                <w:lang w:val="en-US" w:eastAsia="zh-CN"/>
              </w:rPr>
              <w:t>40.56</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03A14DC">
            <w:pPr>
              <w:pStyle w:val="40"/>
              <w:bidi w:val="0"/>
              <w:rPr>
                <w:rFonts w:hint="default" w:ascii="Times New Roman" w:hAnsi="Times New Roman" w:cs="Times New Roman"/>
              </w:rPr>
            </w:pPr>
            <w:r>
              <w:rPr>
                <w:rFonts w:hint="default" w:ascii="Times New Roman" w:hAnsi="Times New Roman" w:cs="Times New Roman"/>
                <w:lang w:val="en-US" w:eastAsia="zh-CN"/>
              </w:rPr>
              <w:t>原料库</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FA80CD">
            <w:pPr>
              <w:pStyle w:val="40"/>
              <w:bidi w:val="0"/>
              <w:rPr>
                <w:rFonts w:hint="default" w:ascii="Times New Roman" w:hAnsi="Times New Roman" w:cs="Times New Roman"/>
              </w:rPr>
            </w:pPr>
            <w:r>
              <w:rPr>
                <w:rFonts w:hint="default" w:ascii="Times New Roman" w:hAnsi="Times New Roman" w:cs="Times New Roman"/>
                <w:lang w:val="en-US" w:eastAsia="zh-CN"/>
              </w:rPr>
              <w:t>储罐储量</w:t>
            </w:r>
          </w:p>
        </w:tc>
      </w:tr>
      <w:tr w14:paraId="15B4AB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80" w:hRule="atLeast"/>
        </w:trPr>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373418">
            <w:pPr>
              <w:pStyle w:val="40"/>
              <w:bidi w:val="0"/>
              <w:rPr>
                <w:rFonts w:hint="default" w:ascii="Times New Roman" w:hAnsi="Times New Roman" w:cs="Times New Roman"/>
              </w:rPr>
            </w:pPr>
            <w:r>
              <w:rPr>
                <w:rFonts w:hint="default" w:ascii="Times New Roman" w:hAnsi="Times New Roman" w:cs="Times New Roman"/>
                <w:lang w:val="en-US" w:eastAsia="zh-CN"/>
              </w:rPr>
              <w:t>3</w:t>
            </w:r>
          </w:p>
        </w:tc>
        <w:tc>
          <w:tcPr>
            <w:tcW w:w="625" w:type="pct"/>
            <w:vMerge w:val="restart"/>
            <w:tcBorders>
              <w:top w:val="single" w:color="000000" w:sz="4" w:space="0"/>
              <w:left w:val="single" w:color="000000" w:sz="4" w:space="0"/>
              <w:right w:val="single" w:color="000000" w:sz="4" w:space="0"/>
            </w:tcBorders>
            <w:shd w:val="clear" w:color="auto" w:fill="auto"/>
            <w:vAlign w:val="center"/>
          </w:tcPr>
          <w:p w14:paraId="31B047C8">
            <w:pPr>
              <w:pStyle w:val="40"/>
              <w:bidi w:val="0"/>
              <w:rPr>
                <w:rFonts w:hint="default" w:ascii="Times New Roman" w:hAnsi="Times New Roman" w:cs="Times New Roman"/>
              </w:rPr>
            </w:pPr>
            <w:r>
              <w:rPr>
                <w:rFonts w:hint="default" w:ascii="Times New Roman" w:hAnsi="Times New Roman" w:cs="Times New Roman"/>
                <w:lang w:val="en-US" w:eastAsia="zh-CN"/>
              </w:rPr>
              <w:t>辅料</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DB14B6D">
            <w:pPr>
              <w:pStyle w:val="40"/>
              <w:bidi w:val="0"/>
              <w:rPr>
                <w:rFonts w:hint="default" w:ascii="Times New Roman" w:hAnsi="Times New Roman" w:cs="Times New Roman"/>
              </w:rPr>
            </w:pPr>
            <w:r>
              <w:rPr>
                <w:rFonts w:hint="default" w:ascii="Times New Roman" w:hAnsi="Times New Roman" w:cs="Times New Roman"/>
                <w:lang w:val="en-US" w:eastAsia="zh-CN"/>
              </w:rPr>
              <w:t>增效剂（主要成分为丙烷、丁烷）</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AECC4E">
            <w:pPr>
              <w:pStyle w:val="40"/>
              <w:bidi w:val="0"/>
              <w:rPr>
                <w:rFonts w:hint="default" w:ascii="Times New Roman" w:hAnsi="Times New Roman" w:cs="Times New Roman"/>
              </w:rPr>
            </w:pPr>
            <w:r>
              <w:rPr>
                <w:rFonts w:hint="default" w:ascii="Times New Roman" w:hAnsi="Times New Roman" w:cs="Times New Roman"/>
                <w:lang w:val="en-US" w:eastAsia="zh-CN"/>
              </w:rPr>
              <w:t>储罐</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0437251">
            <w:pPr>
              <w:pStyle w:val="40"/>
              <w:bidi w:val="0"/>
              <w:rPr>
                <w:rFonts w:hint="default" w:ascii="Times New Roman" w:hAnsi="Times New Roman" w:cs="Times New Roman"/>
              </w:rPr>
            </w:pPr>
            <w:r>
              <w:rPr>
                <w:rFonts w:hint="default" w:ascii="Times New Roman" w:hAnsi="Times New Roman" w:cs="Times New Roman"/>
                <w:lang w:val="en-US" w:eastAsia="zh-CN"/>
              </w:rPr>
              <w:t>是</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EF84BD">
            <w:pPr>
              <w:pStyle w:val="40"/>
              <w:bidi w:val="0"/>
              <w:rPr>
                <w:rFonts w:hint="default" w:ascii="Times New Roman" w:hAnsi="Times New Roman" w:cs="Times New Roman"/>
              </w:rPr>
            </w:pPr>
            <w:r>
              <w:rPr>
                <w:rFonts w:hint="default" w:ascii="Times New Roman" w:hAnsi="Times New Roman" w:cs="Times New Roman"/>
                <w:lang w:val="en-US" w:eastAsia="zh-CN"/>
              </w:rPr>
              <w:t>易燃</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F3E4051">
            <w:pPr>
              <w:pStyle w:val="40"/>
              <w:bidi w:val="0"/>
              <w:rPr>
                <w:rFonts w:hint="default" w:ascii="Times New Roman" w:hAnsi="Times New Roman" w:cs="Times New Roman"/>
              </w:rPr>
            </w:pPr>
            <w:r>
              <w:rPr>
                <w:rFonts w:hint="default" w:ascii="Times New Roman" w:hAnsi="Times New Roman" w:cs="Times New Roman"/>
                <w:lang w:val="en-US" w:eastAsia="zh-CN"/>
              </w:rPr>
              <w:t>0.125</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CB72DC">
            <w:pPr>
              <w:pStyle w:val="40"/>
              <w:bidi w:val="0"/>
              <w:rPr>
                <w:rFonts w:hint="default" w:ascii="Times New Roman" w:hAnsi="Times New Roman" w:cs="Times New Roman"/>
              </w:rPr>
            </w:pPr>
            <w:r>
              <w:rPr>
                <w:rFonts w:hint="default" w:ascii="Times New Roman" w:hAnsi="Times New Roman" w:cs="Times New Roman"/>
                <w:lang w:val="en-US" w:eastAsia="zh-CN"/>
              </w:rPr>
              <w:t>储罐区</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956AD40">
            <w:pPr>
              <w:pStyle w:val="40"/>
              <w:bidi w:val="0"/>
              <w:rPr>
                <w:rFonts w:hint="default" w:ascii="Times New Roman" w:hAnsi="Times New Roman" w:cs="Times New Roman"/>
              </w:rPr>
            </w:pPr>
            <w:r>
              <w:rPr>
                <w:rFonts w:hint="default" w:ascii="Times New Roman" w:hAnsi="Times New Roman" w:cs="Times New Roman"/>
                <w:lang w:val="en-US" w:eastAsia="zh-CN"/>
              </w:rPr>
              <w:t>储罐储量</w:t>
            </w:r>
          </w:p>
        </w:tc>
      </w:tr>
      <w:tr w14:paraId="235AF9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5" w:hRule="atLeast"/>
        </w:trPr>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A4764D6">
            <w:pPr>
              <w:pStyle w:val="40"/>
              <w:bidi w:val="0"/>
              <w:rPr>
                <w:rFonts w:hint="default" w:ascii="Times New Roman" w:hAnsi="Times New Roman" w:cs="Times New Roman"/>
              </w:rPr>
            </w:pPr>
            <w:r>
              <w:rPr>
                <w:rFonts w:hint="eastAsia" w:cs="Times New Roman"/>
                <w:lang w:val="en-US" w:eastAsia="zh-CN"/>
              </w:rPr>
              <w:t>4</w:t>
            </w:r>
          </w:p>
        </w:tc>
        <w:tc>
          <w:tcPr>
            <w:tcW w:w="625" w:type="pct"/>
            <w:vMerge w:val="continue"/>
            <w:tcBorders>
              <w:left w:val="single" w:color="000000" w:sz="4" w:space="0"/>
              <w:bottom w:val="single" w:color="000000" w:sz="4" w:space="0"/>
              <w:right w:val="single" w:color="000000" w:sz="4" w:space="0"/>
            </w:tcBorders>
            <w:shd w:val="clear" w:color="auto" w:fill="auto"/>
            <w:vAlign w:val="center"/>
          </w:tcPr>
          <w:p w14:paraId="6D8EC9F2">
            <w:pPr>
              <w:pStyle w:val="40"/>
              <w:bidi w:val="0"/>
              <w:rPr>
                <w:rFonts w:hint="default" w:ascii="Times New Roman" w:hAnsi="Times New Roman" w:cs="Times New Roman"/>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EAF868">
            <w:pPr>
              <w:pStyle w:val="40"/>
              <w:bidi w:val="0"/>
              <w:rPr>
                <w:rFonts w:hint="default" w:ascii="Times New Roman" w:hAnsi="Times New Roman" w:cs="Times New Roman"/>
              </w:rPr>
            </w:pPr>
            <w:r>
              <w:rPr>
                <w:rFonts w:hint="default" w:ascii="Times New Roman" w:hAnsi="Times New Roman" w:cs="Times New Roman"/>
                <w:lang w:val="en-US" w:eastAsia="zh-CN"/>
              </w:rPr>
              <w:t>环己酮</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A03DDA">
            <w:pPr>
              <w:pStyle w:val="40"/>
              <w:bidi w:val="0"/>
              <w:rPr>
                <w:rFonts w:hint="default" w:ascii="Times New Roman" w:hAnsi="Times New Roman" w:cs="Times New Roman"/>
              </w:rPr>
            </w:pPr>
            <w:r>
              <w:rPr>
                <w:rFonts w:hint="default" w:ascii="Times New Roman" w:hAnsi="Times New Roman" w:cs="Times New Roman"/>
                <w:lang w:val="en-US" w:eastAsia="zh-CN"/>
              </w:rPr>
              <w:t>瓶装</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D3E346">
            <w:pPr>
              <w:pStyle w:val="40"/>
              <w:bidi w:val="0"/>
              <w:rPr>
                <w:rFonts w:hint="default" w:ascii="Times New Roman" w:hAnsi="Times New Roman" w:cs="Times New Roman"/>
              </w:rPr>
            </w:pPr>
            <w:r>
              <w:rPr>
                <w:rFonts w:hint="default" w:ascii="Times New Roman" w:hAnsi="Times New Roman" w:cs="Times New Roman"/>
                <w:lang w:val="en-US" w:eastAsia="zh-CN"/>
              </w:rPr>
              <w:t>是</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24B9227">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易燃</w:t>
            </w:r>
          </w:p>
        </w:tc>
        <w:tc>
          <w:tcPr>
            <w:tcW w:w="55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2B8157">
            <w:pPr>
              <w:pStyle w:val="40"/>
              <w:bidi w:val="0"/>
              <w:rPr>
                <w:rFonts w:hint="default" w:ascii="Times New Roman" w:hAnsi="Times New Roman" w:cs="Times New Roman"/>
              </w:rPr>
            </w:pPr>
            <w:r>
              <w:rPr>
                <w:rFonts w:hint="default" w:ascii="Times New Roman" w:hAnsi="Times New Roman" w:cs="Times New Roman"/>
                <w:lang w:val="en-US" w:eastAsia="zh-CN"/>
              </w:rPr>
              <w:t>0.00</w:t>
            </w:r>
            <w:r>
              <w:rPr>
                <w:rFonts w:hint="eastAsia" w:cs="Times New Roman"/>
                <w:lang w:val="en-US" w:eastAsia="zh-CN"/>
              </w:rPr>
              <w:t>7</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518E69">
            <w:pPr>
              <w:pStyle w:val="40"/>
              <w:bidi w:val="0"/>
              <w:rPr>
                <w:rFonts w:hint="default" w:ascii="Times New Roman" w:hAnsi="Times New Roman" w:cs="Times New Roman"/>
              </w:rPr>
            </w:pPr>
            <w:r>
              <w:rPr>
                <w:rFonts w:hint="default" w:ascii="Times New Roman" w:hAnsi="Times New Roman" w:cs="Times New Roman"/>
                <w:lang w:val="en-US" w:eastAsia="zh-CN"/>
              </w:rPr>
              <w:t>库房</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927386">
            <w:pPr>
              <w:pStyle w:val="40"/>
              <w:bidi w:val="0"/>
              <w:rPr>
                <w:rFonts w:hint="default" w:ascii="Times New Roman" w:hAnsi="Times New Roman" w:cs="Times New Roman"/>
              </w:rPr>
            </w:pPr>
            <w:r>
              <w:rPr>
                <w:rFonts w:hint="default" w:ascii="Times New Roman" w:hAnsi="Times New Roman" w:cs="Times New Roman"/>
                <w:lang w:val="en-US" w:eastAsia="zh-CN"/>
              </w:rPr>
              <w:t>1个月</w:t>
            </w:r>
          </w:p>
        </w:tc>
      </w:tr>
      <w:tr w14:paraId="25E17D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0" w:hRule="atLeast"/>
        </w:trPr>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E651C3">
            <w:pPr>
              <w:pStyle w:val="40"/>
              <w:bidi w:val="0"/>
              <w:rPr>
                <w:rFonts w:hint="eastAsia" w:ascii="Times New Roman" w:hAnsi="Times New Roman" w:eastAsia="宋体" w:cs="Times New Roman"/>
                <w:lang w:val="en-US" w:eastAsia="zh-CN"/>
              </w:rPr>
            </w:pPr>
            <w:r>
              <w:rPr>
                <w:rFonts w:hint="eastAsia" w:cs="Times New Roman"/>
                <w:lang w:val="en-US" w:eastAsia="zh-CN"/>
              </w:rPr>
              <w:t>5</w:t>
            </w:r>
          </w:p>
        </w:tc>
        <w:tc>
          <w:tcPr>
            <w:tcW w:w="6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6CBA2B3">
            <w:pPr>
              <w:pStyle w:val="40"/>
              <w:bidi w:val="0"/>
              <w:rPr>
                <w:rFonts w:hint="default" w:ascii="Times New Roman" w:hAnsi="Times New Roman" w:cs="Times New Roman"/>
              </w:rPr>
            </w:pPr>
            <w:r>
              <w:rPr>
                <w:rFonts w:hint="default" w:ascii="Times New Roman" w:hAnsi="Times New Roman" w:cs="Times New Roman"/>
                <w:lang w:val="en-US" w:eastAsia="zh-CN"/>
              </w:rPr>
              <w:t>燃料</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F53A6EB">
            <w:pPr>
              <w:pStyle w:val="40"/>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石油气</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66AA66">
            <w:pPr>
              <w:pStyle w:val="40"/>
              <w:bidi w:val="0"/>
              <w:rPr>
                <w:rFonts w:hint="default" w:ascii="Times New Roman" w:hAnsi="Times New Roman" w:cs="Times New Roman"/>
              </w:rPr>
            </w:pPr>
            <w:r>
              <w:rPr>
                <w:rFonts w:hint="default" w:ascii="Times New Roman" w:hAnsi="Times New Roman" w:cs="Times New Roman"/>
                <w:lang w:val="en-US" w:eastAsia="zh-CN"/>
              </w:rPr>
              <w:t>管道在线</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20F7178">
            <w:pPr>
              <w:pStyle w:val="40"/>
              <w:bidi w:val="0"/>
              <w:rPr>
                <w:rFonts w:hint="default" w:ascii="Times New Roman" w:hAnsi="Times New Roman" w:cs="Times New Roman"/>
              </w:rPr>
            </w:pPr>
            <w:r>
              <w:rPr>
                <w:rFonts w:hint="default" w:ascii="Times New Roman" w:hAnsi="Times New Roman" w:cs="Times New Roman"/>
                <w:lang w:val="en-US" w:eastAsia="zh-CN"/>
              </w:rPr>
              <w:t>是</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B1A9C6">
            <w:pPr>
              <w:pStyle w:val="40"/>
              <w:bidi w:val="0"/>
              <w:rPr>
                <w:rFonts w:hint="default" w:ascii="Times New Roman" w:hAnsi="Times New Roman" w:cs="Times New Roman"/>
              </w:rPr>
            </w:pPr>
            <w:r>
              <w:rPr>
                <w:rFonts w:hint="default" w:ascii="Times New Roman" w:hAnsi="Times New Roman" w:cs="Times New Roman"/>
                <w:lang w:val="en-US" w:eastAsia="zh-CN"/>
              </w:rPr>
              <w:t>易燃</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CEAC66">
            <w:pPr>
              <w:pStyle w:val="40"/>
              <w:bidi w:val="0"/>
              <w:rPr>
                <w:rFonts w:hint="default" w:ascii="Times New Roman" w:hAnsi="Times New Roman" w:cs="Times New Roman"/>
              </w:rPr>
            </w:pPr>
            <w:r>
              <w:rPr>
                <w:rFonts w:hint="default" w:ascii="Times New Roman" w:hAnsi="Times New Roman" w:cs="Times New Roman"/>
                <w:lang w:val="en-US" w:eastAsia="zh-CN"/>
              </w:rPr>
              <w:t>0.024</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8A1020">
            <w:pPr>
              <w:pStyle w:val="40"/>
              <w:bidi w:val="0"/>
              <w:rPr>
                <w:rFonts w:hint="default" w:ascii="Times New Roman" w:hAnsi="Times New Roman" w:cs="Times New Roman"/>
              </w:rPr>
            </w:pPr>
            <w:r>
              <w:rPr>
                <w:rFonts w:hint="default" w:ascii="Times New Roman" w:hAnsi="Times New Roman" w:cs="Times New Roman"/>
                <w:lang w:val="en-US" w:eastAsia="zh-CN"/>
              </w:rPr>
              <w:t>管道</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E5B2F30">
            <w:pPr>
              <w:pStyle w:val="40"/>
              <w:bidi w:val="0"/>
              <w:rPr>
                <w:rFonts w:hint="default" w:ascii="Times New Roman" w:hAnsi="Times New Roman" w:cs="Times New Roman"/>
              </w:rPr>
            </w:pPr>
            <w:r>
              <w:rPr>
                <w:rFonts w:hint="default" w:ascii="Times New Roman" w:hAnsi="Times New Roman" w:cs="Times New Roman"/>
                <w:lang w:val="en-US" w:eastAsia="zh-CN"/>
              </w:rPr>
              <w:t>在线量</w:t>
            </w:r>
          </w:p>
        </w:tc>
      </w:tr>
      <w:tr w14:paraId="0A253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0" w:hRule="atLeast"/>
        </w:trPr>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68119B">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6</w:t>
            </w:r>
          </w:p>
        </w:tc>
        <w:tc>
          <w:tcPr>
            <w:tcW w:w="62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A5CF492">
            <w:pPr>
              <w:pStyle w:val="40"/>
              <w:bidi w:val="0"/>
              <w:rPr>
                <w:rFonts w:hint="default" w:ascii="Times New Roman" w:hAnsi="Times New Roman" w:cs="Times New Roman"/>
              </w:rPr>
            </w:pPr>
            <w:r>
              <w:rPr>
                <w:rFonts w:hint="default" w:ascii="Times New Roman" w:hAnsi="Times New Roman" w:cs="Times New Roman"/>
                <w:lang w:val="en-US" w:eastAsia="zh-CN"/>
              </w:rPr>
              <w:t>污染物</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3EDB490">
            <w:pPr>
              <w:pStyle w:val="40"/>
              <w:bidi w:val="0"/>
              <w:rPr>
                <w:rFonts w:hint="default" w:ascii="Times New Roman" w:hAnsi="Times New Roman" w:cs="Times New Roman"/>
              </w:rPr>
            </w:pPr>
            <w:r>
              <w:rPr>
                <w:rFonts w:hint="default" w:ascii="Times New Roman" w:hAnsi="Times New Roman" w:cs="Times New Roman"/>
                <w:lang w:val="en-US" w:eastAsia="zh-CN"/>
              </w:rPr>
              <w:t>残液（</w:t>
            </w:r>
            <w:r>
              <w:rPr>
                <w:rFonts w:hint="eastAsia" w:cs="Times New Roman"/>
                <w:lang w:val="en-US" w:eastAsia="zh-CN"/>
              </w:rPr>
              <w:t>LPG</w:t>
            </w:r>
            <w:r>
              <w:rPr>
                <w:rFonts w:hint="default" w:ascii="Times New Roman" w:hAnsi="Times New Roman" w:cs="Times New Roman"/>
                <w:lang w:val="en-US" w:eastAsia="zh-CN"/>
              </w:rPr>
              <w:t>）</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818B36">
            <w:pPr>
              <w:pStyle w:val="40"/>
              <w:bidi w:val="0"/>
              <w:rPr>
                <w:rFonts w:hint="default" w:ascii="Times New Roman" w:hAnsi="Times New Roman" w:cs="Times New Roman"/>
              </w:rPr>
            </w:pPr>
            <w:r>
              <w:rPr>
                <w:rFonts w:hint="default" w:ascii="Times New Roman" w:hAnsi="Times New Roman" w:cs="Times New Roman"/>
                <w:lang w:val="en-US" w:eastAsia="zh-CN"/>
              </w:rPr>
              <w:t>储罐</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3A0D6BA">
            <w:pPr>
              <w:pStyle w:val="40"/>
              <w:bidi w:val="0"/>
              <w:rPr>
                <w:rFonts w:hint="default" w:ascii="Times New Roman" w:hAnsi="Times New Roman" w:cs="Times New Roman"/>
              </w:rPr>
            </w:pPr>
            <w:r>
              <w:rPr>
                <w:rFonts w:hint="default" w:ascii="Times New Roman" w:hAnsi="Times New Roman" w:cs="Times New Roman"/>
                <w:lang w:val="en-US" w:eastAsia="zh-CN"/>
              </w:rPr>
              <w:t>是</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37AAA9">
            <w:pPr>
              <w:pStyle w:val="40"/>
              <w:bidi w:val="0"/>
              <w:rPr>
                <w:rFonts w:hint="default" w:ascii="Times New Roman" w:hAnsi="Times New Roman" w:cs="Times New Roman"/>
              </w:rPr>
            </w:pPr>
            <w:r>
              <w:rPr>
                <w:rFonts w:hint="default" w:ascii="Times New Roman" w:hAnsi="Times New Roman" w:cs="Times New Roman"/>
                <w:lang w:val="en-US" w:eastAsia="zh-CN"/>
              </w:rPr>
              <w:t>/</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4AD28B">
            <w:pPr>
              <w:pStyle w:val="40"/>
              <w:bidi w:val="0"/>
              <w:rPr>
                <w:rFonts w:hint="default" w:ascii="Times New Roman" w:hAnsi="Times New Roman" w:cs="Times New Roman"/>
                <w:lang w:val="en-US"/>
              </w:rPr>
            </w:pPr>
            <w:r>
              <w:rPr>
                <w:rFonts w:hint="eastAsia" w:cs="Times New Roman"/>
                <w:lang w:val="en-US" w:eastAsia="zh-CN"/>
              </w:rPr>
              <w:t>0.23</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155A3F">
            <w:pPr>
              <w:pStyle w:val="40"/>
              <w:bidi w:val="0"/>
              <w:rPr>
                <w:rFonts w:hint="default" w:ascii="Times New Roman" w:hAnsi="Times New Roman" w:cs="Times New Roman"/>
              </w:rPr>
            </w:pPr>
            <w:r>
              <w:rPr>
                <w:rFonts w:hint="eastAsia" w:cs="Times New Roman"/>
                <w:lang w:val="en-US" w:eastAsia="zh-CN"/>
              </w:rPr>
              <w:t>危废间</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03213B8">
            <w:pPr>
              <w:pStyle w:val="40"/>
              <w:bidi w:val="0"/>
              <w:rPr>
                <w:rFonts w:hint="default" w:ascii="Times New Roman" w:hAnsi="Times New Roman" w:cs="Times New Roman"/>
              </w:rPr>
            </w:pPr>
            <w:r>
              <w:rPr>
                <w:rFonts w:hint="eastAsia" w:cs="Times New Roman"/>
                <w:lang w:val="en-US" w:eastAsia="zh-CN"/>
              </w:rPr>
              <w:t>1</w:t>
            </w:r>
            <w:r>
              <w:rPr>
                <w:rFonts w:hint="default" w:ascii="Times New Roman" w:hAnsi="Times New Roman" w:cs="Times New Roman"/>
                <w:lang w:val="en-US" w:eastAsia="zh-CN"/>
              </w:rPr>
              <w:t>个月</w:t>
            </w:r>
          </w:p>
        </w:tc>
      </w:tr>
      <w:tr w14:paraId="525BD9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45" w:hRule="atLeast"/>
        </w:trPr>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E7FD071">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7</w:t>
            </w:r>
          </w:p>
        </w:tc>
        <w:tc>
          <w:tcPr>
            <w:tcW w:w="625"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E80AC73">
            <w:pPr>
              <w:pStyle w:val="40"/>
              <w:bidi w:val="0"/>
              <w:rPr>
                <w:rFonts w:hint="default" w:ascii="Times New Roman" w:hAnsi="Times New Roman" w:cs="Times New Roman"/>
              </w:rPr>
            </w:pP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28667">
            <w:pPr>
              <w:pStyle w:val="40"/>
              <w:bidi w:val="0"/>
              <w:rPr>
                <w:rFonts w:hint="default" w:ascii="Times New Roman" w:hAnsi="Times New Roman" w:cs="Times New Roman"/>
              </w:rPr>
            </w:pPr>
            <w:r>
              <w:rPr>
                <w:rFonts w:hint="default" w:ascii="Times New Roman" w:hAnsi="Times New Roman" w:cs="Times New Roman"/>
                <w:lang w:val="en-US" w:eastAsia="zh-CN"/>
              </w:rPr>
              <w:t>废矿物油</w:t>
            </w:r>
          </w:p>
        </w:tc>
        <w:tc>
          <w:tcPr>
            <w:tcW w:w="68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4967534">
            <w:pPr>
              <w:pStyle w:val="40"/>
              <w:bidi w:val="0"/>
              <w:rPr>
                <w:rFonts w:hint="default" w:ascii="Times New Roman" w:hAnsi="Times New Roman" w:cs="Times New Roman"/>
              </w:rPr>
            </w:pPr>
            <w:r>
              <w:rPr>
                <w:rFonts w:hint="default" w:ascii="Times New Roman" w:hAnsi="Times New Roman" w:cs="Times New Roman"/>
                <w:lang w:val="en-US" w:eastAsia="zh-CN"/>
              </w:rPr>
              <w:t>密封桶</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A5DC395">
            <w:pPr>
              <w:pStyle w:val="40"/>
              <w:bidi w:val="0"/>
              <w:rPr>
                <w:rFonts w:hint="default" w:ascii="Times New Roman" w:hAnsi="Times New Roman" w:cs="Times New Roman"/>
              </w:rPr>
            </w:pPr>
            <w:r>
              <w:rPr>
                <w:rFonts w:hint="default" w:ascii="Times New Roman" w:hAnsi="Times New Roman" w:cs="Times New Roman"/>
                <w:lang w:val="en-US" w:eastAsia="zh-CN"/>
              </w:rPr>
              <w:t>是</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9A5D8">
            <w:pPr>
              <w:pStyle w:val="40"/>
              <w:bidi w:val="0"/>
              <w:rPr>
                <w:rFonts w:hint="default" w:ascii="Times New Roman" w:hAnsi="Times New Roman" w:cs="Times New Roman"/>
              </w:rPr>
            </w:pPr>
            <w:r>
              <w:rPr>
                <w:rFonts w:hint="default" w:ascii="Times New Roman" w:hAnsi="Times New Roman" w:cs="Times New Roman"/>
                <w:lang w:val="en-US" w:eastAsia="zh-CN"/>
              </w:rPr>
              <w:t>易燃</w:t>
            </w:r>
          </w:p>
        </w:tc>
        <w:tc>
          <w:tcPr>
            <w:tcW w:w="551"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A87804">
            <w:pPr>
              <w:pStyle w:val="40"/>
              <w:bidi w:val="0"/>
              <w:rPr>
                <w:rFonts w:hint="default" w:ascii="Times New Roman" w:hAnsi="Times New Roman" w:cs="Times New Roman"/>
                <w:lang w:val="en-US"/>
              </w:rPr>
            </w:pPr>
            <w:r>
              <w:rPr>
                <w:rFonts w:hint="default" w:ascii="Times New Roman" w:hAnsi="Times New Roman" w:cs="Times New Roman"/>
                <w:lang w:val="en-US" w:eastAsia="zh-CN"/>
              </w:rPr>
              <w:t>0.</w:t>
            </w:r>
            <w:r>
              <w:rPr>
                <w:rFonts w:hint="eastAsia" w:cs="Times New Roman"/>
                <w:lang w:val="en-US" w:eastAsia="zh-CN"/>
              </w:rPr>
              <w:t>10</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D1F46F">
            <w:pPr>
              <w:pStyle w:val="40"/>
              <w:bidi w:val="0"/>
              <w:rPr>
                <w:rFonts w:hint="default" w:ascii="Times New Roman" w:hAnsi="Times New Roman" w:cs="Times New Roman"/>
              </w:rPr>
            </w:pPr>
            <w:r>
              <w:rPr>
                <w:rFonts w:hint="default" w:ascii="Times New Roman" w:hAnsi="Times New Roman" w:cs="Times New Roman"/>
                <w:lang w:val="en-US" w:eastAsia="zh-CN"/>
              </w:rPr>
              <w:t>危废间</w:t>
            </w:r>
          </w:p>
        </w:tc>
        <w:tc>
          <w:tcPr>
            <w:tcW w:w="48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C613246">
            <w:pPr>
              <w:pStyle w:val="40"/>
              <w:bidi w:val="0"/>
              <w:rPr>
                <w:rFonts w:hint="default" w:ascii="Times New Roman" w:hAnsi="Times New Roman" w:cs="Times New Roman"/>
              </w:rPr>
            </w:pPr>
            <w:r>
              <w:rPr>
                <w:rFonts w:hint="default" w:ascii="Times New Roman" w:hAnsi="Times New Roman" w:cs="Times New Roman"/>
                <w:lang w:val="en-US" w:eastAsia="zh-CN"/>
              </w:rPr>
              <w:t>12个月</w:t>
            </w:r>
          </w:p>
        </w:tc>
      </w:tr>
    </w:tbl>
    <w:p w14:paraId="2AC74686">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8"/>
          <w:szCs w:val="24"/>
          <w:highlight w:val="none"/>
          <w:lang w:val="en-US" w:eastAsia="zh-CN" w:bidi="ar-SA"/>
        </w:rPr>
      </w:pPr>
      <w:r>
        <w:rPr>
          <w:rFonts w:hint="default" w:ascii="Times New Roman" w:hAnsi="Times New Roman" w:eastAsia="宋体" w:cs="Times New Roman"/>
          <w:b w:val="0"/>
          <w:color w:val="auto"/>
          <w:kern w:val="2"/>
          <w:sz w:val="28"/>
          <w:szCs w:val="24"/>
          <w:highlight w:val="none"/>
          <w:lang w:val="en-US" w:eastAsia="zh-CN" w:bidi="ar-SA"/>
        </w:rPr>
        <w:t>环境敏感目标调查</w:t>
      </w:r>
    </w:p>
    <w:p w14:paraId="79D7507B">
      <w:pPr>
        <w:pStyle w:val="58"/>
        <w:bidi w:val="0"/>
        <w:rPr>
          <w:rFonts w:hint="default" w:ascii="Times New Roman" w:hAnsi="Times New Roman" w:cs="Times New Roman"/>
          <w:color w:val="auto"/>
          <w:highlight w:val="none"/>
        </w:rPr>
      </w:pPr>
      <w:r>
        <w:rPr>
          <w:rFonts w:hint="default" w:ascii="Times New Roman" w:hAnsi="Times New Roman" w:cs="Times New Roman"/>
          <w:color w:val="auto"/>
        </w:rPr>
        <w:t>根据现场调查</w:t>
      </w:r>
      <w:r>
        <w:rPr>
          <w:rFonts w:hint="default" w:ascii="Times New Roman" w:hAnsi="Times New Roman" w:cs="Times New Roman"/>
          <w:color w:val="auto"/>
          <w:lang w:eastAsia="zh-CN"/>
        </w:rPr>
        <w:t>，</w:t>
      </w:r>
      <w:r>
        <w:rPr>
          <w:rFonts w:hint="default" w:ascii="Times New Roman" w:hAnsi="Times New Roman" w:cs="Times New Roman"/>
          <w:color w:val="auto"/>
        </w:rPr>
        <w:t>本项目厂址周边内无水源保护区、自然保护区、风景名胜区、文物古迹等环境敏感点</w:t>
      </w:r>
      <w:r>
        <w:rPr>
          <w:rFonts w:hint="default" w:ascii="Times New Roman" w:hAnsi="Times New Roman" w:cs="Times New Roman"/>
          <w:color w:val="auto"/>
          <w:lang w:eastAsia="zh-CN"/>
        </w:rPr>
        <w:t>，</w:t>
      </w:r>
      <w:r>
        <w:rPr>
          <w:rFonts w:hint="default" w:ascii="Times New Roman" w:hAnsi="Times New Roman" w:cs="Times New Roman"/>
          <w:color w:val="auto"/>
        </w:rPr>
        <w:t>无铁路</w:t>
      </w:r>
      <w:r>
        <w:rPr>
          <w:rFonts w:hint="default" w:ascii="Times New Roman" w:hAnsi="Times New Roman" w:cs="Times New Roman"/>
          <w:color w:val="auto"/>
          <w:lang w:eastAsia="zh-CN"/>
        </w:rPr>
        <w:t>、</w:t>
      </w:r>
      <w:r>
        <w:rPr>
          <w:rFonts w:hint="default" w:ascii="Times New Roman" w:hAnsi="Times New Roman" w:cs="Times New Roman"/>
          <w:color w:val="auto"/>
        </w:rPr>
        <w:t>无省级以上公路</w:t>
      </w:r>
      <w:r>
        <w:rPr>
          <w:rFonts w:hint="default" w:ascii="Times New Roman" w:hAnsi="Times New Roman" w:cs="Times New Roman"/>
          <w:color w:val="auto"/>
          <w:lang w:eastAsia="zh-CN"/>
        </w:rPr>
        <w:t>，</w:t>
      </w:r>
      <w:r>
        <w:rPr>
          <w:rFonts w:hint="default" w:ascii="Times New Roman" w:hAnsi="Times New Roman" w:cs="Times New Roman"/>
          <w:color w:val="auto"/>
        </w:rPr>
        <w:t>无常年地表水系、无水库和自然保护区及国家珍稀动植物，</w:t>
      </w:r>
      <w:r>
        <w:rPr>
          <w:rFonts w:hint="default" w:ascii="Times New Roman" w:hAnsi="Times New Roman" w:cs="Times New Roman"/>
          <w:color w:val="auto"/>
          <w:lang w:val="en-US" w:eastAsia="zh-CN"/>
        </w:rPr>
        <w:t>本次评价调查了项目区周边5km的敏感目标，</w:t>
      </w:r>
      <w:r>
        <w:rPr>
          <w:rFonts w:hint="default" w:ascii="Times New Roman" w:hAnsi="Times New Roman" w:cs="Times New Roman"/>
          <w:color w:val="auto"/>
        </w:rPr>
        <w:t>保护目标表见</w:t>
      </w:r>
      <w:r>
        <w:rPr>
          <w:rFonts w:hint="default" w:ascii="Times New Roman" w:hAnsi="Times New Roman" w:cs="Times New Roman"/>
          <w:color w:val="auto"/>
          <w:lang w:val="en-US" w:eastAsia="zh-CN"/>
        </w:rPr>
        <w:t>表2.3</w:t>
      </w:r>
      <w:r>
        <w:rPr>
          <w:rFonts w:hint="default" w:ascii="Times New Roman" w:hAnsi="Times New Roman" w:cs="Times New Roman"/>
          <w:color w:val="auto"/>
          <w:highlight w:val="none"/>
          <w:lang w:val="en-US" w:eastAsia="zh-CN"/>
        </w:rPr>
        <w:t>-2，</w:t>
      </w:r>
      <w:r>
        <w:rPr>
          <w:rFonts w:hint="eastAsia" w:ascii="Times New Roman" w:hAnsi="Times New Roman" w:cs="Times New Roman"/>
          <w:color w:val="auto"/>
          <w:highlight w:val="none"/>
          <w:lang w:val="en-US" w:eastAsia="zh-CN"/>
        </w:rPr>
        <w:t>评价</w:t>
      </w:r>
      <w:r>
        <w:rPr>
          <w:rFonts w:hint="default" w:ascii="Times New Roman" w:hAnsi="Times New Roman" w:cs="Times New Roman"/>
          <w:color w:val="auto"/>
          <w:highlight w:val="none"/>
          <w:lang w:val="en-US" w:eastAsia="zh-CN"/>
        </w:rPr>
        <w:t>范围图见</w:t>
      </w:r>
      <w:r>
        <w:rPr>
          <w:rFonts w:hint="eastAsia" w:ascii="Times New Roman" w:hAnsi="Times New Roman" w:cs="Times New Roman"/>
          <w:color w:val="auto"/>
          <w:highlight w:val="none"/>
          <w:lang w:val="en-US" w:eastAsia="zh-CN"/>
        </w:rPr>
        <w:t>附</w:t>
      </w:r>
      <w:r>
        <w:rPr>
          <w:rFonts w:hint="default" w:ascii="Times New Roman" w:hAnsi="Times New Roman" w:cs="Times New Roman"/>
          <w:color w:val="auto"/>
          <w:highlight w:val="none"/>
          <w:lang w:val="en-US" w:eastAsia="zh-CN"/>
        </w:rPr>
        <w:t>图2-1</w:t>
      </w:r>
      <w:r>
        <w:rPr>
          <w:rFonts w:hint="default" w:ascii="Times New Roman" w:hAnsi="Times New Roman" w:cs="Times New Roman"/>
          <w:color w:val="auto"/>
          <w:highlight w:val="none"/>
        </w:rPr>
        <w:t>。</w:t>
      </w:r>
    </w:p>
    <w:p w14:paraId="652CC9D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w:t>
      </w:r>
      <w:r>
        <w:rPr>
          <w:rFonts w:hint="default" w:ascii="Times New Roman" w:hAnsi="Times New Roman" w:cs="Times New Roman"/>
          <w:b/>
          <w:color w:val="auto"/>
          <w:sz w:val="21"/>
          <w:szCs w:val="21"/>
          <w:highlight w:val="none"/>
          <w:lang w:val="en-US" w:eastAsia="zh-CN"/>
        </w:rPr>
        <w:t>2.3-2</w:t>
      </w:r>
      <w:r>
        <w:rPr>
          <w:rFonts w:hint="default" w:ascii="Times New Roman" w:hAnsi="Times New Roman" w:cs="Times New Roman"/>
          <w:b/>
          <w:color w:val="auto"/>
          <w:sz w:val="21"/>
          <w:szCs w:val="21"/>
          <w:highlight w:val="none"/>
        </w:rPr>
        <w:t xml:space="preserve">   本项目</w:t>
      </w:r>
      <w:r>
        <w:rPr>
          <w:rFonts w:hint="default" w:ascii="Times New Roman" w:hAnsi="Times New Roman" w:cs="Times New Roman"/>
          <w:b/>
          <w:color w:val="auto"/>
          <w:sz w:val="21"/>
          <w:szCs w:val="21"/>
          <w:highlight w:val="none"/>
          <w:lang w:val="en-US" w:eastAsia="zh-CN"/>
        </w:rPr>
        <w:t>调查范围</w:t>
      </w:r>
      <w:r>
        <w:rPr>
          <w:rFonts w:hint="default" w:ascii="Times New Roman" w:hAnsi="Times New Roman" w:cs="Times New Roman"/>
          <w:b/>
          <w:color w:val="auto"/>
          <w:sz w:val="21"/>
          <w:szCs w:val="21"/>
          <w:highlight w:val="none"/>
        </w:rPr>
        <w:t>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1"/>
        <w:gridCol w:w="330"/>
        <w:gridCol w:w="1584"/>
        <w:gridCol w:w="1703"/>
        <w:gridCol w:w="988"/>
        <w:gridCol w:w="1176"/>
        <w:gridCol w:w="853"/>
        <w:gridCol w:w="404"/>
        <w:gridCol w:w="998"/>
      </w:tblGrid>
      <w:tr w14:paraId="36AB6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tcBorders>
              <w:tl2br w:val="nil"/>
              <w:tr2bl w:val="nil"/>
            </w:tcBorders>
            <w:noWrap w:val="0"/>
            <w:tcMar>
              <w:left w:w="57" w:type="dxa"/>
              <w:right w:w="57" w:type="dxa"/>
            </w:tcMar>
            <w:vAlign w:val="center"/>
          </w:tcPr>
          <w:p w14:paraId="10D43F8C">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4773" w:type="pct"/>
            <w:gridSpan w:val="8"/>
            <w:tcBorders>
              <w:tl2br w:val="nil"/>
              <w:tr2bl w:val="nil"/>
            </w:tcBorders>
            <w:noWrap w:val="0"/>
            <w:tcMar>
              <w:left w:w="57" w:type="dxa"/>
              <w:right w:w="57" w:type="dxa"/>
            </w:tcMar>
            <w:vAlign w:val="center"/>
          </w:tcPr>
          <w:p w14:paraId="5FCFC2CB">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环境敏感特征</w:t>
            </w:r>
          </w:p>
        </w:tc>
      </w:tr>
      <w:tr w14:paraId="60E40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restart"/>
            <w:tcBorders>
              <w:tl2br w:val="nil"/>
              <w:tr2bl w:val="nil"/>
            </w:tcBorders>
            <w:noWrap w:val="0"/>
            <w:tcMar>
              <w:left w:w="57" w:type="dxa"/>
              <w:right w:w="57" w:type="dxa"/>
            </w:tcMar>
            <w:vAlign w:val="center"/>
          </w:tcPr>
          <w:p w14:paraId="06E80B93">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p w14:paraId="4360DD73">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空气</w:t>
            </w:r>
          </w:p>
        </w:tc>
        <w:tc>
          <w:tcPr>
            <w:tcW w:w="4773" w:type="pct"/>
            <w:gridSpan w:val="8"/>
            <w:tcBorders>
              <w:tl2br w:val="nil"/>
              <w:tr2bl w:val="nil"/>
            </w:tcBorders>
            <w:noWrap w:val="0"/>
            <w:tcMar>
              <w:left w:w="57" w:type="dxa"/>
              <w:right w:w="57" w:type="dxa"/>
            </w:tcMar>
            <w:vAlign w:val="center"/>
          </w:tcPr>
          <w:p w14:paraId="30BB0813">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w:t>
            </w:r>
            <w:r>
              <w:rPr>
                <w:rFonts w:hint="default" w:ascii="Times New Roman" w:hAnsi="Times New Roman" w:eastAsia="宋体" w:cs="Times New Roman"/>
                <w:color w:val="auto"/>
                <w:sz w:val="21"/>
                <w:szCs w:val="21"/>
                <w:highlight w:val="none"/>
              </w:rPr>
              <w:t>周边5km范围内</w:t>
            </w:r>
          </w:p>
        </w:tc>
      </w:tr>
      <w:tr w14:paraId="3115F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23239065">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686640A1">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940" w:type="pct"/>
            <w:tcBorders>
              <w:tl2br w:val="nil"/>
              <w:tr2bl w:val="nil"/>
            </w:tcBorders>
            <w:noWrap w:val="0"/>
            <w:tcMar>
              <w:left w:w="57" w:type="dxa"/>
              <w:right w:w="57" w:type="dxa"/>
            </w:tcMar>
            <w:vAlign w:val="center"/>
          </w:tcPr>
          <w:p w14:paraId="5C476F7F">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011" w:type="pct"/>
            <w:tcBorders>
              <w:tl2br w:val="nil"/>
              <w:tr2bl w:val="nil"/>
            </w:tcBorders>
            <w:noWrap w:val="0"/>
            <w:tcMar>
              <w:left w:w="57" w:type="dxa"/>
              <w:right w:w="57" w:type="dxa"/>
            </w:tcMar>
            <w:vAlign w:val="center"/>
          </w:tcPr>
          <w:p w14:paraId="61BA1CE4">
            <w:pPr>
              <w:keepNext w:val="0"/>
              <w:keepLines w:val="0"/>
              <w:suppressLineNumbers w:val="0"/>
              <w:snapToGrid w:val="0"/>
              <w:spacing w:before="0" w:beforeAutospacing="0" w:after="0" w:afterAutospacing="0" w:line="240" w:lineRule="exact"/>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坐标</w:t>
            </w:r>
          </w:p>
        </w:tc>
        <w:tc>
          <w:tcPr>
            <w:tcW w:w="586" w:type="pct"/>
            <w:tcBorders>
              <w:tl2br w:val="nil"/>
              <w:tr2bl w:val="nil"/>
            </w:tcBorders>
            <w:noWrap w:val="0"/>
            <w:tcMar>
              <w:left w:w="57" w:type="dxa"/>
              <w:right w:w="57" w:type="dxa"/>
            </w:tcMar>
            <w:vAlign w:val="center"/>
          </w:tcPr>
          <w:p w14:paraId="303D7280">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相对方位</w:t>
            </w:r>
          </w:p>
        </w:tc>
        <w:tc>
          <w:tcPr>
            <w:tcW w:w="698" w:type="pct"/>
            <w:tcBorders>
              <w:tl2br w:val="nil"/>
              <w:tr2bl w:val="nil"/>
            </w:tcBorders>
            <w:noWrap w:val="0"/>
            <w:tcMar>
              <w:left w:w="57" w:type="dxa"/>
              <w:right w:w="57" w:type="dxa"/>
            </w:tcMar>
            <w:vAlign w:val="center"/>
          </w:tcPr>
          <w:p w14:paraId="4BF68248">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距离（m）</w:t>
            </w:r>
          </w:p>
        </w:tc>
        <w:tc>
          <w:tcPr>
            <w:tcW w:w="506" w:type="pct"/>
            <w:tcBorders>
              <w:tl2br w:val="nil"/>
              <w:tr2bl w:val="nil"/>
            </w:tcBorders>
            <w:noWrap w:val="0"/>
            <w:tcMar>
              <w:left w:w="57" w:type="dxa"/>
              <w:right w:w="57" w:type="dxa"/>
            </w:tcMar>
            <w:vAlign w:val="center"/>
          </w:tcPr>
          <w:p w14:paraId="7A40F66F">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属性</w:t>
            </w:r>
          </w:p>
        </w:tc>
        <w:tc>
          <w:tcPr>
            <w:tcW w:w="832" w:type="pct"/>
            <w:gridSpan w:val="2"/>
            <w:tcBorders>
              <w:tl2br w:val="nil"/>
              <w:tr2bl w:val="nil"/>
            </w:tcBorders>
            <w:noWrap w:val="0"/>
            <w:tcMar>
              <w:left w:w="57" w:type="dxa"/>
              <w:right w:w="57" w:type="dxa"/>
            </w:tcMar>
            <w:vAlign w:val="center"/>
          </w:tcPr>
          <w:p w14:paraId="2E0DC5C3">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人口数</w:t>
            </w:r>
          </w:p>
        </w:tc>
      </w:tr>
      <w:tr w14:paraId="188D4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6D621EA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45FE27D3">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940" w:type="pct"/>
            <w:tcBorders>
              <w:tl2br w:val="nil"/>
              <w:tr2bl w:val="nil"/>
            </w:tcBorders>
            <w:shd w:val="clear" w:color="auto" w:fill="auto"/>
            <w:noWrap w:val="0"/>
            <w:tcMar>
              <w:left w:w="57" w:type="dxa"/>
              <w:right w:w="57" w:type="dxa"/>
            </w:tcMar>
            <w:vAlign w:val="center"/>
          </w:tcPr>
          <w:p w14:paraId="650EFD0B">
            <w:pPr>
              <w:adjustRightInd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土黑麻淖村</w:t>
            </w:r>
          </w:p>
        </w:tc>
        <w:tc>
          <w:tcPr>
            <w:tcW w:w="1011" w:type="pct"/>
            <w:tcBorders>
              <w:tl2br w:val="nil"/>
              <w:tr2bl w:val="nil"/>
            </w:tcBorders>
            <w:shd w:val="clear" w:color="auto" w:fill="auto"/>
            <w:noWrap w:val="0"/>
            <w:tcMar>
              <w:left w:w="57" w:type="dxa"/>
              <w:right w:w="57" w:type="dxa"/>
            </w:tcMar>
            <w:vAlign w:val="center"/>
          </w:tcPr>
          <w:p w14:paraId="206FA7C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109°37′35.66940″,40°35′20.66635″</w:t>
            </w:r>
          </w:p>
        </w:tc>
        <w:tc>
          <w:tcPr>
            <w:tcW w:w="586" w:type="pct"/>
            <w:tcBorders>
              <w:tl2br w:val="nil"/>
              <w:tr2bl w:val="nil"/>
            </w:tcBorders>
            <w:shd w:val="clear" w:color="auto" w:fill="auto"/>
            <w:noWrap w:val="0"/>
            <w:tcMar>
              <w:left w:w="57" w:type="dxa"/>
              <w:right w:w="57" w:type="dxa"/>
            </w:tcMar>
            <w:vAlign w:val="center"/>
          </w:tcPr>
          <w:p w14:paraId="1AE6792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NW</w:t>
            </w:r>
          </w:p>
        </w:tc>
        <w:tc>
          <w:tcPr>
            <w:tcW w:w="698" w:type="pct"/>
            <w:tcBorders>
              <w:tl2br w:val="nil"/>
              <w:tr2bl w:val="nil"/>
            </w:tcBorders>
            <w:shd w:val="clear" w:color="auto" w:fill="auto"/>
            <w:noWrap w:val="0"/>
            <w:tcMar>
              <w:left w:w="57" w:type="dxa"/>
              <w:right w:w="57" w:type="dxa"/>
            </w:tcMar>
            <w:vAlign w:val="center"/>
          </w:tcPr>
          <w:p w14:paraId="032CEFF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1588</w:t>
            </w:r>
          </w:p>
        </w:tc>
        <w:tc>
          <w:tcPr>
            <w:tcW w:w="506" w:type="pct"/>
            <w:tcBorders>
              <w:tl2br w:val="nil"/>
              <w:tr2bl w:val="nil"/>
            </w:tcBorders>
            <w:shd w:val="clear" w:color="auto" w:fill="auto"/>
            <w:noWrap w:val="0"/>
            <w:tcMar>
              <w:left w:w="57" w:type="dxa"/>
              <w:right w:w="57" w:type="dxa"/>
            </w:tcMar>
            <w:vAlign w:val="center"/>
          </w:tcPr>
          <w:p w14:paraId="65E7697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023805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330户，1203人</w:t>
            </w:r>
          </w:p>
        </w:tc>
      </w:tr>
      <w:tr w14:paraId="0C3B3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68FE5FA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36DC548B">
            <w:pPr>
              <w:keepNext w:val="0"/>
              <w:keepLines w:val="0"/>
              <w:suppressLineNumbers w:val="0"/>
              <w:snapToGrid w:val="0"/>
              <w:spacing w:before="0" w:beforeAutospacing="0" w:after="0" w:afterAutospacing="0" w:line="240" w:lineRule="exact"/>
              <w:ind w:left="0" w:right="0"/>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940" w:type="pct"/>
            <w:tcBorders>
              <w:tl2br w:val="nil"/>
              <w:tr2bl w:val="nil"/>
            </w:tcBorders>
            <w:shd w:val="clear" w:color="auto" w:fill="auto"/>
            <w:noWrap w:val="0"/>
            <w:tcMar>
              <w:left w:w="57" w:type="dxa"/>
              <w:right w:w="57" w:type="dxa"/>
            </w:tcMar>
            <w:vAlign w:val="center"/>
          </w:tcPr>
          <w:p w14:paraId="4889A9B7">
            <w:pPr>
              <w:adjustRightInd w:val="0"/>
              <w:snapToGrid w:val="0"/>
              <w:ind w:left="-105" w:leftChars="-50" w:right="-105" w:rightChars="-50"/>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智家圪旦村</w:t>
            </w:r>
          </w:p>
        </w:tc>
        <w:tc>
          <w:tcPr>
            <w:tcW w:w="1011" w:type="pct"/>
            <w:tcBorders>
              <w:tl2br w:val="nil"/>
              <w:tr2bl w:val="nil"/>
            </w:tcBorders>
            <w:shd w:val="clear" w:color="auto" w:fill="auto"/>
            <w:noWrap w:val="0"/>
            <w:tcMar>
              <w:left w:w="57" w:type="dxa"/>
              <w:right w:w="57" w:type="dxa"/>
            </w:tcMar>
            <w:vAlign w:val="center"/>
          </w:tcPr>
          <w:p w14:paraId="2F6CD0F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109°37′4.15237″,</w:t>
            </w:r>
          </w:p>
          <w:p w14:paraId="16DD02F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40°35′17.26745″</w:t>
            </w:r>
          </w:p>
        </w:tc>
        <w:tc>
          <w:tcPr>
            <w:tcW w:w="586" w:type="pct"/>
            <w:tcBorders>
              <w:tl2br w:val="nil"/>
              <w:tr2bl w:val="nil"/>
            </w:tcBorders>
            <w:shd w:val="clear" w:color="auto" w:fill="auto"/>
            <w:noWrap w:val="0"/>
            <w:tcMar>
              <w:left w:w="57" w:type="dxa"/>
              <w:right w:w="57" w:type="dxa"/>
            </w:tcMar>
            <w:vAlign w:val="center"/>
          </w:tcPr>
          <w:p w14:paraId="10CB82F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NW</w:t>
            </w:r>
          </w:p>
        </w:tc>
        <w:tc>
          <w:tcPr>
            <w:tcW w:w="698" w:type="pct"/>
            <w:tcBorders>
              <w:tl2br w:val="nil"/>
              <w:tr2bl w:val="nil"/>
            </w:tcBorders>
            <w:shd w:val="clear" w:color="auto" w:fill="auto"/>
            <w:noWrap w:val="0"/>
            <w:tcMar>
              <w:left w:w="57" w:type="dxa"/>
              <w:right w:w="57" w:type="dxa"/>
            </w:tcMar>
            <w:vAlign w:val="center"/>
          </w:tcPr>
          <w:p w14:paraId="788273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2532</w:t>
            </w:r>
          </w:p>
        </w:tc>
        <w:tc>
          <w:tcPr>
            <w:tcW w:w="506" w:type="pct"/>
            <w:tcBorders>
              <w:tl2br w:val="nil"/>
              <w:tr2bl w:val="nil"/>
            </w:tcBorders>
            <w:shd w:val="clear" w:color="auto" w:fill="auto"/>
            <w:noWrap w:val="0"/>
            <w:tcMar>
              <w:left w:w="57" w:type="dxa"/>
              <w:right w:w="57" w:type="dxa"/>
            </w:tcMar>
            <w:vAlign w:val="center"/>
          </w:tcPr>
          <w:p w14:paraId="63D6F3F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0D58E7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50户，150人</w:t>
            </w:r>
          </w:p>
        </w:tc>
      </w:tr>
      <w:tr w14:paraId="6F091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6" w:type="pct"/>
            <w:vMerge w:val="continue"/>
            <w:tcBorders>
              <w:tl2br w:val="nil"/>
              <w:tr2bl w:val="nil"/>
            </w:tcBorders>
            <w:noWrap w:val="0"/>
            <w:tcMar>
              <w:left w:w="57" w:type="dxa"/>
              <w:right w:w="57" w:type="dxa"/>
            </w:tcMar>
            <w:vAlign w:val="center"/>
          </w:tcPr>
          <w:p w14:paraId="3125ED1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43E6777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940" w:type="pct"/>
            <w:tcBorders>
              <w:tl2br w:val="nil"/>
              <w:tr2bl w:val="nil"/>
            </w:tcBorders>
            <w:noWrap w:val="0"/>
            <w:tcMar>
              <w:left w:w="57" w:type="dxa"/>
              <w:right w:w="57" w:type="dxa"/>
            </w:tcMar>
            <w:vAlign w:val="center"/>
          </w:tcPr>
          <w:p w14:paraId="3A847EDE">
            <w:pPr>
              <w:adjustRightInd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马鞍湖畔</w:t>
            </w:r>
          </w:p>
        </w:tc>
        <w:tc>
          <w:tcPr>
            <w:tcW w:w="1011" w:type="pct"/>
            <w:tcBorders>
              <w:tl2br w:val="nil"/>
              <w:tr2bl w:val="nil"/>
            </w:tcBorders>
            <w:noWrap w:val="0"/>
            <w:tcMar>
              <w:left w:w="57" w:type="dxa"/>
              <w:right w:w="57" w:type="dxa"/>
            </w:tcMar>
            <w:vAlign w:val="center"/>
          </w:tcPr>
          <w:p w14:paraId="373FB18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109°36′58.12705″,40°35′41.83219″</w:t>
            </w:r>
          </w:p>
        </w:tc>
        <w:tc>
          <w:tcPr>
            <w:tcW w:w="586" w:type="pct"/>
            <w:tcBorders>
              <w:tl2br w:val="nil"/>
              <w:tr2bl w:val="nil"/>
            </w:tcBorders>
            <w:noWrap w:val="0"/>
            <w:tcMar>
              <w:left w:w="57" w:type="dxa"/>
              <w:right w:w="57" w:type="dxa"/>
            </w:tcMar>
            <w:vAlign w:val="center"/>
          </w:tcPr>
          <w:p w14:paraId="0C35D52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NW</w:t>
            </w:r>
          </w:p>
        </w:tc>
        <w:tc>
          <w:tcPr>
            <w:tcW w:w="698" w:type="pct"/>
            <w:tcBorders>
              <w:tl2br w:val="nil"/>
              <w:tr2bl w:val="nil"/>
            </w:tcBorders>
            <w:noWrap w:val="0"/>
            <w:tcMar>
              <w:left w:w="57" w:type="dxa"/>
              <w:right w:w="57" w:type="dxa"/>
            </w:tcMar>
            <w:vAlign w:val="center"/>
          </w:tcPr>
          <w:p w14:paraId="1BF497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3101</w:t>
            </w:r>
          </w:p>
        </w:tc>
        <w:tc>
          <w:tcPr>
            <w:tcW w:w="506" w:type="pct"/>
            <w:tcBorders>
              <w:tl2br w:val="nil"/>
              <w:tr2bl w:val="nil"/>
            </w:tcBorders>
            <w:noWrap w:val="0"/>
            <w:tcMar>
              <w:left w:w="57" w:type="dxa"/>
              <w:right w:w="57" w:type="dxa"/>
            </w:tcMar>
            <w:vAlign w:val="center"/>
          </w:tcPr>
          <w:p w14:paraId="164325F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noWrap w:val="0"/>
            <w:tcMar>
              <w:left w:w="57" w:type="dxa"/>
              <w:right w:w="57" w:type="dxa"/>
            </w:tcMar>
            <w:vAlign w:val="center"/>
          </w:tcPr>
          <w:p w14:paraId="2DF7F7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bCs/>
                <w:color w:val="auto"/>
                <w:sz w:val="21"/>
                <w:szCs w:val="21"/>
                <w:highlight w:val="none"/>
                <w:lang w:val="en-US" w:eastAsia="zh-CN"/>
              </w:rPr>
              <w:t>200户，600人</w:t>
            </w:r>
          </w:p>
        </w:tc>
      </w:tr>
      <w:tr w14:paraId="5FC9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26" w:type="pct"/>
            <w:vMerge w:val="continue"/>
            <w:tcBorders>
              <w:tl2br w:val="nil"/>
              <w:tr2bl w:val="nil"/>
            </w:tcBorders>
            <w:noWrap w:val="0"/>
            <w:tcMar>
              <w:left w:w="57" w:type="dxa"/>
              <w:right w:w="57" w:type="dxa"/>
            </w:tcMar>
            <w:vAlign w:val="center"/>
          </w:tcPr>
          <w:p w14:paraId="1D6EB3FF">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shd w:val="clear" w:color="auto" w:fill="auto"/>
            <w:noWrap w:val="0"/>
            <w:tcMar>
              <w:left w:w="57" w:type="dxa"/>
              <w:right w:w="57" w:type="dxa"/>
            </w:tcMar>
            <w:vAlign w:val="center"/>
          </w:tcPr>
          <w:p w14:paraId="540C6A4F">
            <w:pPr>
              <w:keepNext w:val="0"/>
              <w:keepLines w:val="0"/>
              <w:suppressLineNumbers w:val="0"/>
              <w:snapToGrid w:val="0"/>
              <w:spacing w:before="0" w:beforeAutospacing="0" w:after="0" w:afterAutospacing="0" w:line="240" w:lineRule="exact"/>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940" w:type="pct"/>
            <w:tcBorders>
              <w:tl2br w:val="nil"/>
              <w:tr2bl w:val="nil"/>
            </w:tcBorders>
            <w:noWrap w:val="0"/>
            <w:tcMar>
              <w:left w:w="57" w:type="dxa"/>
              <w:right w:w="57" w:type="dxa"/>
            </w:tcMar>
            <w:vAlign w:val="center"/>
          </w:tcPr>
          <w:p w14:paraId="6654C404">
            <w:pPr>
              <w:adjustRightInd w:val="0"/>
              <w:snapToGrid w:val="0"/>
              <w:ind w:left="-105" w:leftChars="-50" w:right="-105" w:rightChars="-50"/>
              <w:jc w:val="center"/>
              <w:rPr>
                <w:rFonts w:hint="eastAsia"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三岔口</w:t>
            </w:r>
          </w:p>
        </w:tc>
        <w:tc>
          <w:tcPr>
            <w:tcW w:w="1011" w:type="pct"/>
            <w:tcBorders>
              <w:tl2br w:val="nil"/>
              <w:tr2bl w:val="nil"/>
            </w:tcBorders>
            <w:noWrap w:val="0"/>
            <w:tcMar>
              <w:left w:w="57" w:type="dxa"/>
              <w:right w:w="57" w:type="dxa"/>
            </w:tcMar>
            <w:vAlign w:val="center"/>
          </w:tcPr>
          <w:p w14:paraId="38B7893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109°36′26.61003″,40°33′32.98316″</w:t>
            </w:r>
          </w:p>
        </w:tc>
        <w:tc>
          <w:tcPr>
            <w:tcW w:w="586" w:type="pct"/>
            <w:tcBorders>
              <w:tl2br w:val="nil"/>
              <w:tr2bl w:val="nil"/>
            </w:tcBorders>
            <w:shd w:val="clear" w:color="auto" w:fill="auto"/>
            <w:noWrap w:val="0"/>
            <w:tcMar>
              <w:left w:w="57" w:type="dxa"/>
              <w:right w:w="57" w:type="dxa"/>
            </w:tcMar>
            <w:vAlign w:val="center"/>
          </w:tcPr>
          <w:p w14:paraId="59AAAE66">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SW</w:t>
            </w:r>
          </w:p>
        </w:tc>
        <w:tc>
          <w:tcPr>
            <w:tcW w:w="698" w:type="pct"/>
            <w:tcBorders>
              <w:tl2br w:val="nil"/>
              <w:tr2bl w:val="nil"/>
            </w:tcBorders>
            <w:shd w:val="clear" w:color="auto" w:fill="auto"/>
            <w:noWrap w:val="0"/>
            <w:tcMar>
              <w:left w:w="57" w:type="dxa"/>
              <w:right w:w="57" w:type="dxa"/>
            </w:tcMar>
            <w:vAlign w:val="center"/>
          </w:tcPr>
          <w:p w14:paraId="0AB160E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4036</w:t>
            </w:r>
          </w:p>
        </w:tc>
        <w:tc>
          <w:tcPr>
            <w:tcW w:w="506" w:type="pct"/>
            <w:tcBorders>
              <w:tl2br w:val="nil"/>
              <w:tr2bl w:val="nil"/>
            </w:tcBorders>
            <w:shd w:val="clear" w:color="auto" w:fill="auto"/>
            <w:noWrap w:val="0"/>
            <w:tcMar>
              <w:left w:w="57" w:type="dxa"/>
              <w:right w:w="57" w:type="dxa"/>
            </w:tcMar>
            <w:vAlign w:val="center"/>
          </w:tcPr>
          <w:p w14:paraId="0635D4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75EF77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149户，353人</w:t>
            </w:r>
          </w:p>
        </w:tc>
      </w:tr>
      <w:tr w14:paraId="0327F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418E0095">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shd w:val="clear" w:color="auto" w:fill="auto"/>
            <w:noWrap w:val="0"/>
            <w:tcMar>
              <w:left w:w="57" w:type="dxa"/>
              <w:right w:w="57" w:type="dxa"/>
            </w:tcMar>
            <w:vAlign w:val="center"/>
          </w:tcPr>
          <w:p w14:paraId="06853210">
            <w:pPr>
              <w:keepNext w:val="0"/>
              <w:keepLines w:val="0"/>
              <w:suppressLineNumbers w:val="0"/>
              <w:snapToGrid w:val="0"/>
              <w:spacing w:before="0" w:beforeAutospacing="0" w:after="0" w:afterAutospacing="0" w:line="240" w:lineRule="exact"/>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940" w:type="pct"/>
            <w:tcBorders>
              <w:tl2br w:val="nil"/>
              <w:tr2bl w:val="nil"/>
            </w:tcBorders>
            <w:shd w:val="clear" w:color="auto" w:fill="auto"/>
            <w:noWrap w:val="0"/>
            <w:tcMar>
              <w:left w:w="57" w:type="dxa"/>
              <w:right w:w="57" w:type="dxa"/>
            </w:tcMar>
            <w:vAlign w:val="center"/>
          </w:tcPr>
          <w:p w14:paraId="2C800F7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索家圪旦</w:t>
            </w:r>
          </w:p>
        </w:tc>
        <w:tc>
          <w:tcPr>
            <w:tcW w:w="1011" w:type="pct"/>
            <w:tcBorders>
              <w:tl2br w:val="nil"/>
              <w:tr2bl w:val="nil"/>
            </w:tcBorders>
            <w:shd w:val="clear" w:color="auto" w:fill="auto"/>
            <w:noWrap w:val="0"/>
            <w:tcMar>
              <w:left w:w="57" w:type="dxa"/>
              <w:right w:w="57" w:type="dxa"/>
            </w:tcMar>
            <w:vAlign w:val="center"/>
          </w:tcPr>
          <w:p w14:paraId="70BE55BD">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109°38′18.61907″,40°33′51.21360″</w:t>
            </w:r>
          </w:p>
        </w:tc>
        <w:tc>
          <w:tcPr>
            <w:tcW w:w="586" w:type="pct"/>
            <w:tcBorders>
              <w:tl2br w:val="nil"/>
              <w:tr2bl w:val="nil"/>
            </w:tcBorders>
            <w:shd w:val="clear" w:color="auto" w:fill="auto"/>
            <w:noWrap w:val="0"/>
            <w:tcMar>
              <w:left w:w="57" w:type="dxa"/>
              <w:right w:w="57" w:type="dxa"/>
            </w:tcMar>
            <w:vAlign w:val="center"/>
          </w:tcPr>
          <w:p w14:paraId="14477208">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SW</w:t>
            </w:r>
          </w:p>
        </w:tc>
        <w:tc>
          <w:tcPr>
            <w:tcW w:w="698" w:type="pct"/>
            <w:tcBorders>
              <w:tl2br w:val="nil"/>
              <w:tr2bl w:val="nil"/>
            </w:tcBorders>
            <w:shd w:val="clear" w:color="auto" w:fill="auto"/>
            <w:noWrap w:val="0"/>
            <w:tcMar>
              <w:left w:w="57" w:type="dxa"/>
              <w:right w:w="57" w:type="dxa"/>
            </w:tcMar>
            <w:vAlign w:val="center"/>
          </w:tcPr>
          <w:p w14:paraId="4EA110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1813</w:t>
            </w:r>
          </w:p>
        </w:tc>
        <w:tc>
          <w:tcPr>
            <w:tcW w:w="506" w:type="pct"/>
            <w:tcBorders>
              <w:tl2br w:val="nil"/>
              <w:tr2bl w:val="nil"/>
            </w:tcBorders>
            <w:shd w:val="clear" w:color="auto" w:fill="auto"/>
            <w:noWrap w:val="0"/>
            <w:tcMar>
              <w:left w:w="57" w:type="dxa"/>
              <w:right w:w="57" w:type="dxa"/>
            </w:tcMar>
            <w:vAlign w:val="center"/>
          </w:tcPr>
          <w:p w14:paraId="1879454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55C44F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55户，193人</w:t>
            </w:r>
          </w:p>
        </w:tc>
      </w:tr>
      <w:tr w14:paraId="5556A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4A900C48">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shd w:val="clear" w:color="auto" w:fill="auto"/>
            <w:noWrap w:val="0"/>
            <w:tcMar>
              <w:left w:w="57" w:type="dxa"/>
              <w:right w:w="57" w:type="dxa"/>
            </w:tcMar>
            <w:vAlign w:val="center"/>
          </w:tcPr>
          <w:p w14:paraId="28A21087">
            <w:pPr>
              <w:keepNext w:val="0"/>
              <w:keepLines w:val="0"/>
              <w:suppressLineNumbers w:val="0"/>
              <w:snapToGrid w:val="0"/>
              <w:spacing w:before="0" w:beforeAutospacing="0" w:after="0" w:afterAutospacing="0" w:line="240" w:lineRule="exact"/>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w:t>
            </w:r>
          </w:p>
        </w:tc>
        <w:tc>
          <w:tcPr>
            <w:tcW w:w="940" w:type="pct"/>
            <w:tcBorders>
              <w:tl2br w:val="nil"/>
              <w:tr2bl w:val="nil"/>
            </w:tcBorders>
            <w:shd w:val="clear" w:color="auto" w:fill="auto"/>
            <w:noWrap w:val="0"/>
            <w:tcMar>
              <w:left w:w="57" w:type="dxa"/>
              <w:right w:w="57" w:type="dxa"/>
            </w:tcMar>
            <w:vAlign w:val="center"/>
          </w:tcPr>
          <w:p w14:paraId="129C2088">
            <w:pPr>
              <w:adjustRightInd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全巴兔</w:t>
            </w:r>
          </w:p>
        </w:tc>
        <w:tc>
          <w:tcPr>
            <w:tcW w:w="1011" w:type="pct"/>
            <w:tcBorders>
              <w:tl2br w:val="nil"/>
              <w:tr2bl w:val="nil"/>
            </w:tcBorders>
            <w:shd w:val="clear" w:color="auto" w:fill="auto"/>
            <w:noWrap w:val="0"/>
            <w:tcMar>
              <w:left w:w="57" w:type="dxa"/>
              <w:right w:w="57" w:type="dxa"/>
            </w:tcMar>
            <w:vAlign w:val="center"/>
          </w:tcPr>
          <w:p w14:paraId="13267D4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109°38′49.51812″,40°33′28.81179″</w:t>
            </w:r>
          </w:p>
        </w:tc>
        <w:tc>
          <w:tcPr>
            <w:tcW w:w="586" w:type="pct"/>
            <w:tcBorders>
              <w:tl2br w:val="nil"/>
              <w:tr2bl w:val="nil"/>
            </w:tcBorders>
            <w:shd w:val="clear" w:color="auto" w:fill="auto"/>
            <w:noWrap w:val="0"/>
            <w:tcMar>
              <w:left w:w="57" w:type="dxa"/>
              <w:right w:w="57" w:type="dxa"/>
            </w:tcMar>
            <w:vAlign w:val="center"/>
          </w:tcPr>
          <w:p w14:paraId="3F095C5A">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S</w:t>
            </w:r>
          </w:p>
        </w:tc>
        <w:tc>
          <w:tcPr>
            <w:tcW w:w="698" w:type="pct"/>
            <w:tcBorders>
              <w:tl2br w:val="nil"/>
              <w:tr2bl w:val="nil"/>
            </w:tcBorders>
            <w:shd w:val="clear" w:color="auto" w:fill="auto"/>
            <w:noWrap w:val="0"/>
            <w:tcMar>
              <w:left w:w="57" w:type="dxa"/>
              <w:right w:w="57" w:type="dxa"/>
            </w:tcMar>
            <w:vAlign w:val="center"/>
          </w:tcPr>
          <w:p w14:paraId="00CD60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2430</w:t>
            </w:r>
          </w:p>
        </w:tc>
        <w:tc>
          <w:tcPr>
            <w:tcW w:w="506" w:type="pct"/>
            <w:tcBorders>
              <w:tl2br w:val="nil"/>
              <w:tr2bl w:val="nil"/>
            </w:tcBorders>
            <w:shd w:val="clear" w:color="auto" w:fill="auto"/>
            <w:noWrap w:val="0"/>
            <w:tcMar>
              <w:left w:w="57" w:type="dxa"/>
              <w:right w:w="57" w:type="dxa"/>
            </w:tcMar>
            <w:vAlign w:val="center"/>
          </w:tcPr>
          <w:p w14:paraId="49C73F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3D5BE7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bCs/>
                <w:color w:val="auto"/>
                <w:sz w:val="21"/>
                <w:szCs w:val="21"/>
                <w:highlight w:val="none"/>
              </w:rPr>
              <w:t>282户，980人</w:t>
            </w:r>
          </w:p>
        </w:tc>
      </w:tr>
      <w:tr w14:paraId="4DEFD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4727A529">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shd w:val="clear" w:color="auto" w:fill="auto"/>
            <w:noWrap w:val="0"/>
            <w:tcMar>
              <w:left w:w="57" w:type="dxa"/>
              <w:right w:w="57" w:type="dxa"/>
            </w:tcMar>
            <w:vAlign w:val="center"/>
          </w:tcPr>
          <w:p w14:paraId="20062E35">
            <w:pPr>
              <w:keepNext w:val="0"/>
              <w:keepLines w:val="0"/>
              <w:suppressLineNumbers w:val="0"/>
              <w:snapToGrid w:val="0"/>
              <w:spacing w:before="0" w:beforeAutospacing="0" w:after="0" w:afterAutospacing="0" w:line="240" w:lineRule="exact"/>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7</w:t>
            </w:r>
          </w:p>
        </w:tc>
        <w:tc>
          <w:tcPr>
            <w:tcW w:w="940" w:type="pct"/>
            <w:tcBorders>
              <w:tl2br w:val="nil"/>
              <w:tr2bl w:val="nil"/>
            </w:tcBorders>
            <w:shd w:val="clear" w:color="auto" w:fill="auto"/>
            <w:noWrap w:val="0"/>
            <w:tcMar>
              <w:left w:w="57" w:type="dxa"/>
              <w:right w:w="57" w:type="dxa"/>
            </w:tcMar>
            <w:vAlign w:val="center"/>
          </w:tcPr>
          <w:p w14:paraId="1F8C43D4">
            <w:pPr>
              <w:adjustRightInd w:val="0"/>
              <w:snapToGrid w:val="0"/>
              <w:ind w:left="-105" w:leftChars="-50" w:right="-105" w:rightChars="-5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南圪堵</w:t>
            </w:r>
          </w:p>
        </w:tc>
        <w:tc>
          <w:tcPr>
            <w:tcW w:w="1011" w:type="pct"/>
            <w:tcBorders>
              <w:tl2br w:val="nil"/>
              <w:tr2bl w:val="nil"/>
            </w:tcBorders>
            <w:shd w:val="clear" w:color="auto" w:fill="auto"/>
            <w:noWrap w:val="0"/>
            <w:tcMar>
              <w:left w:w="57" w:type="dxa"/>
              <w:right w:w="57" w:type="dxa"/>
            </w:tcMar>
            <w:vAlign w:val="center"/>
          </w:tcPr>
          <w:p w14:paraId="6B607D3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109°39′28.29643″,40°32′45.43725″</w:t>
            </w:r>
          </w:p>
        </w:tc>
        <w:tc>
          <w:tcPr>
            <w:tcW w:w="586" w:type="pct"/>
            <w:tcBorders>
              <w:tl2br w:val="nil"/>
              <w:tr2bl w:val="nil"/>
            </w:tcBorders>
            <w:shd w:val="clear" w:color="auto" w:fill="auto"/>
            <w:noWrap w:val="0"/>
            <w:tcMar>
              <w:left w:w="57" w:type="dxa"/>
              <w:right w:w="57" w:type="dxa"/>
            </w:tcMar>
            <w:vAlign w:val="center"/>
          </w:tcPr>
          <w:p w14:paraId="3BEEB20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S</w:t>
            </w:r>
          </w:p>
        </w:tc>
        <w:tc>
          <w:tcPr>
            <w:tcW w:w="698" w:type="pct"/>
            <w:tcBorders>
              <w:tl2br w:val="nil"/>
              <w:tr2bl w:val="nil"/>
            </w:tcBorders>
            <w:shd w:val="clear" w:color="auto" w:fill="auto"/>
            <w:noWrap w:val="0"/>
            <w:tcMar>
              <w:left w:w="57" w:type="dxa"/>
              <w:right w:w="57" w:type="dxa"/>
            </w:tcMar>
            <w:vAlign w:val="center"/>
          </w:tcPr>
          <w:p w14:paraId="3A80CB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3693</w:t>
            </w:r>
          </w:p>
        </w:tc>
        <w:tc>
          <w:tcPr>
            <w:tcW w:w="506" w:type="pct"/>
            <w:tcBorders>
              <w:tl2br w:val="nil"/>
              <w:tr2bl w:val="nil"/>
            </w:tcBorders>
            <w:shd w:val="clear" w:color="auto" w:fill="auto"/>
            <w:noWrap w:val="0"/>
            <w:tcMar>
              <w:left w:w="57" w:type="dxa"/>
              <w:right w:w="57" w:type="dxa"/>
            </w:tcMar>
            <w:vAlign w:val="center"/>
          </w:tcPr>
          <w:p w14:paraId="70112A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2FBB0F9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28户，102人</w:t>
            </w:r>
          </w:p>
        </w:tc>
      </w:tr>
      <w:tr w14:paraId="3E6F5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0D997EF5">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shd w:val="clear" w:color="auto" w:fill="auto"/>
            <w:noWrap w:val="0"/>
            <w:tcMar>
              <w:left w:w="57" w:type="dxa"/>
              <w:right w:w="57" w:type="dxa"/>
            </w:tcMar>
            <w:vAlign w:val="center"/>
          </w:tcPr>
          <w:p w14:paraId="05717D4F">
            <w:pPr>
              <w:keepNext w:val="0"/>
              <w:keepLines w:val="0"/>
              <w:suppressLineNumbers w:val="0"/>
              <w:snapToGrid w:val="0"/>
              <w:spacing w:before="0" w:beforeAutospacing="0" w:after="0" w:afterAutospacing="0" w:line="240" w:lineRule="exact"/>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8</w:t>
            </w:r>
          </w:p>
        </w:tc>
        <w:tc>
          <w:tcPr>
            <w:tcW w:w="940" w:type="pct"/>
            <w:tcBorders>
              <w:tl2br w:val="nil"/>
              <w:tr2bl w:val="nil"/>
            </w:tcBorders>
            <w:shd w:val="clear" w:color="auto" w:fill="auto"/>
            <w:noWrap w:val="0"/>
            <w:tcMar>
              <w:left w:w="57" w:type="dxa"/>
              <w:right w:w="57" w:type="dxa"/>
            </w:tcMar>
            <w:vAlign w:val="center"/>
          </w:tcPr>
          <w:p w14:paraId="31783F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唢呐窑</w:t>
            </w:r>
          </w:p>
        </w:tc>
        <w:tc>
          <w:tcPr>
            <w:tcW w:w="1011" w:type="pct"/>
            <w:tcBorders>
              <w:tl2br w:val="nil"/>
              <w:tr2bl w:val="nil"/>
            </w:tcBorders>
            <w:shd w:val="clear" w:color="auto" w:fill="auto"/>
            <w:noWrap w:val="0"/>
            <w:tcMar>
              <w:left w:w="57" w:type="dxa"/>
              <w:right w:w="57" w:type="dxa"/>
            </w:tcMar>
            <w:vAlign w:val="center"/>
          </w:tcPr>
          <w:p w14:paraId="210D388D">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109°41′15.05264″,40°32′57.02439″</w:t>
            </w:r>
          </w:p>
        </w:tc>
        <w:tc>
          <w:tcPr>
            <w:tcW w:w="586" w:type="pct"/>
            <w:tcBorders>
              <w:tl2br w:val="nil"/>
              <w:tr2bl w:val="nil"/>
            </w:tcBorders>
            <w:shd w:val="clear" w:color="auto" w:fill="auto"/>
            <w:noWrap w:val="0"/>
            <w:tcMar>
              <w:left w:w="57" w:type="dxa"/>
              <w:right w:w="57" w:type="dxa"/>
            </w:tcMar>
            <w:vAlign w:val="center"/>
          </w:tcPr>
          <w:p w14:paraId="3C297CD7">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SE</w:t>
            </w:r>
          </w:p>
        </w:tc>
        <w:tc>
          <w:tcPr>
            <w:tcW w:w="698" w:type="pct"/>
            <w:tcBorders>
              <w:tl2br w:val="nil"/>
              <w:tr2bl w:val="nil"/>
            </w:tcBorders>
            <w:shd w:val="clear" w:color="auto" w:fill="auto"/>
            <w:noWrap w:val="0"/>
            <w:tcMar>
              <w:left w:w="57" w:type="dxa"/>
              <w:right w:w="57" w:type="dxa"/>
            </w:tcMar>
            <w:vAlign w:val="center"/>
          </w:tcPr>
          <w:p w14:paraId="0BA7CAA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4641</w:t>
            </w:r>
          </w:p>
        </w:tc>
        <w:tc>
          <w:tcPr>
            <w:tcW w:w="506" w:type="pct"/>
            <w:tcBorders>
              <w:tl2br w:val="nil"/>
              <w:tr2bl w:val="nil"/>
            </w:tcBorders>
            <w:shd w:val="clear" w:color="auto" w:fill="auto"/>
            <w:noWrap w:val="0"/>
            <w:tcMar>
              <w:left w:w="57" w:type="dxa"/>
              <w:right w:w="57" w:type="dxa"/>
            </w:tcMar>
            <w:vAlign w:val="center"/>
          </w:tcPr>
          <w:p w14:paraId="45512C6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0E9B1E1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55户，180人</w:t>
            </w:r>
          </w:p>
        </w:tc>
      </w:tr>
      <w:tr w14:paraId="6D28E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1582230B">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shd w:val="clear" w:color="auto" w:fill="auto"/>
            <w:noWrap w:val="0"/>
            <w:tcMar>
              <w:left w:w="57" w:type="dxa"/>
              <w:right w:w="57" w:type="dxa"/>
            </w:tcMar>
            <w:vAlign w:val="center"/>
          </w:tcPr>
          <w:p w14:paraId="482EECCF">
            <w:pPr>
              <w:keepNext w:val="0"/>
              <w:keepLines w:val="0"/>
              <w:suppressLineNumbers w:val="0"/>
              <w:snapToGrid w:val="0"/>
              <w:spacing w:before="0" w:beforeAutospacing="0" w:after="0" w:afterAutospacing="0" w:line="240" w:lineRule="exact"/>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9</w:t>
            </w:r>
          </w:p>
        </w:tc>
        <w:tc>
          <w:tcPr>
            <w:tcW w:w="940" w:type="pct"/>
            <w:tcBorders>
              <w:tl2br w:val="nil"/>
              <w:tr2bl w:val="nil"/>
            </w:tcBorders>
            <w:shd w:val="clear" w:color="auto" w:fill="auto"/>
            <w:noWrap w:val="0"/>
            <w:tcMar>
              <w:left w:w="57" w:type="dxa"/>
              <w:right w:w="57" w:type="dxa"/>
            </w:tcMar>
            <w:vAlign w:val="center"/>
          </w:tcPr>
          <w:p w14:paraId="55E8D2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花圪台</w:t>
            </w:r>
          </w:p>
        </w:tc>
        <w:tc>
          <w:tcPr>
            <w:tcW w:w="1011" w:type="pct"/>
            <w:tcBorders>
              <w:tl2br w:val="nil"/>
              <w:tr2bl w:val="nil"/>
            </w:tcBorders>
            <w:shd w:val="clear" w:color="auto" w:fill="auto"/>
            <w:noWrap w:val="0"/>
            <w:tcMar>
              <w:left w:w="57" w:type="dxa"/>
              <w:right w:w="57" w:type="dxa"/>
            </w:tcMar>
            <w:vAlign w:val="center"/>
          </w:tcPr>
          <w:p w14:paraId="524AFA0D">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109°39′25.20652″,40°34′6.85624″</w:t>
            </w:r>
          </w:p>
        </w:tc>
        <w:tc>
          <w:tcPr>
            <w:tcW w:w="586" w:type="pct"/>
            <w:tcBorders>
              <w:tl2br w:val="nil"/>
              <w:tr2bl w:val="nil"/>
            </w:tcBorders>
            <w:shd w:val="clear" w:color="auto" w:fill="auto"/>
            <w:noWrap w:val="0"/>
            <w:tcMar>
              <w:left w:w="57" w:type="dxa"/>
              <w:right w:w="57" w:type="dxa"/>
            </w:tcMar>
            <w:vAlign w:val="center"/>
          </w:tcPr>
          <w:p w14:paraId="1B2FCB06">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SE</w:t>
            </w:r>
          </w:p>
        </w:tc>
        <w:tc>
          <w:tcPr>
            <w:tcW w:w="698" w:type="pct"/>
            <w:tcBorders>
              <w:tl2br w:val="nil"/>
              <w:tr2bl w:val="nil"/>
            </w:tcBorders>
            <w:shd w:val="clear" w:color="auto" w:fill="auto"/>
            <w:noWrap w:val="0"/>
            <w:tcMar>
              <w:left w:w="57" w:type="dxa"/>
              <w:right w:w="57" w:type="dxa"/>
            </w:tcMar>
            <w:vAlign w:val="center"/>
          </w:tcPr>
          <w:p w14:paraId="0174BD2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1440</w:t>
            </w:r>
          </w:p>
        </w:tc>
        <w:tc>
          <w:tcPr>
            <w:tcW w:w="506" w:type="pct"/>
            <w:tcBorders>
              <w:tl2br w:val="nil"/>
              <w:tr2bl w:val="nil"/>
            </w:tcBorders>
            <w:shd w:val="clear" w:color="auto" w:fill="auto"/>
            <w:noWrap w:val="0"/>
            <w:tcMar>
              <w:left w:w="57" w:type="dxa"/>
              <w:right w:w="57" w:type="dxa"/>
            </w:tcMar>
            <w:vAlign w:val="center"/>
          </w:tcPr>
          <w:p w14:paraId="49E29E2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1BA5B0E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21"/>
                <w:szCs w:val="21"/>
                <w:highlight w:val="none"/>
              </w:rPr>
              <w:t>52户，203人</w:t>
            </w:r>
          </w:p>
        </w:tc>
      </w:tr>
      <w:tr w14:paraId="04312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226" w:type="pct"/>
            <w:vMerge w:val="continue"/>
            <w:tcBorders>
              <w:tl2br w:val="nil"/>
              <w:tr2bl w:val="nil"/>
            </w:tcBorders>
            <w:noWrap w:val="0"/>
            <w:tcMar>
              <w:left w:w="57" w:type="dxa"/>
              <w:right w:w="57" w:type="dxa"/>
            </w:tcMar>
            <w:vAlign w:val="center"/>
          </w:tcPr>
          <w:p w14:paraId="1C5160FF">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0CE437EF">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940" w:type="pct"/>
            <w:tcBorders>
              <w:tl2br w:val="nil"/>
              <w:tr2bl w:val="nil"/>
            </w:tcBorders>
            <w:shd w:val="clear" w:color="auto" w:fill="auto"/>
            <w:noWrap w:val="0"/>
            <w:tcMar>
              <w:left w:w="57" w:type="dxa"/>
              <w:right w:w="57" w:type="dxa"/>
            </w:tcMar>
            <w:vAlign w:val="center"/>
          </w:tcPr>
          <w:p w14:paraId="2767AE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段四圪堵</w:t>
            </w:r>
          </w:p>
        </w:tc>
        <w:tc>
          <w:tcPr>
            <w:tcW w:w="1011" w:type="pct"/>
            <w:tcBorders>
              <w:tl2br w:val="nil"/>
              <w:tr2bl w:val="nil"/>
            </w:tcBorders>
            <w:shd w:val="clear" w:color="auto" w:fill="auto"/>
            <w:noWrap w:val="0"/>
            <w:tcMar>
              <w:left w:w="57" w:type="dxa"/>
              <w:right w:w="57" w:type="dxa"/>
            </w:tcMar>
            <w:vAlign w:val="center"/>
          </w:tcPr>
          <w:p w14:paraId="24F00BFA">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109°35′34.54513″,40°35′18.81240″</w:t>
            </w:r>
          </w:p>
        </w:tc>
        <w:tc>
          <w:tcPr>
            <w:tcW w:w="586" w:type="pct"/>
            <w:tcBorders>
              <w:tl2br w:val="nil"/>
              <w:tr2bl w:val="nil"/>
            </w:tcBorders>
            <w:shd w:val="clear" w:color="auto" w:fill="auto"/>
            <w:noWrap w:val="0"/>
            <w:tcMar>
              <w:left w:w="57" w:type="dxa"/>
              <w:right w:w="57" w:type="dxa"/>
            </w:tcMar>
            <w:vAlign w:val="center"/>
          </w:tcPr>
          <w:p w14:paraId="34F046BF">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NW</w:t>
            </w:r>
          </w:p>
        </w:tc>
        <w:tc>
          <w:tcPr>
            <w:tcW w:w="698" w:type="pct"/>
            <w:tcBorders>
              <w:tl2br w:val="nil"/>
              <w:tr2bl w:val="nil"/>
            </w:tcBorders>
            <w:shd w:val="clear" w:color="auto" w:fill="auto"/>
            <w:noWrap w:val="0"/>
            <w:tcMar>
              <w:left w:w="57" w:type="dxa"/>
              <w:right w:w="57" w:type="dxa"/>
            </w:tcMar>
            <w:vAlign w:val="center"/>
          </w:tcPr>
          <w:p w14:paraId="66BC93D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4843</w:t>
            </w:r>
          </w:p>
        </w:tc>
        <w:tc>
          <w:tcPr>
            <w:tcW w:w="506" w:type="pct"/>
            <w:tcBorders>
              <w:tl2br w:val="nil"/>
              <w:tr2bl w:val="nil"/>
            </w:tcBorders>
            <w:shd w:val="clear" w:color="auto" w:fill="auto"/>
            <w:noWrap w:val="0"/>
            <w:tcMar>
              <w:left w:w="57" w:type="dxa"/>
              <w:right w:w="57" w:type="dxa"/>
            </w:tcMar>
            <w:vAlign w:val="center"/>
          </w:tcPr>
          <w:p w14:paraId="28830C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3B4876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cs="Times New Roman"/>
                <w:bCs/>
                <w:color w:val="auto"/>
                <w:sz w:val="21"/>
                <w:szCs w:val="21"/>
                <w:highlight w:val="none"/>
              </w:rPr>
            </w:pPr>
            <w:r>
              <w:rPr>
                <w:rFonts w:hint="eastAsia" w:ascii="Times New Roman" w:hAnsi="Times New Roman" w:cs="Times New Roman"/>
                <w:bCs/>
                <w:color w:val="auto"/>
                <w:sz w:val="21"/>
                <w:szCs w:val="21"/>
                <w:highlight w:val="none"/>
                <w:lang w:val="en-US" w:eastAsia="zh-CN"/>
              </w:rPr>
              <w:t>262</w:t>
            </w:r>
            <w:r>
              <w:rPr>
                <w:rFonts w:hint="default" w:ascii="Times New Roman" w:hAnsi="Times New Roman" w:cs="Times New Roman"/>
                <w:bCs/>
                <w:color w:val="auto"/>
                <w:sz w:val="21"/>
                <w:szCs w:val="21"/>
                <w:highlight w:val="none"/>
              </w:rPr>
              <w:t>户，</w:t>
            </w:r>
            <w:r>
              <w:rPr>
                <w:rFonts w:hint="eastAsia" w:ascii="Times New Roman" w:hAnsi="Times New Roman" w:cs="Times New Roman"/>
                <w:bCs/>
                <w:color w:val="auto"/>
                <w:sz w:val="21"/>
                <w:szCs w:val="21"/>
                <w:highlight w:val="none"/>
                <w:lang w:val="en-US" w:eastAsia="zh-CN"/>
              </w:rPr>
              <w:t>680</w:t>
            </w:r>
            <w:r>
              <w:rPr>
                <w:rFonts w:hint="default" w:ascii="Times New Roman" w:hAnsi="Times New Roman" w:cs="Times New Roman"/>
                <w:bCs/>
                <w:color w:val="auto"/>
                <w:sz w:val="21"/>
                <w:szCs w:val="21"/>
                <w:highlight w:val="none"/>
              </w:rPr>
              <w:t>人</w:t>
            </w:r>
          </w:p>
        </w:tc>
      </w:tr>
      <w:tr w14:paraId="3C93F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5D1464EC">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6C32DC66">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w:t>
            </w:r>
          </w:p>
        </w:tc>
        <w:tc>
          <w:tcPr>
            <w:tcW w:w="940" w:type="pct"/>
            <w:tcBorders>
              <w:tl2br w:val="nil"/>
              <w:tr2bl w:val="nil"/>
            </w:tcBorders>
            <w:shd w:val="clear" w:color="auto" w:fill="auto"/>
            <w:noWrap w:val="0"/>
            <w:tcMar>
              <w:left w:w="57" w:type="dxa"/>
              <w:right w:w="57" w:type="dxa"/>
            </w:tcMar>
            <w:vAlign w:val="center"/>
          </w:tcPr>
          <w:p w14:paraId="438197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王家圪旦</w:t>
            </w:r>
          </w:p>
        </w:tc>
        <w:tc>
          <w:tcPr>
            <w:tcW w:w="1011" w:type="pct"/>
            <w:tcBorders>
              <w:tl2br w:val="nil"/>
              <w:tr2bl w:val="nil"/>
            </w:tcBorders>
            <w:shd w:val="clear" w:color="auto" w:fill="auto"/>
            <w:noWrap w:val="0"/>
            <w:tcMar>
              <w:left w:w="57" w:type="dxa"/>
              <w:right w:w="57" w:type="dxa"/>
            </w:tcMar>
            <w:vAlign w:val="center"/>
          </w:tcPr>
          <w:p w14:paraId="5CC5908E">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109°35′48.44970″,40°34′8.98055″</w:t>
            </w:r>
          </w:p>
        </w:tc>
        <w:tc>
          <w:tcPr>
            <w:tcW w:w="586" w:type="pct"/>
            <w:tcBorders>
              <w:tl2br w:val="nil"/>
              <w:tr2bl w:val="nil"/>
            </w:tcBorders>
            <w:shd w:val="clear" w:color="auto" w:fill="auto"/>
            <w:noWrap w:val="0"/>
            <w:tcMar>
              <w:left w:w="57" w:type="dxa"/>
              <w:right w:w="57" w:type="dxa"/>
            </w:tcMar>
            <w:vAlign w:val="center"/>
          </w:tcPr>
          <w:p w14:paraId="1EE63001">
            <w:pPr>
              <w:keepNext w:val="0"/>
              <w:keepLines w:val="0"/>
              <w:suppressLineNumbers w:val="0"/>
              <w:spacing w:before="0" w:beforeAutospacing="0" w:after="0" w:afterAutospacing="0" w:line="320" w:lineRule="exact"/>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SW</w:t>
            </w:r>
          </w:p>
        </w:tc>
        <w:tc>
          <w:tcPr>
            <w:tcW w:w="698" w:type="pct"/>
            <w:tcBorders>
              <w:tl2br w:val="nil"/>
              <w:tr2bl w:val="nil"/>
            </w:tcBorders>
            <w:shd w:val="clear" w:color="auto" w:fill="auto"/>
            <w:noWrap w:val="0"/>
            <w:tcMar>
              <w:left w:w="57" w:type="dxa"/>
              <w:right w:w="57" w:type="dxa"/>
            </w:tcMar>
            <w:vAlign w:val="center"/>
          </w:tcPr>
          <w:p w14:paraId="59850B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4423</w:t>
            </w:r>
          </w:p>
        </w:tc>
        <w:tc>
          <w:tcPr>
            <w:tcW w:w="506" w:type="pct"/>
            <w:tcBorders>
              <w:tl2br w:val="nil"/>
              <w:tr2bl w:val="nil"/>
            </w:tcBorders>
            <w:shd w:val="clear" w:color="auto" w:fill="auto"/>
            <w:noWrap w:val="0"/>
            <w:tcMar>
              <w:left w:w="57" w:type="dxa"/>
              <w:right w:w="57" w:type="dxa"/>
            </w:tcMar>
            <w:vAlign w:val="center"/>
          </w:tcPr>
          <w:p w14:paraId="13D406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val="en-US" w:eastAsia="zh-CN"/>
              </w:rPr>
              <w:t>居民</w:t>
            </w:r>
          </w:p>
        </w:tc>
        <w:tc>
          <w:tcPr>
            <w:tcW w:w="832" w:type="pct"/>
            <w:gridSpan w:val="2"/>
            <w:tcBorders>
              <w:tl2br w:val="nil"/>
              <w:tr2bl w:val="nil"/>
            </w:tcBorders>
            <w:shd w:val="clear" w:color="auto" w:fill="auto"/>
            <w:noWrap w:val="0"/>
            <w:tcMar>
              <w:left w:w="57" w:type="dxa"/>
              <w:right w:w="57" w:type="dxa"/>
            </w:tcMar>
            <w:vAlign w:val="center"/>
          </w:tcPr>
          <w:p w14:paraId="2CE3FE2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val="en-US" w:eastAsia="zh-CN"/>
              </w:rPr>
              <w:t>260</w:t>
            </w:r>
            <w:r>
              <w:rPr>
                <w:rFonts w:hint="default" w:ascii="Times New Roman" w:hAnsi="Times New Roman" w:cs="Times New Roman"/>
                <w:bCs/>
                <w:color w:val="auto"/>
                <w:sz w:val="21"/>
                <w:szCs w:val="21"/>
                <w:highlight w:val="none"/>
              </w:rPr>
              <w:t>户，</w:t>
            </w:r>
            <w:r>
              <w:rPr>
                <w:rFonts w:hint="eastAsia" w:ascii="Times New Roman" w:hAnsi="Times New Roman" w:cs="Times New Roman"/>
                <w:bCs/>
                <w:color w:val="auto"/>
                <w:sz w:val="21"/>
                <w:szCs w:val="21"/>
                <w:highlight w:val="none"/>
                <w:lang w:val="en-US" w:eastAsia="zh-CN"/>
              </w:rPr>
              <w:t>790</w:t>
            </w:r>
            <w:r>
              <w:rPr>
                <w:rFonts w:hint="default" w:ascii="Times New Roman" w:hAnsi="Times New Roman" w:cs="Times New Roman"/>
                <w:bCs/>
                <w:color w:val="auto"/>
                <w:sz w:val="21"/>
                <w:szCs w:val="21"/>
                <w:highlight w:val="none"/>
              </w:rPr>
              <w:t>人</w:t>
            </w:r>
          </w:p>
        </w:tc>
      </w:tr>
      <w:tr w14:paraId="3500B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0342DF80">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2148" w:type="pct"/>
            <w:gridSpan w:val="3"/>
            <w:tcBorders>
              <w:tl2br w:val="nil"/>
              <w:tr2bl w:val="nil"/>
            </w:tcBorders>
            <w:noWrap w:val="0"/>
            <w:tcMar>
              <w:left w:w="57" w:type="dxa"/>
              <w:right w:w="57" w:type="dxa"/>
            </w:tcMar>
            <w:vAlign w:val="center"/>
          </w:tcPr>
          <w:p w14:paraId="5694F028">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792" w:type="pct"/>
            <w:gridSpan w:val="3"/>
            <w:tcBorders>
              <w:tl2br w:val="nil"/>
              <w:tr2bl w:val="nil"/>
            </w:tcBorders>
            <w:noWrap w:val="0"/>
            <w:tcMar>
              <w:left w:w="57" w:type="dxa"/>
              <w:right w:w="57" w:type="dxa"/>
            </w:tcMar>
            <w:vAlign w:val="center"/>
          </w:tcPr>
          <w:p w14:paraId="594F71A1">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厂址周边500m范围内人口数小计</w:t>
            </w:r>
          </w:p>
        </w:tc>
        <w:tc>
          <w:tcPr>
            <w:tcW w:w="832" w:type="pct"/>
            <w:gridSpan w:val="2"/>
            <w:tcBorders>
              <w:tl2br w:val="nil"/>
              <w:tr2bl w:val="nil"/>
            </w:tcBorders>
            <w:noWrap w:val="0"/>
            <w:tcMar>
              <w:left w:w="57" w:type="dxa"/>
              <w:right w:w="57" w:type="dxa"/>
            </w:tcMar>
            <w:vAlign w:val="center"/>
          </w:tcPr>
          <w:p w14:paraId="68842E45">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w:t>
            </w:r>
          </w:p>
        </w:tc>
      </w:tr>
      <w:tr w14:paraId="0EE46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5AE24E04">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2148" w:type="pct"/>
            <w:gridSpan w:val="3"/>
            <w:tcBorders>
              <w:tl2br w:val="nil"/>
              <w:tr2bl w:val="nil"/>
            </w:tcBorders>
            <w:noWrap w:val="0"/>
            <w:tcMar>
              <w:left w:w="57" w:type="dxa"/>
              <w:right w:w="57" w:type="dxa"/>
            </w:tcMar>
            <w:vAlign w:val="center"/>
          </w:tcPr>
          <w:p w14:paraId="5DB7F38A">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792" w:type="pct"/>
            <w:gridSpan w:val="3"/>
            <w:tcBorders>
              <w:tl2br w:val="nil"/>
              <w:tr2bl w:val="nil"/>
            </w:tcBorders>
            <w:noWrap w:val="0"/>
            <w:tcMar>
              <w:left w:w="57" w:type="dxa"/>
              <w:right w:w="57" w:type="dxa"/>
            </w:tcMar>
            <w:vAlign w:val="center"/>
          </w:tcPr>
          <w:p w14:paraId="353B704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厂址周边5km范围内人口数小计</w:t>
            </w:r>
          </w:p>
        </w:tc>
        <w:tc>
          <w:tcPr>
            <w:tcW w:w="832" w:type="pct"/>
            <w:gridSpan w:val="2"/>
            <w:tcBorders>
              <w:tl2br w:val="nil"/>
              <w:tr2bl w:val="nil"/>
            </w:tcBorders>
            <w:noWrap w:val="0"/>
            <w:tcMar>
              <w:left w:w="57" w:type="dxa"/>
              <w:right w:w="57" w:type="dxa"/>
            </w:tcMar>
            <w:vAlign w:val="center"/>
          </w:tcPr>
          <w:p w14:paraId="70FFCC12">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5434</w:t>
            </w:r>
            <w:r>
              <w:rPr>
                <w:rFonts w:hint="default" w:ascii="Times New Roman" w:hAnsi="Times New Roman" w:eastAsia="宋体" w:cs="Times New Roman"/>
                <w:color w:val="auto"/>
                <w:sz w:val="21"/>
                <w:szCs w:val="21"/>
                <w:highlight w:val="none"/>
                <w:lang w:val="en-US" w:eastAsia="zh-CN"/>
              </w:rPr>
              <w:t>人</w:t>
            </w:r>
          </w:p>
        </w:tc>
      </w:tr>
      <w:tr w14:paraId="15537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restart"/>
            <w:tcBorders>
              <w:tl2br w:val="nil"/>
              <w:tr2bl w:val="nil"/>
            </w:tcBorders>
            <w:noWrap w:val="0"/>
            <w:tcMar>
              <w:left w:w="57" w:type="dxa"/>
              <w:right w:w="57" w:type="dxa"/>
            </w:tcMar>
            <w:vAlign w:val="center"/>
          </w:tcPr>
          <w:p w14:paraId="7D8982A2">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2148" w:type="pct"/>
            <w:gridSpan w:val="3"/>
            <w:tcBorders>
              <w:tl2br w:val="nil"/>
              <w:tr2bl w:val="nil"/>
            </w:tcBorders>
            <w:noWrap w:val="0"/>
            <w:tcMar>
              <w:left w:w="57" w:type="dxa"/>
              <w:right w:w="57" w:type="dxa"/>
            </w:tcMar>
            <w:vAlign w:val="center"/>
          </w:tcPr>
          <w:p w14:paraId="2683D20C">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2625" w:type="pct"/>
            <w:gridSpan w:val="5"/>
            <w:tcBorders>
              <w:tl2br w:val="nil"/>
              <w:tr2bl w:val="nil"/>
            </w:tcBorders>
            <w:noWrap w:val="0"/>
            <w:tcMar>
              <w:left w:w="57" w:type="dxa"/>
              <w:right w:w="57" w:type="dxa"/>
            </w:tcMar>
            <w:vAlign w:val="center"/>
          </w:tcPr>
          <w:p w14:paraId="03D57A95">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受纳水体</w:t>
            </w:r>
          </w:p>
        </w:tc>
      </w:tr>
      <w:tr w14:paraId="30590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4B1CD3BC">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48FFC656">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940" w:type="pct"/>
            <w:tcBorders>
              <w:tl2br w:val="nil"/>
              <w:tr2bl w:val="nil"/>
            </w:tcBorders>
            <w:noWrap w:val="0"/>
            <w:tcMar>
              <w:left w:w="57" w:type="dxa"/>
              <w:right w:w="57" w:type="dxa"/>
            </w:tcMar>
            <w:vAlign w:val="center"/>
          </w:tcPr>
          <w:p w14:paraId="2F199468">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受纳水体名称</w:t>
            </w:r>
          </w:p>
        </w:tc>
        <w:tc>
          <w:tcPr>
            <w:tcW w:w="1011" w:type="pct"/>
            <w:tcBorders>
              <w:tl2br w:val="nil"/>
              <w:tr2bl w:val="nil"/>
            </w:tcBorders>
            <w:noWrap w:val="0"/>
            <w:tcMar>
              <w:left w:w="57" w:type="dxa"/>
              <w:right w:w="57" w:type="dxa"/>
            </w:tcMar>
            <w:vAlign w:val="center"/>
          </w:tcPr>
          <w:p w14:paraId="3FAA7C68">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285" w:type="pct"/>
            <w:gridSpan w:val="2"/>
            <w:tcBorders>
              <w:tl2br w:val="nil"/>
              <w:tr2bl w:val="nil"/>
            </w:tcBorders>
            <w:noWrap w:val="0"/>
            <w:tcMar>
              <w:left w:w="57" w:type="dxa"/>
              <w:right w:w="57" w:type="dxa"/>
            </w:tcMar>
            <w:vAlign w:val="center"/>
          </w:tcPr>
          <w:p w14:paraId="4992B0F1">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排放点水域环境功能</w:t>
            </w:r>
          </w:p>
        </w:tc>
        <w:tc>
          <w:tcPr>
            <w:tcW w:w="1339" w:type="pct"/>
            <w:gridSpan w:val="3"/>
            <w:tcBorders>
              <w:tl2br w:val="nil"/>
              <w:tr2bl w:val="nil"/>
            </w:tcBorders>
            <w:noWrap w:val="0"/>
            <w:tcMar>
              <w:left w:w="57" w:type="dxa"/>
              <w:right w:w="57" w:type="dxa"/>
            </w:tcMar>
            <w:vAlign w:val="center"/>
          </w:tcPr>
          <w:p w14:paraId="3DAD5F7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24h内流经范围（km）</w:t>
            </w:r>
          </w:p>
        </w:tc>
      </w:tr>
      <w:tr w14:paraId="58BC4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4EAF0A0F">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6D75BC30">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40" w:type="pct"/>
            <w:tcBorders>
              <w:tl2br w:val="nil"/>
              <w:tr2bl w:val="nil"/>
            </w:tcBorders>
            <w:noWrap w:val="0"/>
            <w:tcMar>
              <w:left w:w="57" w:type="dxa"/>
              <w:right w:w="57" w:type="dxa"/>
            </w:tcMar>
            <w:vAlign w:val="center"/>
          </w:tcPr>
          <w:p w14:paraId="56B166E3">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1011" w:type="pct"/>
            <w:tcBorders>
              <w:tl2br w:val="nil"/>
              <w:tr2bl w:val="nil"/>
            </w:tcBorders>
            <w:noWrap w:val="0"/>
            <w:tcMar>
              <w:left w:w="57" w:type="dxa"/>
              <w:right w:w="57" w:type="dxa"/>
            </w:tcMar>
            <w:vAlign w:val="center"/>
          </w:tcPr>
          <w:p w14:paraId="551FBF82">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285" w:type="pct"/>
            <w:gridSpan w:val="2"/>
            <w:tcBorders>
              <w:tl2br w:val="nil"/>
              <w:tr2bl w:val="nil"/>
            </w:tcBorders>
            <w:noWrap w:val="0"/>
            <w:tcMar>
              <w:left w:w="57" w:type="dxa"/>
              <w:right w:w="57" w:type="dxa"/>
            </w:tcMar>
            <w:vAlign w:val="center"/>
          </w:tcPr>
          <w:p w14:paraId="5A6742F5">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39" w:type="pct"/>
            <w:gridSpan w:val="3"/>
            <w:tcBorders>
              <w:tl2br w:val="nil"/>
              <w:tr2bl w:val="nil"/>
            </w:tcBorders>
            <w:noWrap w:val="0"/>
            <w:tcMar>
              <w:left w:w="57" w:type="dxa"/>
              <w:right w:w="57" w:type="dxa"/>
            </w:tcMar>
            <w:vAlign w:val="center"/>
          </w:tcPr>
          <w:p w14:paraId="20C5D8E4">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0E1C5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529ED16A">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2148" w:type="pct"/>
            <w:gridSpan w:val="3"/>
            <w:tcBorders>
              <w:tl2br w:val="nil"/>
              <w:tr2bl w:val="nil"/>
            </w:tcBorders>
            <w:noWrap w:val="0"/>
            <w:tcMar>
              <w:left w:w="57" w:type="dxa"/>
              <w:right w:w="57" w:type="dxa"/>
            </w:tcMar>
            <w:vAlign w:val="center"/>
          </w:tcPr>
          <w:p w14:paraId="56AC144A">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2625" w:type="pct"/>
            <w:gridSpan w:val="5"/>
            <w:tcBorders>
              <w:tl2br w:val="nil"/>
              <w:tr2bl w:val="nil"/>
            </w:tcBorders>
            <w:noWrap w:val="0"/>
            <w:tcMar>
              <w:left w:w="57" w:type="dxa"/>
              <w:right w:w="57" w:type="dxa"/>
            </w:tcMar>
            <w:vAlign w:val="center"/>
          </w:tcPr>
          <w:p w14:paraId="373E01CF">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内陆水体排放点下游10km范围内敏感目标</w:t>
            </w:r>
          </w:p>
        </w:tc>
      </w:tr>
      <w:tr w14:paraId="300BD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20209DEA">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3D81212C">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940" w:type="pct"/>
            <w:tcBorders>
              <w:tl2br w:val="nil"/>
              <w:tr2bl w:val="nil"/>
            </w:tcBorders>
            <w:noWrap w:val="0"/>
            <w:tcMar>
              <w:left w:w="57" w:type="dxa"/>
              <w:right w:w="57" w:type="dxa"/>
            </w:tcMar>
            <w:vAlign w:val="center"/>
          </w:tcPr>
          <w:p w14:paraId="0EB177FE">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敏感目标名称</w:t>
            </w:r>
          </w:p>
        </w:tc>
        <w:tc>
          <w:tcPr>
            <w:tcW w:w="1011" w:type="pct"/>
            <w:tcBorders>
              <w:tl2br w:val="nil"/>
              <w:tr2bl w:val="nil"/>
            </w:tcBorders>
            <w:noWrap w:val="0"/>
            <w:tcMar>
              <w:left w:w="57" w:type="dxa"/>
              <w:right w:w="57" w:type="dxa"/>
            </w:tcMar>
            <w:vAlign w:val="center"/>
          </w:tcPr>
          <w:p w14:paraId="23C7FC2A">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285" w:type="pct"/>
            <w:gridSpan w:val="2"/>
            <w:tcBorders>
              <w:tl2br w:val="nil"/>
              <w:tr2bl w:val="nil"/>
            </w:tcBorders>
            <w:noWrap w:val="0"/>
            <w:tcMar>
              <w:left w:w="57" w:type="dxa"/>
              <w:right w:w="57" w:type="dxa"/>
            </w:tcMar>
            <w:vAlign w:val="center"/>
          </w:tcPr>
          <w:p w14:paraId="2FBEF580">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环境敏感特征</w:t>
            </w:r>
          </w:p>
        </w:tc>
        <w:tc>
          <w:tcPr>
            <w:tcW w:w="746" w:type="pct"/>
            <w:gridSpan w:val="2"/>
            <w:tcBorders>
              <w:tl2br w:val="nil"/>
              <w:tr2bl w:val="nil"/>
            </w:tcBorders>
            <w:noWrap w:val="0"/>
            <w:tcMar>
              <w:left w:w="57" w:type="dxa"/>
              <w:right w:w="57" w:type="dxa"/>
            </w:tcMar>
            <w:vAlign w:val="center"/>
          </w:tcPr>
          <w:p w14:paraId="5DBFA280">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水质目标</w:t>
            </w:r>
          </w:p>
        </w:tc>
        <w:tc>
          <w:tcPr>
            <w:tcW w:w="592" w:type="pct"/>
            <w:tcBorders>
              <w:tl2br w:val="nil"/>
              <w:tr2bl w:val="nil"/>
            </w:tcBorders>
            <w:noWrap w:val="0"/>
            <w:tcMar>
              <w:left w:w="57" w:type="dxa"/>
              <w:right w:w="57" w:type="dxa"/>
            </w:tcMar>
            <w:vAlign w:val="center"/>
          </w:tcPr>
          <w:p w14:paraId="09929204">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与排放点距离（m）</w:t>
            </w:r>
          </w:p>
        </w:tc>
      </w:tr>
      <w:tr w14:paraId="2BEC6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4E67CB6E">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02E2474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40" w:type="pct"/>
            <w:tcBorders>
              <w:tl2br w:val="nil"/>
              <w:tr2bl w:val="nil"/>
            </w:tcBorders>
            <w:noWrap w:val="0"/>
            <w:tcMar>
              <w:left w:w="57" w:type="dxa"/>
              <w:right w:w="57" w:type="dxa"/>
            </w:tcMar>
            <w:vAlign w:val="center"/>
          </w:tcPr>
          <w:p w14:paraId="40C45586">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1011" w:type="pct"/>
            <w:tcBorders>
              <w:tl2br w:val="nil"/>
              <w:tr2bl w:val="nil"/>
            </w:tcBorders>
            <w:noWrap w:val="0"/>
            <w:tcMar>
              <w:left w:w="57" w:type="dxa"/>
              <w:right w:w="57" w:type="dxa"/>
            </w:tcMar>
            <w:vAlign w:val="center"/>
          </w:tcPr>
          <w:p w14:paraId="4FE2B1F1">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285" w:type="pct"/>
            <w:gridSpan w:val="2"/>
            <w:tcBorders>
              <w:tl2br w:val="nil"/>
              <w:tr2bl w:val="nil"/>
            </w:tcBorders>
            <w:noWrap w:val="0"/>
            <w:tcMar>
              <w:left w:w="57" w:type="dxa"/>
              <w:right w:w="57" w:type="dxa"/>
            </w:tcMar>
            <w:vAlign w:val="center"/>
          </w:tcPr>
          <w:p w14:paraId="43E38018">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46" w:type="pct"/>
            <w:gridSpan w:val="2"/>
            <w:tcBorders>
              <w:tl2br w:val="nil"/>
              <w:tr2bl w:val="nil"/>
            </w:tcBorders>
            <w:noWrap w:val="0"/>
            <w:tcMar>
              <w:left w:w="57" w:type="dxa"/>
              <w:right w:w="57" w:type="dxa"/>
            </w:tcMar>
            <w:vAlign w:val="center"/>
          </w:tcPr>
          <w:p w14:paraId="75FDA033">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592" w:type="pct"/>
            <w:tcBorders>
              <w:tl2br w:val="nil"/>
              <w:tr2bl w:val="nil"/>
            </w:tcBorders>
            <w:noWrap w:val="0"/>
            <w:tcMar>
              <w:left w:w="57" w:type="dxa"/>
              <w:right w:w="57" w:type="dxa"/>
            </w:tcMar>
            <w:vAlign w:val="center"/>
          </w:tcPr>
          <w:p w14:paraId="7833F016">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7ADC5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226" w:type="pct"/>
            <w:vMerge w:val="restart"/>
            <w:tcBorders>
              <w:tl2br w:val="nil"/>
              <w:tr2bl w:val="nil"/>
            </w:tcBorders>
            <w:noWrap w:val="0"/>
            <w:tcMar>
              <w:left w:w="57" w:type="dxa"/>
              <w:right w:w="57" w:type="dxa"/>
            </w:tcMar>
            <w:vAlign w:val="center"/>
          </w:tcPr>
          <w:p w14:paraId="32CC8B41">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196" w:type="pct"/>
            <w:tcBorders>
              <w:tl2br w:val="nil"/>
              <w:tr2bl w:val="nil"/>
            </w:tcBorders>
            <w:noWrap w:val="0"/>
            <w:tcMar>
              <w:left w:w="57" w:type="dxa"/>
              <w:right w:w="57" w:type="dxa"/>
            </w:tcMar>
            <w:vAlign w:val="center"/>
          </w:tcPr>
          <w:p w14:paraId="14785028">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940" w:type="pct"/>
            <w:tcBorders>
              <w:tl2br w:val="nil"/>
              <w:tr2bl w:val="nil"/>
            </w:tcBorders>
            <w:noWrap w:val="0"/>
            <w:tcMar>
              <w:left w:w="57" w:type="dxa"/>
              <w:right w:w="57" w:type="dxa"/>
            </w:tcMar>
            <w:vAlign w:val="center"/>
          </w:tcPr>
          <w:p w14:paraId="2D4597BB">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环境敏感区名称</w:t>
            </w:r>
          </w:p>
        </w:tc>
        <w:tc>
          <w:tcPr>
            <w:tcW w:w="1011" w:type="pct"/>
            <w:tcBorders>
              <w:tl2br w:val="nil"/>
              <w:tr2bl w:val="nil"/>
            </w:tcBorders>
            <w:noWrap w:val="0"/>
            <w:tcMar>
              <w:left w:w="57" w:type="dxa"/>
              <w:right w:w="57" w:type="dxa"/>
            </w:tcMar>
            <w:vAlign w:val="center"/>
          </w:tcPr>
          <w:p w14:paraId="1A480CF2">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586" w:type="pct"/>
            <w:tcBorders>
              <w:tl2br w:val="nil"/>
              <w:tr2bl w:val="nil"/>
            </w:tcBorders>
            <w:noWrap w:val="0"/>
            <w:tcMar>
              <w:left w:w="57" w:type="dxa"/>
              <w:right w:w="57" w:type="dxa"/>
            </w:tcMar>
            <w:vAlign w:val="center"/>
          </w:tcPr>
          <w:p w14:paraId="778EE0F8">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环境敏感特征</w:t>
            </w:r>
          </w:p>
        </w:tc>
        <w:tc>
          <w:tcPr>
            <w:tcW w:w="698" w:type="pct"/>
            <w:tcBorders>
              <w:tl2br w:val="nil"/>
              <w:tr2bl w:val="nil"/>
            </w:tcBorders>
            <w:noWrap w:val="0"/>
            <w:tcMar>
              <w:left w:w="57" w:type="dxa"/>
              <w:right w:w="57" w:type="dxa"/>
            </w:tcMar>
            <w:vAlign w:val="center"/>
          </w:tcPr>
          <w:p w14:paraId="53298970">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水质</w:t>
            </w:r>
          </w:p>
          <w:p w14:paraId="1F154125">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目标</w:t>
            </w:r>
          </w:p>
        </w:tc>
        <w:tc>
          <w:tcPr>
            <w:tcW w:w="746" w:type="pct"/>
            <w:gridSpan w:val="2"/>
            <w:tcBorders>
              <w:tl2br w:val="nil"/>
              <w:tr2bl w:val="nil"/>
            </w:tcBorders>
            <w:noWrap w:val="0"/>
            <w:tcMar>
              <w:left w:w="57" w:type="dxa"/>
              <w:right w:w="57" w:type="dxa"/>
            </w:tcMar>
            <w:vAlign w:val="center"/>
          </w:tcPr>
          <w:p w14:paraId="496777F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包气带防污性能</w:t>
            </w:r>
          </w:p>
        </w:tc>
        <w:tc>
          <w:tcPr>
            <w:tcW w:w="592" w:type="pct"/>
            <w:tcBorders>
              <w:tl2br w:val="nil"/>
              <w:tr2bl w:val="nil"/>
            </w:tcBorders>
            <w:noWrap w:val="0"/>
            <w:tcMar>
              <w:left w:w="57" w:type="dxa"/>
              <w:right w:w="57" w:type="dxa"/>
            </w:tcMar>
            <w:vAlign w:val="center"/>
          </w:tcPr>
          <w:p w14:paraId="5CAC8A36">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与下游厂界距离（m）</w:t>
            </w:r>
          </w:p>
        </w:tc>
      </w:tr>
      <w:tr w14:paraId="2BACA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26" w:type="pct"/>
            <w:vMerge w:val="continue"/>
            <w:tcBorders>
              <w:tl2br w:val="nil"/>
              <w:tr2bl w:val="nil"/>
            </w:tcBorders>
            <w:noWrap w:val="0"/>
            <w:tcMar>
              <w:left w:w="57" w:type="dxa"/>
              <w:right w:w="57" w:type="dxa"/>
            </w:tcMar>
            <w:vAlign w:val="center"/>
          </w:tcPr>
          <w:p w14:paraId="26CAB2C1">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p>
        </w:tc>
        <w:tc>
          <w:tcPr>
            <w:tcW w:w="196" w:type="pct"/>
            <w:tcBorders>
              <w:tl2br w:val="nil"/>
              <w:tr2bl w:val="nil"/>
            </w:tcBorders>
            <w:noWrap w:val="0"/>
            <w:tcMar>
              <w:left w:w="57" w:type="dxa"/>
              <w:right w:w="57" w:type="dxa"/>
            </w:tcMar>
            <w:vAlign w:val="center"/>
          </w:tcPr>
          <w:p w14:paraId="4566DADE">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940" w:type="pct"/>
            <w:tcBorders>
              <w:tl2br w:val="nil"/>
              <w:tr2bl w:val="nil"/>
            </w:tcBorders>
            <w:noWrap w:val="0"/>
            <w:tcMar>
              <w:left w:w="57" w:type="dxa"/>
              <w:right w:w="57" w:type="dxa"/>
            </w:tcMar>
            <w:vAlign w:val="center"/>
          </w:tcPr>
          <w:p w14:paraId="7461D974">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w:t>
            </w:r>
          </w:p>
        </w:tc>
        <w:tc>
          <w:tcPr>
            <w:tcW w:w="1011" w:type="pct"/>
            <w:tcBorders>
              <w:tl2br w:val="nil"/>
              <w:tr2bl w:val="nil"/>
            </w:tcBorders>
            <w:noWrap w:val="0"/>
            <w:tcMar>
              <w:left w:w="57" w:type="dxa"/>
              <w:right w:w="57" w:type="dxa"/>
            </w:tcMar>
            <w:vAlign w:val="center"/>
          </w:tcPr>
          <w:p w14:paraId="48FF6E07">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lang w:val="en-US" w:eastAsia="zh-CN"/>
              </w:rPr>
            </w:pPr>
          </w:p>
        </w:tc>
        <w:tc>
          <w:tcPr>
            <w:tcW w:w="586" w:type="pct"/>
            <w:tcBorders>
              <w:tl2br w:val="nil"/>
              <w:tr2bl w:val="nil"/>
            </w:tcBorders>
            <w:noWrap w:val="0"/>
            <w:tcMar>
              <w:left w:w="57" w:type="dxa"/>
              <w:right w:w="57" w:type="dxa"/>
            </w:tcMar>
            <w:vAlign w:val="center"/>
          </w:tcPr>
          <w:p w14:paraId="4EC9411F">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698" w:type="pct"/>
            <w:tcBorders>
              <w:tl2br w:val="nil"/>
              <w:tr2bl w:val="nil"/>
            </w:tcBorders>
            <w:noWrap w:val="0"/>
            <w:tcMar>
              <w:left w:w="57" w:type="dxa"/>
              <w:right w:w="57" w:type="dxa"/>
            </w:tcMar>
            <w:vAlign w:val="center"/>
          </w:tcPr>
          <w:p w14:paraId="3A034C65">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w:t>
            </w:r>
          </w:p>
        </w:tc>
        <w:tc>
          <w:tcPr>
            <w:tcW w:w="746" w:type="pct"/>
            <w:gridSpan w:val="2"/>
            <w:tcBorders>
              <w:tl2br w:val="nil"/>
              <w:tr2bl w:val="nil"/>
            </w:tcBorders>
            <w:noWrap w:val="0"/>
            <w:tcMar>
              <w:left w:w="57" w:type="dxa"/>
              <w:right w:w="57" w:type="dxa"/>
            </w:tcMar>
            <w:vAlign w:val="center"/>
          </w:tcPr>
          <w:p w14:paraId="55D3E2E9">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D1</w:t>
            </w:r>
          </w:p>
        </w:tc>
        <w:tc>
          <w:tcPr>
            <w:tcW w:w="592" w:type="pct"/>
            <w:tcBorders>
              <w:tl2br w:val="nil"/>
              <w:tr2bl w:val="nil"/>
            </w:tcBorders>
            <w:noWrap w:val="0"/>
            <w:tcMar>
              <w:left w:w="57" w:type="dxa"/>
              <w:right w:w="57" w:type="dxa"/>
            </w:tcMar>
            <w:vAlign w:val="center"/>
          </w:tcPr>
          <w:p w14:paraId="76352DB4">
            <w:pPr>
              <w:keepNext w:val="0"/>
              <w:keepLines w:val="0"/>
              <w:suppressLineNumbers w:val="0"/>
              <w:snapToGrid w:val="0"/>
              <w:spacing w:before="0" w:beforeAutospacing="0" w:after="0" w:afterAutospacing="0" w:line="240" w:lineRule="exact"/>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541ADDB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1"/>
          <w:szCs w:val="21"/>
        </w:rPr>
      </w:pPr>
    </w:p>
    <w:p w14:paraId="2B038706">
      <w:pPr>
        <w:pStyle w:val="43"/>
        <w:rPr>
          <w:rFonts w:hint="default" w:ascii="Times New Roman" w:hAnsi="Times New Roman" w:cs="Times New Roman"/>
          <w:b/>
          <w:color w:val="auto"/>
          <w:sz w:val="21"/>
          <w:szCs w:val="21"/>
        </w:rPr>
      </w:pPr>
    </w:p>
    <w:p w14:paraId="1519C1FF">
      <w:pPr>
        <w:numPr>
          <w:ilvl w:val="0"/>
          <w:numId w:val="0"/>
        </w:numPr>
        <w:bidi w:val="0"/>
        <w:ind w:left="510" w:leftChars="0"/>
        <w:rPr>
          <w:rFonts w:hint="default" w:ascii="Times New Roman" w:hAnsi="Times New Roman" w:cs="Times New Roman"/>
          <w:color w:val="auto"/>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14:paraId="23C48426">
      <w:pPr>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ind w:left="0" w:leftChars="0"/>
        <w:jc w:val="center"/>
        <w:textAlignment w:val="auto"/>
        <w:outlineLvl w:val="9"/>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宋体" w:cs="Times New Roman"/>
          <w:b/>
          <w:bCs/>
          <w:color w:val="auto"/>
          <w:sz w:val="24"/>
          <w:szCs w:val="24"/>
          <w:highlight w:val="none"/>
          <w:vertAlign w:val="baseline"/>
          <w:lang w:val="en-US" w:eastAsia="zh-CN"/>
        </w:rPr>
        <w:drawing>
          <wp:inline distT="0" distB="0" distL="114300" distR="114300">
            <wp:extent cx="7159625" cy="5062220"/>
            <wp:effectExtent l="0" t="0" r="3175" b="5080"/>
            <wp:docPr id="73" name="图片 73" descr="风险评价范围及保护目标-大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风险评价范围及保护目标-大气"/>
                    <pic:cNvPicPr>
                      <a:picLocks noChangeAspect="1"/>
                    </pic:cNvPicPr>
                  </pic:nvPicPr>
                  <pic:blipFill>
                    <a:blip r:embed="rId51"/>
                    <a:stretch>
                      <a:fillRect/>
                    </a:stretch>
                  </pic:blipFill>
                  <pic:spPr>
                    <a:xfrm>
                      <a:off x="0" y="0"/>
                      <a:ext cx="7159625" cy="5062220"/>
                    </a:xfrm>
                    <a:prstGeom prst="rect">
                      <a:avLst/>
                    </a:prstGeom>
                  </pic:spPr>
                </pic:pic>
              </a:graphicData>
            </a:graphic>
          </wp:inline>
        </w:drawing>
      </w:r>
    </w:p>
    <w:p w14:paraId="010D6E00">
      <w:pPr>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ind w:left="0" w:leftChars="0"/>
        <w:jc w:val="center"/>
        <w:textAlignment w:val="auto"/>
        <w:outlineLvl w:val="9"/>
        <w:rPr>
          <w:rFonts w:hint="default" w:ascii="Times New Roman" w:hAnsi="Times New Roman" w:eastAsia="黑体" w:cs="Times New Roman"/>
          <w:color w:val="auto"/>
          <w:sz w:val="22"/>
          <w:szCs w:val="21"/>
          <w:lang w:val="en-US" w:eastAsia="zh-CN"/>
        </w:rPr>
        <w:sectPr>
          <w:pgSz w:w="16838" w:h="11906" w:orient="landscape"/>
          <w:pgMar w:top="1800" w:right="1440" w:bottom="1800" w:left="144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color w:val="auto"/>
          <w:kern w:val="2"/>
          <w:sz w:val="22"/>
          <w:szCs w:val="21"/>
          <w:lang w:val="en-US" w:eastAsia="zh-CN" w:bidi="ar-SA"/>
        </w:rPr>
        <w:t>图2-1   本项目</w:t>
      </w:r>
      <w:r>
        <w:rPr>
          <w:rFonts w:hint="eastAsia" w:cs="Times New Roman"/>
          <w:b/>
          <w:color w:val="auto"/>
          <w:kern w:val="2"/>
          <w:sz w:val="22"/>
          <w:szCs w:val="21"/>
          <w:lang w:val="en-US" w:eastAsia="zh-CN" w:bidi="ar-SA"/>
        </w:rPr>
        <w:t>环境</w:t>
      </w:r>
      <w:r>
        <w:rPr>
          <w:rFonts w:hint="default" w:ascii="Times New Roman" w:hAnsi="Times New Roman" w:eastAsia="宋体" w:cs="Times New Roman"/>
          <w:b/>
          <w:color w:val="auto"/>
          <w:kern w:val="2"/>
          <w:sz w:val="22"/>
          <w:szCs w:val="21"/>
          <w:lang w:val="en-US" w:eastAsia="zh-CN" w:bidi="ar-SA"/>
        </w:rPr>
        <w:t>风险调查范围图</w:t>
      </w:r>
      <w:r>
        <w:rPr>
          <w:rFonts w:hint="eastAsia" w:cs="Times New Roman"/>
          <w:b/>
          <w:color w:val="auto"/>
          <w:kern w:val="2"/>
          <w:sz w:val="22"/>
          <w:szCs w:val="21"/>
          <w:lang w:val="en-US" w:eastAsia="zh-CN" w:bidi="ar-SA"/>
        </w:rPr>
        <w:t>（大气）</w:t>
      </w:r>
    </w:p>
    <w:p w14:paraId="03367A3B">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环境风险评价等级判定</w:t>
      </w:r>
    </w:p>
    <w:p w14:paraId="73B21BBA">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8"/>
          <w:szCs w:val="24"/>
          <w:lang w:val="en-US" w:eastAsia="zh-CN" w:bidi="ar-SA"/>
        </w:rPr>
      </w:pPr>
      <w:r>
        <w:rPr>
          <w:rFonts w:hint="default" w:ascii="Times New Roman" w:hAnsi="Times New Roman" w:eastAsia="宋体" w:cs="Times New Roman"/>
          <w:b w:val="0"/>
          <w:color w:val="auto"/>
          <w:kern w:val="2"/>
          <w:sz w:val="28"/>
          <w:szCs w:val="24"/>
          <w:lang w:val="zh-CN" w:eastAsia="zh-CN" w:bidi="ar-SA"/>
        </w:rPr>
        <w:t>环境风险潜势初判</w:t>
      </w:r>
    </w:p>
    <w:p w14:paraId="52F451F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highlight w:val="none"/>
          <w:lang w:val="en-US" w:eastAsia="zh-CN" w:bidi="ar-SA"/>
        </w:rPr>
      </w:pPr>
      <w:r>
        <w:rPr>
          <w:rFonts w:hint="default" w:ascii="Times New Roman" w:hAnsi="Times New Roman" w:eastAsia="宋体" w:cs="Times New Roman"/>
          <w:color w:val="auto"/>
          <w:spacing w:val="6"/>
          <w:kern w:val="0"/>
          <w:sz w:val="24"/>
          <w:szCs w:val="24"/>
          <w:highlight w:val="none"/>
          <w:lang w:val="en-US" w:eastAsia="zh-CN" w:bidi="ar-SA"/>
        </w:rPr>
        <w:t>（1）危险物质及工艺系统危险性（P）分级</w:t>
      </w:r>
    </w:p>
    <w:p w14:paraId="135E5E3A">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分析建设项目生产、使用、储存过程中涉及的有毒有害、易燃易爆物质，参考附录B确定危险物质的临界量。定量分析危险物质数量与临界量的比值（Q）和所属行业及生产工艺特点（M），按附录C对危险物质及工艺系统危险性（P）等级进行判断。</w:t>
      </w:r>
    </w:p>
    <w:p w14:paraId="5182AAAC">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危险物质数量与临界量比值（Q）</w:t>
      </w:r>
    </w:p>
    <w:p w14:paraId="77962E0F">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计算所涉及的每种危险物质在站内的最大存在总量与其在《建设项目环境风险评价技术导则》（HJ169-2018）附录B中对应临界量的比值Q。</w:t>
      </w:r>
    </w:p>
    <w:p w14:paraId="4008FF14">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当只涉及一种危险物质时，计算该物质的总量与其临界量比值，即为Q；</w:t>
      </w:r>
    </w:p>
    <w:p w14:paraId="0C9A3E29">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当存在多种危险物质时，则按下式计算物质总量与其临界量比值（Q）：</w:t>
      </w:r>
    </w:p>
    <w:p w14:paraId="59B664D5">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Q=q1/Q1+q2/Q2+……+qn/Qn</w:t>
      </w:r>
    </w:p>
    <w:p w14:paraId="43BF4A6D">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式中：q1，q2，…，qn—每种危险物质的最大存在总量，t；</w:t>
      </w:r>
    </w:p>
    <w:p w14:paraId="46D2AD1C">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Q1，Q2，…，Qn—每种危险物质的临界量，t。</w:t>
      </w:r>
    </w:p>
    <w:p w14:paraId="5F39BDDD">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当Q＜1时，该项目环境风险潜势为I。</w:t>
      </w:r>
    </w:p>
    <w:p w14:paraId="1DE89932">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当Q≥1时，将Q值划分为：（1）1≤Q＜10；（2）10≤Q＜100；（3）Q≥100。</w:t>
      </w:r>
    </w:p>
    <w:p w14:paraId="0C8E4393">
      <w:pPr>
        <w:pStyle w:val="58"/>
        <w:keepNext w:val="0"/>
        <w:keepLines w:val="0"/>
        <w:pageBreakBefore w:val="0"/>
        <w:widowControl w:val="0"/>
        <w:kinsoku/>
        <w:wordWrap/>
        <w:overflowPunct/>
        <w:topLinePunct w:val="0"/>
        <w:autoSpaceDE/>
        <w:autoSpaceDN/>
        <w:bidi w:val="0"/>
        <w:adjustRightInd w:val="0"/>
        <w:snapToGrid w:val="0"/>
        <w:rPr>
          <w:rFonts w:hint="default" w:ascii="Times New Roman" w:hAnsi="Times New Roman" w:cs="Times New Roman"/>
          <w:color w:val="auto"/>
        </w:rPr>
      </w:pPr>
      <w:r>
        <w:rPr>
          <w:rFonts w:hint="default" w:ascii="Times New Roman" w:hAnsi="Times New Roman" w:cs="Times New Roman"/>
          <w:color w:val="auto"/>
        </w:rPr>
        <w:t>根据对照《建设项目环境风险评价技术导则》（HJ169-2018）附录B，</w:t>
      </w:r>
      <w:r>
        <w:rPr>
          <w:rFonts w:hint="default" w:ascii="Times New Roman" w:hAnsi="Times New Roman" w:cs="Times New Roman"/>
          <w:color w:val="auto"/>
          <w:lang w:val="en-US" w:eastAsia="zh-CN"/>
        </w:rPr>
        <w:t>本项目危险物质包括</w:t>
      </w:r>
      <w:r>
        <w:rPr>
          <w:rFonts w:hint="default" w:ascii="Times New Roman" w:hAnsi="Times New Roman" w:eastAsia="宋体" w:cs="Times New Roman"/>
          <w:color w:val="auto"/>
          <w:spacing w:val="6"/>
          <w:kern w:val="0"/>
          <w:sz w:val="24"/>
          <w:szCs w:val="24"/>
          <w:lang w:val="en-US" w:eastAsia="zh-CN" w:bidi="ar-SA"/>
        </w:rPr>
        <w:t>液化石油气、丙烷、丙烷增效剂</w:t>
      </w:r>
      <w:r>
        <w:rPr>
          <w:rFonts w:hint="default" w:ascii="Times New Roman" w:hAnsi="Times New Roman" w:cs="Times New Roman"/>
          <w:color w:val="auto"/>
          <w:spacing w:val="6"/>
          <w:kern w:val="0"/>
          <w:sz w:val="24"/>
          <w:szCs w:val="24"/>
          <w:lang w:val="en-US" w:eastAsia="zh-CN" w:bidi="ar-SA"/>
        </w:rPr>
        <w:t>、</w:t>
      </w:r>
      <w:r>
        <w:rPr>
          <w:rFonts w:hint="default" w:ascii="Times New Roman" w:hAnsi="Times New Roman" w:eastAsia="宋体" w:cs="Times New Roman"/>
          <w:color w:val="auto"/>
          <w:spacing w:val="6"/>
          <w:kern w:val="0"/>
          <w:sz w:val="24"/>
          <w:szCs w:val="24"/>
          <w:lang w:val="en-US" w:eastAsia="zh-CN" w:bidi="ar-SA"/>
        </w:rPr>
        <w:t>残液、油墨（环己酮）、废矿物油</w:t>
      </w:r>
      <w:r>
        <w:rPr>
          <w:rFonts w:hint="default" w:ascii="Times New Roman" w:hAnsi="Times New Roman" w:cs="Times New Roman"/>
          <w:color w:val="auto"/>
          <w:lang w:val="en-US" w:eastAsia="zh-CN"/>
        </w:rPr>
        <w:t>等，</w:t>
      </w:r>
      <w:r>
        <w:rPr>
          <w:rFonts w:hint="default" w:ascii="Times New Roman" w:hAnsi="Times New Roman" w:cs="Times New Roman"/>
          <w:color w:val="auto"/>
        </w:rPr>
        <w:t>项目风险物料存储情况见下表。</w:t>
      </w:r>
    </w:p>
    <w:p w14:paraId="7369D1D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表</w:t>
      </w:r>
      <w:r>
        <w:rPr>
          <w:rFonts w:hint="default" w:ascii="Times New Roman" w:hAnsi="Times New Roman" w:cs="Times New Roman"/>
          <w:b/>
          <w:bCs/>
          <w:color w:val="auto"/>
          <w:sz w:val="21"/>
          <w:szCs w:val="21"/>
          <w:u w:val="none"/>
          <w:lang w:val="en-US" w:eastAsia="zh-CN"/>
        </w:rPr>
        <w:t>2.4-1</w:t>
      </w:r>
      <w:r>
        <w:rPr>
          <w:rFonts w:hint="default" w:ascii="Times New Roman" w:hAnsi="Times New Roman" w:cs="Times New Roman"/>
          <w:b/>
          <w:bCs/>
          <w:color w:val="auto"/>
          <w:sz w:val="21"/>
          <w:szCs w:val="21"/>
          <w:u w:val="none"/>
        </w:rPr>
        <w:t xml:space="preserve"> 项目风险物料存储情况一览表</w:t>
      </w:r>
    </w:p>
    <w:tbl>
      <w:tblPr>
        <w:tblStyle w:val="32"/>
        <w:tblW w:w="838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536"/>
        <w:gridCol w:w="1831"/>
        <w:gridCol w:w="1353"/>
        <w:gridCol w:w="1109"/>
        <w:gridCol w:w="1190"/>
        <w:gridCol w:w="1448"/>
        <w:gridCol w:w="918"/>
      </w:tblGrid>
      <w:tr w14:paraId="0AF9B8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5" w:hRule="atLeast"/>
        </w:trPr>
        <w:tc>
          <w:tcPr>
            <w:tcW w:w="536" w:type="dxa"/>
            <w:tcBorders>
              <w:top w:val="single" w:color="000000" w:sz="4" w:space="0"/>
              <w:left w:val="single" w:color="000000" w:sz="4" w:space="0"/>
              <w:bottom w:val="single" w:color="000000" w:sz="4" w:space="0"/>
              <w:right w:val="single" w:color="000000" w:sz="4" w:space="0"/>
            </w:tcBorders>
            <w:noWrap w:val="0"/>
            <w:vAlign w:val="center"/>
          </w:tcPr>
          <w:p w14:paraId="215DEA31">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序号</w:t>
            </w:r>
          </w:p>
        </w:tc>
        <w:tc>
          <w:tcPr>
            <w:tcW w:w="1831" w:type="dxa"/>
            <w:tcBorders>
              <w:top w:val="single" w:color="000000" w:sz="4" w:space="0"/>
              <w:left w:val="single" w:color="000000" w:sz="4" w:space="0"/>
              <w:bottom w:val="single" w:color="000000" w:sz="4" w:space="0"/>
              <w:right w:val="single" w:color="000000" w:sz="4" w:space="0"/>
            </w:tcBorders>
            <w:noWrap w:val="0"/>
            <w:vAlign w:val="center"/>
          </w:tcPr>
          <w:p w14:paraId="11842924">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风险物质名称</w:t>
            </w:r>
          </w:p>
        </w:tc>
        <w:tc>
          <w:tcPr>
            <w:tcW w:w="1353" w:type="dxa"/>
            <w:tcBorders>
              <w:top w:val="single" w:color="000000" w:sz="4" w:space="0"/>
              <w:left w:val="single" w:color="000000" w:sz="4" w:space="0"/>
              <w:bottom w:val="single" w:color="000000" w:sz="4" w:space="0"/>
              <w:right w:val="single" w:color="000000" w:sz="4" w:space="0"/>
            </w:tcBorders>
            <w:noWrap w:val="0"/>
            <w:vAlign w:val="center"/>
          </w:tcPr>
          <w:p w14:paraId="2F6E12EF">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CAS号</w:t>
            </w:r>
          </w:p>
        </w:tc>
        <w:tc>
          <w:tcPr>
            <w:tcW w:w="1109" w:type="dxa"/>
            <w:tcBorders>
              <w:top w:val="single" w:color="000000" w:sz="4" w:space="0"/>
              <w:left w:val="single" w:color="000000" w:sz="4" w:space="0"/>
              <w:bottom w:val="single" w:color="000000" w:sz="4" w:space="0"/>
              <w:right w:val="single" w:color="000000" w:sz="4" w:space="0"/>
            </w:tcBorders>
            <w:noWrap w:val="0"/>
            <w:vAlign w:val="center"/>
          </w:tcPr>
          <w:p w14:paraId="04733DEF">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临界量（t）</w:t>
            </w:r>
          </w:p>
        </w:tc>
        <w:tc>
          <w:tcPr>
            <w:tcW w:w="1190" w:type="dxa"/>
            <w:tcBorders>
              <w:top w:val="single" w:color="000000" w:sz="4" w:space="0"/>
              <w:left w:val="single" w:color="000000" w:sz="4" w:space="0"/>
              <w:bottom w:val="single" w:color="000000" w:sz="4" w:space="0"/>
              <w:right w:val="single" w:color="000000" w:sz="4" w:space="0"/>
            </w:tcBorders>
            <w:noWrap w:val="0"/>
            <w:vAlign w:val="center"/>
          </w:tcPr>
          <w:p w14:paraId="1393C0EE">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单元实际存储量（t）</w:t>
            </w:r>
          </w:p>
        </w:tc>
        <w:tc>
          <w:tcPr>
            <w:tcW w:w="1448" w:type="dxa"/>
            <w:tcBorders>
              <w:top w:val="single" w:color="000000" w:sz="4" w:space="0"/>
              <w:left w:val="single" w:color="000000" w:sz="4" w:space="0"/>
              <w:bottom w:val="single" w:color="000000" w:sz="4" w:space="0"/>
              <w:right w:val="single" w:color="000000" w:sz="4" w:space="0"/>
            </w:tcBorders>
            <w:noWrap w:val="0"/>
            <w:vAlign w:val="center"/>
          </w:tcPr>
          <w:p w14:paraId="1BA32B92">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存储位置</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221DB4CE">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q/Q</w:t>
            </w:r>
          </w:p>
        </w:tc>
      </w:tr>
      <w:tr w14:paraId="663F0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5" w:hRule="atLeast"/>
        </w:trPr>
        <w:tc>
          <w:tcPr>
            <w:tcW w:w="536" w:type="dxa"/>
            <w:tcBorders>
              <w:top w:val="single" w:color="000000" w:sz="4" w:space="0"/>
              <w:left w:val="single" w:color="000000" w:sz="4" w:space="0"/>
              <w:bottom w:val="single" w:color="000000" w:sz="4" w:space="0"/>
              <w:right w:val="single" w:color="000000" w:sz="4" w:space="0"/>
            </w:tcBorders>
            <w:noWrap w:val="0"/>
            <w:vAlign w:val="center"/>
          </w:tcPr>
          <w:p w14:paraId="23919CC1">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w:t>
            </w:r>
          </w:p>
        </w:tc>
        <w:tc>
          <w:tcPr>
            <w:tcW w:w="1831" w:type="dxa"/>
            <w:tcBorders>
              <w:top w:val="single" w:color="000000" w:sz="4" w:space="0"/>
              <w:left w:val="single" w:color="000000" w:sz="4" w:space="0"/>
              <w:bottom w:val="single" w:color="000000" w:sz="4" w:space="0"/>
              <w:right w:val="single" w:color="000000" w:sz="4" w:space="0"/>
            </w:tcBorders>
            <w:noWrap w:val="0"/>
            <w:vAlign w:val="center"/>
          </w:tcPr>
          <w:p w14:paraId="66C74453">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石油气</w:t>
            </w:r>
          </w:p>
        </w:tc>
        <w:tc>
          <w:tcPr>
            <w:tcW w:w="1353" w:type="dxa"/>
            <w:tcBorders>
              <w:top w:val="single" w:color="000000" w:sz="4" w:space="0"/>
              <w:left w:val="single" w:color="000000" w:sz="4" w:space="0"/>
              <w:bottom w:val="single" w:color="000000" w:sz="4" w:space="0"/>
              <w:right w:val="single" w:color="000000" w:sz="4" w:space="0"/>
            </w:tcBorders>
            <w:noWrap w:val="0"/>
            <w:vAlign w:val="center"/>
          </w:tcPr>
          <w:p w14:paraId="71D94311">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68476-85-7</w:t>
            </w:r>
          </w:p>
        </w:tc>
        <w:tc>
          <w:tcPr>
            <w:tcW w:w="1109" w:type="dxa"/>
            <w:tcBorders>
              <w:top w:val="single" w:color="000000" w:sz="4" w:space="0"/>
              <w:left w:val="single" w:color="000000" w:sz="4" w:space="0"/>
              <w:bottom w:val="single" w:color="000000" w:sz="4" w:space="0"/>
              <w:right w:val="single" w:color="000000" w:sz="4" w:space="0"/>
            </w:tcBorders>
            <w:noWrap w:val="0"/>
            <w:vAlign w:val="center"/>
          </w:tcPr>
          <w:p w14:paraId="16C395DC">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10</w:t>
            </w:r>
          </w:p>
        </w:tc>
        <w:tc>
          <w:tcPr>
            <w:tcW w:w="1190" w:type="dxa"/>
            <w:tcBorders>
              <w:top w:val="single" w:color="000000" w:sz="4" w:space="0"/>
              <w:left w:val="single" w:color="000000" w:sz="4" w:space="0"/>
              <w:bottom w:val="single" w:color="000000" w:sz="4" w:space="0"/>
              <w:right w:val="single" w:color="000000" w:sz="4" w:space="0"/>
            </w:tcBorders>
            <w:noWrap w:val="0"/>
            <w:vAlign w:val="center"/>
          </w:tcPr>
          <w:p w14:paraId="656EA242">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46.4</w:t>
            </w:r>
          </w:p>
        </w:tc>
        <w:tc>
          <w:tcPr>
            <w:tcW w:w="1448" w:type="dxa"/>
            <w:tcBorders>
              <w:top w:val="single" w:color="000000" w:sz="4" w:space="0"/>
              <w:left w:val="single" w:color="000000" w:sz="4" w:space="0"/>
              <w:bottom w:val="single" w:color="000000" w:sz="4" w:space="0"/>
              <w:right w:val="single" w:color="000000" w:sz="4" w:space="0"/>
            </w:tcBorders>
            <w:noWrap w:val="0"/>
            <w:vAlign w:val="center"/>
          </w:tcPr>
          <w:p w14:paraId="7DDBAB4B">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液化气地下储罐</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66B4D38F">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4.64</w:t>
            </w:r>
          </w:p>
        </w:tc>
      </w:tr>
      <w:tr w14:paraId="4787F7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536" w:type="dxa"/>
            <w:tcBorders>
              <w:top w:val="single" w:color="000000" w:sz="4" w:space="0"/>
              <w:left w:val="single" w:color="000000" w:sz="4" w:space="0"/>
              <w:bottom w:val="single" w:color="000000" w:sz="4" w:space="0"/>
              <w:right w:val="single" w:color="000000" w:sz="4" w:space="0"/>
            </w:tcBorders>
            <w:noWrap w:val="0"/>
            <w:vAlign w:val="center"/>
          </w:tcPr>
          <w:p w14:paraId="3B54D782">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2</w:t>
            </w:r>
          </w:p>
        </w:tc>
        <w:tc>
          <w:tcPr>
            <w:tcW w:w="1831" w:type="dxa"/>
            <w:tcBorders>
              <w:top w:val="single" w:color="000000" w:sz="4" w:space="0"/>
              <w:left w:val="single" w:color="000000" w:sz="4" w:space="0"/>
              <w:bottom w:val="single" w:color="000000" w:sz="4" w:space="0"/>
              <w:right w:val="single" w:color="000000" w:sz="4" w:space="0"/>
            </w:tcBorders>
            <w:noWrap w:val="0"/>
            <w:vAlign w:val="center"/>
          </w:tcPr>
          <w:p w14:paraId="032C4CBE">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丙烷</w:t>
            </w:r>
          </w:p>
        </w:tc>
        <w:tc>
          <w:tcPr>
            <w:tcW w:w="1353" w:type="dxa"/>
            <w:tcBorders>
              <w:top w:val="single" w:color="000000" w:sz="4" w:space="0"/>
              <w:left w:val="single" w:color="000000" w:sz="4" w:space="0"/>
              <w:bottom w:val="single" w:color="000000" w:sz="4" w:space="0"/>
              <w:right w:val="single" w:color="000000" w:sz="4" w:space="0"/>
            </w:tcBorders>
            <w:noWrap w:val="0"/>
            <w:vAlign w:val="center"/>
          </w:tcPr>
          <w:p w14:paraId="0259AF85">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74-98-6</w:t>
            </w:r>
          </w:p>
        </w:tc>
        <w:tc>
          <w:tcPr>
            <w:tcW w:w="1109" w:type="dxa"/>
            <w:tcBorders>
              <w:top w:val="single" w:color="000000" w:sz="4" w:space="0"/>
              <w:left w:val="single" w:color="000000" w:sz="4" w:space="0"/>
              <w:bottom w:val="single" w:color="000000" w:sz="4" w:space="0"/>
              <w:right w:val="single" w:color="000000" w:sz="4" w:space="0"/>
            </w:tcBorders>
            <w:noWrap w:val="0"/>
            <w:vAlign w:val="center"/>
          </w:tcPr>
          <w:p w14:paraId="291FE97C">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10</w:t>
            </w:r>
          </w:p>
        </w:tc>
        <w:tc>
          <w:tcPr>
            <w:tcW w:w="1190" w:type="dxa"/>
            <w:tcBorders>
              <w:top w:val="single" w:color="000000" w:sz="4" w:space="0"/>
              <w:left w:val="single" w:color="000000" w:sz="4" w:space="0"/>
              <w:bottom w:val="single" w:color="000000" w:sz="4" w:space="0"/>
              <w:right w:val="single" w:color="000000" w:sz="4" w:space="0"/>
            </w:tcBorders>
            <w:noWrap w:val="0"/>
            <w:vAlign w:val="center"/>
          </w:tcPr>
          <w:p w14:paraId="0A782B0E">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40.56</w:t>
            </w:r>
          </w:p>
        </w:tc>
        <w:tc>
          <w:tcPr>
            <w:tcW w:w="1448" w:type="dxa"/>
            <w:tcBorders>
              <w:top w:val="single" w:color="000000" w:sz="4" w:space="0"/>
              <w:left w:val="single" w:color="000000" w:sz="4" w:space="0"/>
              <w:bottom w:val="single" w:color="000000" w:sz="4" w:space="0"/>
              <w:right w:val="single" w:color="000000" w:sz="4" w:space="0"/>
            </w:tcBorders>
            <w:noWrap w:val="0"/>
            <w:vAlign w:val="center"/>
          </w:tcPr>
          <w:p w14:paraId="0D7E0438">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丙烷地下储罐</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46F99586">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4.056</w:t>
            </w:r>
          </w:p>
        </w:tc>
      </w:tr>
      <w:tr w14:paraId="1DC62B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536" w:type="dxa"/>
            <w:tcBorders>
              <w:top w:val="single" w:color="000000" w:sz="4" w:space="0"/>
              <w:left w:val="single" w:color="000000" w:sz="4" w:space="0"/>
              <w:bottom w:val="single" w:color="000000" w:sz="4" w:space="0"/>
              <w:right w:val="single" w:color="000000" w:sz="4" w:space="0"/>
            </w:tcBorders>
            <w:noWrap w:val="0"/>
            <w:vAlign w:val="center"/>
          </w:tcPr>
          <w:p w14:paraId="69065753">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3</w:t>
            </w:r>
          </w:p>
        </w:tc>
        <w:tc>
          <w:tcPr>
            <w:tcW w:w="1831" w:type="dxa"/>
            <w:tcBorders>
              <w:top w:val="single" w:color="000000" w:sz="4" w:space="0"/>
              <w:left w:val="single" w:color="000000" w:sz="4" w:space="0"/>
              <w:bottom w:val="single" w:color="000000" w:sz="4" w:space="0"/>
              <w:right w:val="single" w:color="000000" w:sz="4" w:space="0"/>
            </w:tcBorders>
            <w:noWrap w:val="0"/>
            <w:vAlign w:val="center"/>
          </w:tcPr>
          <w:p w14:paraId="3AEBF4CD">
            <w:pPr>
              <w:pStyle w:val="40"/>
              <w:bidi w:val="0"/>
              <w:rPr>
                <w:rFonts w:hint="default" w:ascii="Times New Roman" w:hAnsi="Times New Roman" w:cs="Times New Roman"/>
                <w:sz w:val="21"/>
                <w:szCs w:val="21"/>
              </w:rPr>
            </w:pPr>
            <w:r>
              <w:rPr>
                <w:rFonts w:hint="eastAsia" w:cs="Times New Roman"/>
                <w:sz w:val="21"/>
                <w:szCs w:val="21"/>
                <w:lang w:val="en-US" w:eastAsia="zh-CN"/>
              </w:rPr>
              <w:t>LPG</w:t>
            </w:r>
            <w:r>
              <w:rPr>
                <w:rFonts w:hint="default" w:ascii="Times New Roman" w:hAnsi="Times New Roman" w:cs="Times New Roman"/>
                <w:sz w:val="21"/>
                <w:szCs w:val="21"/>
                <w:lang w:val="en-US" w:eastAsia="zh-CN"/>
              </w:rPr>
              <w:t>残液</w:t>
            </w:r>
          </w:p>
        </w:tc>
        <w:tc>
          <w:tcPr>
            <w:tcW w:w="1353" w:type="dxa"/>
            <w:tcBorders>
              <w:top w:val="single" w:color="000000" w:sz="4" w:space="0"/>
              <w:left w:val="single" w:color="000000" w:sz="4" w:space="0"/>
              <w:bottom w:val="single" w:color="000000" w:sz="4" w:space="0"/>
              <w:right w:val="single" w:color="000000" w:sz="4" w:space="0"/>
            </w:tcBorders>
            <w:noWrap w:val="0"/>
            <w:vAlign w:val="center"/>
          </w:tcPr>
          <w:p w14:paraId="5506E573">
            <w:pPr>
              <w:pStyle w:val="40"/>
              <w:bidi w:val="0"/>
              <w:rPr>
                <w:rFonts w:hint="eastAsia" w:ascii="Times New Roman" w:hAnsi="Times New Roman" w:eastAsia="宋体" w:cs="Times New Roman"/>
                <w:sz w:val="21"/>
                <w:szCs w:val="21"/>
                <w:lang w:val="en-US" w:eastAsia="zh-CN"/>
              </w:rPr>
            </w:pPr>
            <w:r>
              <w:rPr>
                <w:rFonts w:hint="eastAsia" w:cs="Times New Roman"/>
                <w:sz w:val="21"/>
                <w:szCs w:val="21"/>
                <w:lang w:val="en-US" w:eastAsia="zh-CN"/>
              </w:rPr>
              <w:t>/</w:t>
            </w:r>
          </w:p>
        </w:tc>
        <w:tc>
          <w:tcPr>
            <w:tcW w:w="1109" w:type="dxa"/>
            <w:tcBorders>
              <w:top w:val="single" w:color="000000" w:sz="4" w:space="0"/>
              <w:left w:val="single" w:color="000000" w:sz="4" w:space="0"/>
              <w:bottom w:val="single" w:color="000000" w:sz="4" w:space="0"/>
              <w:right w:val="single" w:color="000000" w:sz="4" w:space="0"/>
            </w:tcBorders>
            <w:noWrap w:val="0"/>
            <w:vAlign w:val="center"/>
          </w:tcPr>
          <w:p w14:paraId="713547A8">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10</w:t>
            </w:r>
          </w:p>
        </w:tc>
        <w:tc>
          <w:tcPr>
            <w:tcW w:w="1190" w:type="dxa"/>
            <w:tcBorders>
              <w:top w:val="single" w:color="000000" w:sz="4" w:space="0"/>
              <w:left w:val="single" w:color="000000" w:sz="4" w:space="0"/>
              <w:bottom w:val="single" w:color="000000" w:sz="4" w:space="0"/>
              <w:right w:val="single" w:color="000000" w:sz="4" w:space="0"/>
            </w:tcBorders>
            <w:noWrap w:val="0"/>
            <w:vAlign w:val="center"/>
          </w:tcPr>
          <w:p w14:paraId="08D30793">
            <w:pPr>
              <w:pStyle w:val="40"/>
              <w:bidi w:val="0"/>
              <w:rPr>
                <w:rFonts w:hint="default" w:ascii="Times New Roman" w:hAnsi="Times New Roman" w:cs="Times New Roman"/>
                <w:sz w:val="21"/>
                <w:szCs w:val="21"/>
                <w:lang w:val="en-US"/>
              </w:rPr>
            </w:pPr>
            <w:r>
              <w:rPr>
                <w:rFonts w:hint="eastAsia" w:cs="Times New Roman"/>
                <w:sz w:val="21"/>
                <w:szCs w:val="21"/>
                <w:lang w:val="en-US" w:eastAsia="zh-CN"/>
              </w:rPr>
              <w:t>0.23</w:t>
            </w:r>
          </w:p>
        </w:tc>
        <w:tc>
          <w:tcPr>
            <w:tcW w:w="1448" w:type="dxa"/>
            <w:tcBorders>
              <w:top w:val="single" w:color="000000" w:sz="4" w:space="0"/>
              <w:left w:val="single" w:color="000000" w:sz="4" w:space="0"/>
              <w:bottom w:val="single" w:color="000000" w:sz="4" w:space="0"/>
              <w:right w:val="single" w:color="000000" w:sz="4" w:space="0"/>
            </w:tcBorders>
            <w:noWrap w:val="0"/>
            <w:vAlign w:val="center"/>
          </w:tcPr>
          <w:p w14:paraId="1B143DC9">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危险废物暂存间</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150CCC14">
            <w:pPr>
              <w:pStyle w:val="40"/>
              <w:bidi w:val="0"/>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0.</w:t>
            </w:r>
            <w:r>
              <w:rPr>
                <w:rFonts w:hint="eastAsia" w:cs="Times New Roman"/>
                <w:sz w:val="21"/>
                <w:szCs w:val="21"/>
                <w:lang w:val="en-US" w:eastAsia="zh-CN"/>
              </w:rPr>
              <w:t>02</w:t>
            </w:r>
          </w:p>
        </w:tc>
      </w:tr>
      <w:tr w14:paraId="291D6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70" w:hRule="atLeast"/>
        </w:trPr>
        <w:tc>
          <w:tcPr>
            <w:tcW w:w="536" w:type="dxa"/>
            <w:tcBorders>
              <w:top w:val="single" w:color="000000" w:sz="4" w:space="0"/>
              <w:left w:val="single" w:color="000000" w:sz="4" w:space="0"/>
              <w:bottom w:val="single" w:color="000000" w:sz="4" w:space="0"/>
              <w:right w:val="single" w:color="000000" w:sz="4" w:space="0"/>
            </w:tcBorders>
            <w:noWrap w:val="0"/>
            <w:vAlign w:val="center"/>
          </w:tcPr>
          <w:p w14:paraId="4CF80C1A">
            <w:pPr>
              <w:pStyle w:val="40"/>
              <w:bidi w:val="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w:t>
            </w:r>
          </w:p>
        </w:tc>
        <w:tc>
          <w:tcPr>
            <w:tcW w:w="1831" w:type="dxa"/>
            <w:tcBorders>
              <w:top w:val="single" w:color="000000" w:sz="4" w:space="0"/>
              <w:left w:val="single" w:color="000000" w:sz="4" w:space="0"/>
              <w:bottom w:val="single" w:color="000000" w:sz="4" w:space="0"/>
              <w:right w:val="single" w:color="000000" w:sz="4" w:space="0"/>
            </w:tcBorders>
            <w:noWrap/>
            <w:vAlign w:val="center"/>
          </w:tcPr>
          <w:p w14:paraId="4B37FD25">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增效剂（主要成分为丙烷、丁烷）</w:t>
            </w:r>
          </w:p>
        </w:tc>
        <w:tc>
          <w:tcPr>
            <w:tcW w:w="1353" w:type="dxa"/>
            <w:tcBorders>
              <w:top w:val="single" w:color="000000" w:sz="4" w:space="0"/>
              <w:left w:val="single" w:color="000000" w:sz="4" w:space="0"/>
              <w:bottom w:val="single" w:color="000000" w:sz="4" w:space="0"/>
              <w:right w:val="single" w:color="000000" w:sz="4" w:space="0"/>
            </w:tcBorders>
            <w:noWrap/>
            <w:vAlign w:val="center"/>
          </w:tcPr>
          <w:p w14:paraId="37006B75">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w:t>
            </w:r>
          </w:p>
        </w:tc>
        <w:tc>
          <w:tcPr>
            <w:tcW w:w="1109" w:type="dxa"/>
            <w:tcBorders>
              <w:top w:val="single" w:color="000000" w:sz="4" w:space="0"/>
              <w:left w:val="single" w:color="000000" w:sz="4" w:space="0"/>
              <w:bottom w:val="single" w:color="000000" w:sz="4" w:space="0"/>
              <w:right w:val="single" w:color="000000" w:sz="4" w:space="0"/>
            </w:tcBorders>
            <w:noWrap/>
            <w:vAlign w:val="center"/>
          </w:tcPr>
          <w:p w14:paraId="7B64BA21">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10</w:t>
            </w:r>
          </w:p>
        </w:tc>
        <w:tc>
          <w:tcPr>
            <w:tcW w:w="1190" w:type="dxa"/>
            <w:tcBorders>
              <w:top w:val="single" w:color="000000" w:sz="4" w:space="0"/>
              <w:left w:val="single" w:color="000000" w:sz="4" w:space="0"/>
              <w:bottom w:val="single" w:color="000000" w:sz="4" w:space="0"/>
              <w:right w:val="single" w:color="000000" w:sz="4" w:space="0"/>
            </w:tcBorders>
            <w:noWrap/>
            <w:vAlign w:val="center"/>
          </w:tcPr>
          <w:p w14:paraId="5807B664">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0.125</w:t>
            </w:r>
          </w:p>
        </w:tc>
        <w:tc>
          <w:tcPr>
            <w:tcW w:w="1448" w:type="dxa"/>
            <w:tcBorders>
              <w:top w:val="single" w:color="000000" w:sz="4" w:space="0"/>
              <w:left w:val="single" w:color="000000" w:sz="4" w:space="0"/>
              <w:bottom w:val="single" w:color="000000" w:sz="4" w:space="0"/>
              <w:right w:val="single" w:color="000000" w:sz="4" w:space="0"/>
            </w:tcBorders>
            <w:noWrap/>
            <w:vAlign w:val="center"/>
          </w:tcPr>
          <w:p w14:paraId="1AD29F05">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丙烷灌装间</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0C2809CE">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0.0125</w:t>
            </w:r>
          </w:p>
        </w:tc>
      </w:tr>
      <w:tr w14:paraId="000F98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3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809359">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sz w:val="21"/>
                <w:szCs w:val="21"/>
                <w:lang w:val="en-US" w:eastAsia="zh-CN"/>
              </w:rPr>
              <w:t>5</w:t>
            </w:r>
          </w:p>
        </w:tc>
        <w:tc>
          <w:tcPr>
            <w:tcW w:w="1831" w:type="dxa"/>
            <w:tcBorders>
              <w:top w:val="single" w:color="000000" w:sz="4" w:space="0"/>
              <w:left w:val="single" w:color="000000" w:sz="4" w:space="0"/>
              <w:bottom w:val="single" w:color="000000" w:sz="4" w:space="0"/>
              <w:right w:val="single" w:color="000000" w:sz="4" w:space="0"/>
            </w:tcBorders>
            <w:noWrap w:val="0"/>
            <w:vAlign w:val="center"/>
          </w:tcPr>
          <w:p w14:paraId="3567961A">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废润滑油</w:t>
            </w:r>
          </w:p>
        </w:tc>
        <w:tc>
          <w:tcPr>
            <w:tcW w:w="1353" w:type="dxa"/>
            <w:tcBorders>
              <w:top w:val="single" w:color="000000" w:sz="4" w:space="0"/>
              <w:left w:val="single" w:color="000000" w:sz="4" w:space="0"/>
              <w:bottom w:val="single" w:color="000000" w:sz="4" w:space="0"/>
              <w:right w:val="single" w:color="000000" w:sz="4" w:space="0"/>
            </w:tcBorders>
            <w:noWrap w:val="0"/>
            <w:vAlign w:val="center"/>
          </w:tcPr>
          <w:p w14:paraId="6576F6FC">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w:t>
            </w:r>
          </w:p>
        </w:tc>
        <w:tc>
          <w:tcPr>
            <w:tcW w:w="1109" w:type="dxa"/>
            <w:tcBorders>
              <w:top w:val="single" w:color="000000" w:sz="4" w:space="0"/>
              <w:left w:val="single" w:color="000000" w:sz="4" w:space="0"/>
              <w:bottom w:val="single" w:color="000000" w:sz="4" w:space="0"/>
              <w:right w:val="single" w:color="000000" w:sz="4" w:space="0"/>
            </w:tcBorders>
            <w:noWrap w:val="0"/>
            <w:vAlign w:val="center"/>
          </w:tcPr>
          <w:p w14:paraId="46B4080B">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2500</w:t>
            </w:r>
          </w:p>
        </w:tc>
        <w:tc>
          <w:tcPr>
            <w:tcW w:w="1190" w:type="dxa"/>
            <w:tcBorders>
              <w:top w:val="single" w:color="000000" w:sz="4" w:space="0"/>
              <w:left w:val="single" w:color="000000" w:sz="4" w:space="0"/>
              <w:bottom w:val="single" w:color="000000" w:sz="4" w:space="0"/>
              <w:right w:val="single" w:color="000000" w:sz="4" w:space="0"/>
            </w:tcBorders>
            <w:noWrap w:val="0"/>
            <w:vAlign w:val="center"/>
          </w:tcPr>
          <w:p w14:paraId="24352A2C">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0.1</w:t>
            </w:r>
          </w:p>
        </w:tc>
        <w:tc>
          <w:tcPr>
            <w:tcW w:w="1448" w:type="dxa"/>
            <w:tcBorders>
              <w:top w:val="single" w:color="000000" w:sz="4" w:space="0"/>
              <w:left w:val="single" w:color="000000" w:sz="4" w:space="0"/>
              <w:bottom w:val="single" w:color="000000" w:sz="4" w:space="0"/>
              <w:right w:val="single" w:color="000000" w:sz="4" w:space="0"/>
            </w:tcBorders>
            <w:noWrap w:val="0"/>
            <w:vAlign w:val="center"/>
          </w:tcPr>
          <w:p w14:paraId="1E68FAEA">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危险废物暂存间</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3D03BB55">
            <w:pPr>
              <w:pStyle w:val="40"/>
              <w:bidi w:val="0"/>
              <w:rPr>
                <w:rFonts w:hint="default" w:ascii="Times New Roman" w:hAnsi="Times New Roman" w:cs="Times New Roman"/>
                <w:sz w:val="21"/>
                <w:szCs w:val="21"/>
              </w:rPr>
            </w:pPr>
            <w:r>
              <w:rPr>
                <w:rFonts w:hint="default" w:ascii="Times New Roman" w:hAnsi="Times New Roman" w:cs="Times New Roman"/>
                <w:sz w:val="21"/>
                <w:szCs w:val="21"/>
                <w:lang w:val="en-US" w:eastAsia="zh-CN"/>
              </w:rPr>
              <w:t>0.00004</w:t>
            </w:r>
          </w:p>
        </w:tc>
      </w:tr>
      <w:tr w14:paraId="391C20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3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62B68C">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sz w:val="21"/>
                <w:szCs w:val="21"/>
                <w:lang w:val="en-US" w:eastAsia="zh-CN"/>
              </w:rPr>
              <w:t>6</w:t>
            </w:r>
          </w:p>
        </w:tc>
        <w:tc>
          <w:tcPr>
            <w:tcW w:w="183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F4096DE">
            <w:pPr>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石油气（在线量）</w:t>
            </w:r>
          </w:p>
        </w:tc>
        <w:tc>
          <w:tcPr>
            <w:tcW w:w="135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60F00F">
            <w:pPr>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sz w:val="21"/>
                <w:szCs w:val="21"/>
                <w:lang w:val="en-US" w:eastAsia="zh-CN"/>
              </w:rPr>
              <w:t>68476-85-7</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77373DF">
            <w:pPr>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10</w:t>
            </w:r>
          </w:p>
        </w:tc>
        <w:tc>
          <w:tcPr>
            <w:tcW w:w="119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6F4963">
            <w:pPr>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bidi="ar-SA"/>
              </w:rPr>
              <w:t>0.024</w:t>
            </w:r>
          </w:p>
        </w:tc>
        <w:tc>
          <w:tcPr>
            <w:tcW w:w="144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87D245F">
            <w:pPr>
              <w:bidi w:val="0"/>
              <w:adjustRightInd w:val="0"/>
              <w:snapToGrid w:val="0"/>
              <w:spacing w:line="240" w:lineRule="auto"/>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管道</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5677FCF4">
            <w:pPr>
              <w:pStyle w:val="40"/>
              <w:bidi w:val="0"/>
              <w:rPr>
                <w:rFonts w:hint="default" w:ascii="Times New Roman" w:hAnsi="Times New Roman" w:cs="Times New Roman"/>
                <w:sz w:val="21"/>
                <w:szCs w:val="21"/>
                <w:lang w:val="en-US" w:eastAsia="zh-CN"/>
              </w:rPr>
            </w:pPr>
            <w:r>
              <w:rPr>
                <w:rFonts w:hint="default" w:ascii="Times New Roman" w:hAnsi="Times New Roman" w:eastAsia="宋体" w:cs="Times New Roman"/>
                <w:color w:val="auto"/>
                <w:sz w:val="21"/>
                <w:szCs w:val="21"/>
                <w:highlight w:val="none"/>
                <w:lang w:val="en-US" w:eastAsia="zh-CN" w:bidi="ar-SA"/>
              </w:rPr>
              <w:t>0.002</w:t>
            </w:r>
            <w:r>
              <w:rPr>
                <w:rFonts w:hint="default" w:ascii="Times New Roman" w:hAnsi="Times New Roman" w:cs="Times New Roman"/>
                <w:color w:val="auto"/>
                <w:sz w:val="21"/>
                <w:szCs w:val="21"/>
                <w:highlight w:val="none"/>
                <w:lang w:val="en-US" w:eastAsia="zh-CN" w:bidi="ar-SA"/>
              </w:rPr>
              <w:t>4</w:t>
            </w:r>
            <w:r>
              <w:rPr>
                <w:rFonts w:hint="default" w:ascii="Times New Roman" w:hAnsi="Times New Roman" w:eastAsia="宋体" w:cs="Times New Roman"/>
                <w:color w:val="auto"/>
                <w:sz w:val="21"/>
                <w:szCs w:val="21"/>
                <w:highlight w:val="none"/>
                <w:lang w:val="en-US" w:eastAsia="zh-CN" w:bidi="ar-SA"/>
              </w:rPr>
              <w:t xml:space="preserve"> </w:t>
            </w:r>
          </w:p>
        </w:tc>
      </w:tr>
      <w:tr w14:paraId="3A2BEA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10" w:hRule="atLeast"/>
        </w:trPr>
        <w:tc>
          <w:tcPr>
            <w:tcW w:w="53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E670C1">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sz w:val="21"/>
                <w:szCs w:val="21"/>
                <w:lang w:val="en-US" w:eastAsia="zh-CN"/>
              </w:rPr>
              <w:t>7</w:t>
            </w:r>
          </w:p>
        </w:tc>
        <w:tc>
          <w:tcPr>
            <w:tcW w:w="183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597AABC">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环己酮</w:t>
            </w:r>
          </w:p>
        </w:tc>
        <w:tc>
          <w:tcPr>
            <w:tcW w:w="1353"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6FAE952">
            <w:pPr>
              <w:pStyle w:val="40"/>
              <w:bidi w:val="0"/>
              <w:ind w:firstLine="0" w:firstLineChars="0"/>
              <w:rPr>
                <w:rFonts w:hint="default" w:ascii="Times New Roman" w:hAnsi="Times New Roman" w:eastAsia="宋体" w:cs="Times New Roman"/>
                <w:color w:val="000000" w:themeColor="text1"/>
                <w:kern w:val="2"/>
                <w:sz w:val="21"/>
                <w:szCs w:val="21"/>
                <w:lang w:val="it-IT" w:eastAsia="it-IT" w:bidi="ar-SA"/>
                <w14:textFill>
                  <w14:solidFill>
                    <w14:schemeClr w14:val="tx1"/>
                  </w14:solidFill>
                </w14:textFill>
              </w:rPr>
            </w:pPr>
            <w:r>
              <w:rPr>
                <w:rFonts w:hint="default" w:ascii="Times New Roman" w:hAnsi="Times New Roman" w:cs="Times New Roman"/>
                <w:lang w:val="en-US" w:eastAsia="zh-CN"/>
              </w:rPr>
              <w:t>108-94-1</w:t>
            </w:r>
          </w:p>
        </w:tc>
        <w:tc>
          <w:tcPr>
            <w:tcW w:w="1109"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0D01A04">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10</w:t>
            </w:r>
          </w:p>
        </w:tc>
        <w:tc>
          <w:tcPr>
            <w:tcW w:w="119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E1DDF61">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 xml:space="preserve">0.008 </w:t>
            </w:r>
          </w:p>
        </w:tc>
        <w:tc>
          <w:tcPr>
            <w:tcW w:w="144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4F453DF">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库房</w:t>
            </w:r>
          </w:p>
        </w:tc>
        <w:tc>
          <w:tcPr>
            <w:tcW w:w="918"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0CD2AE4">
            <w:pPr>
              <w:pStyle w:val="40"/>
              <w:bidi w:val="0"/>
              <w:ind w:firstLine="0" w:firstLineChars="0"/>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lang w:val="en-US" w:eastAsia="zh-CN"/>
              </w:rPr>
              <w:t>0.000</w:t>
            </w:r>
            <w:r>
              <w:rPr>
                <w:rFonts w:hint="eastAsia" w:cs="Times New Roman"/>
                <w:lang w:val="en-US" w:eastAsia="zh-CN"/>
              </w:rPr>
              <w:t>7</w:t>
            </w:r>
            <w:r>
              <w:rPr>
                <w:rFonts w:hint="default" w:ascii="Times New Roman" w:hAnsi="Times New Roman" w:cs="Times New Roman"/>
                <w:lang w:val="en-US" w:eastAsia="zh-CN"/>
              </w:rPr>
              <w:t xml:space="preserve"> </w:t>
            </w:r>
          </w:p>
        </w:tc>
      </w:tr>
      <w:tr w14:paraId="28EC65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53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C85CFED">
            <w:pPr>
              <w:pStyle w:val="40"/>
              <w:bidi w:val="0"/>
              <w:ind w:firstLine="0" w:firstLineChars="0"/>
              <w:rPr>
                <w:rFonts w:hint="default" w:ascii="Times New Roman" w:hAnsi="Times New Roman" w:eastAsia="宋体" w:cs="Times New Roman"/>
                <w:color w:val="000000" w:themeColor="text1"/>
                <w:kern w:val="2"/>
                <w:sz w:val="21"/>
                <w:szCs w:val="21"/>
                <w:highlight w:val="yellow"/>
                <w:lang w:val="en-US" w:eastAsia="zh-CN" w:bidi="ar-SA"/>
                <w14:textFill>
                  <w14:solidFill>
                    <w14:schemeClr w14:val="tx1"/>
                  </w14:solidFill>
                </w14:textFill>
              </w:rPr>
            </w:pPr>
          </w:p>
        </w:tc>
        <w:tc>
          <w:tcPr>
            <w:tcW w:w="6931" w:type="dxa"/>
            <w:gridSpan w:val="5"/>
            <w:tcBorders>
              <w:top w:val="single" w:color="000000" w:sz="4" w:space="0"/>
              <w:left w:val="single" w:color="000000" w:sz="4" w:space="0"/>
              <w:bottom w:val="single" w:color="000000" w:sz="4" w:space="0"/>
              <w:right w:val="single" w:color="000000" w:sz="4" w:space="0"/>
            </w:tcBorders>
            <w:noWrap w:val="0"/>
            <w:vAlign w:val="center"/>
          </w:tcPr>
          <w:p w14:paraId="10AE14AE">
            <w:pPr>
              <w:pStyle w:val="40"/>
              <w:bidi w:val="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合计</w:t>
            </w:r>
          </w:p>
        </w:tc>
        <w:tc>
          <w:tcPr>
            <w:tcW w:w="918" w:type="dxa"/>
            <w:tcBorders>
              <w:top w:val="single" w:color="000000" w:sz="4" w:space="0"/>
              <w:left w:val="single" w:color="000000" w:sz="4" w:space="0"/>
              <w:bottom w:val="single" w:color="000000" w:sz="4" w:space="0"/>
              <w:right w:val="single" w:color="000000" w:sz="4" w:space="0"/>
            </w:tcBorders>
            <w:noWrap w:val="0"/>
            <w:vAlign w:val="center"/>
          </w:tcPr>
          <w:p w14:paraId="27B78A19">
            <w:pPr>
              <w:pStyle w:val="40"/>
              <w:bidi w:val="0"/>
              <w:rPr>
                <w:rFonts w:hint="default" w:ascii="Times New Roman" w:hAnsi="Times New Roman" w:cs="Times New Roman"/>
                <w:sz w:val="21"/>
                <w:szCs w:val="21"/>
                <w:highlight w:val="none"/>
                <w:lang w:val="en-US"/>
              </w:rPr>
            </w:pPr>
            <w:r>
              <w:rPr>
                <w:rFonts w:hint="eastAsia" w:cs="Times New Roman"/>
                <w:sz w:val="21"/>
                <w:szCs w:val="21"/>
                <w:highlight w:val="none"/>
                <w:lang w:val="en-US" w:eastAsia="zh-CN"/>
              </w:rPr>
              <w:t>8.735</w:t>
            </w:r>
          </w:p>
        </w:tc>
      </w:tr>
    </w:tbl>
    <w:p w14:paraId="31A35786">
      <w:pPr>
        <w:pStyle w:val="58"/>
        <w:bidi w:val="0"/>
        <w:rPr>
          <w:rFonts w:hint="default" w:ascii="Times New Roman" w:hAnsi="Times New Roman" w:cs="Times New Roman"/>
          <w:color w:val="auto"/>
        </w:rPr>
      </w:pPr>
      <w:r>
        <w:rPr>
          <w:rFonts w:hint="default" w:ascii="Times New Roman" w:hAnsi="Times New Roman" w:cs="Times New Roman"/>
          <w:color w:val="auto"/>
        </w:rPr>
        <w:t>根据以上分析，项目Q=</w:t>
      </w:r>
      <w:r>
        <w:rPr>
          <w:rFonts w:hint="eastAsia" w:ascii="Times New Roman" w:hAnsi="Times New Roman" w:cs="Times New Roman"/>
          <w:color w:val="auto"/>
          <w:lang w:val="en-US" w:eastAsia="zh-CN"/>
        </w:rPr>
        <w:t>8.735</w:t>
      </w:r>
      <w:r>
        <w:rPr>
          <w:rFonts w:hint="default" w:ascii="Times New Roman" w:hAnsi="Times New Roman" w:cs="Times New Roman"/>
          <w:color w:val="auto"/>
        </w:rPr>
        <w:t>，属于</w:t>
      </w:r>
      <w:r>
        <w:rPr>
          <w:rFonts w:hint="default" w:ascii="Times New Roman" w:hAnsi="Times New Roman" w:cs="Times New Roman"/>
          <w:color w:val="auto"/>
          <w:lang w:val="en-US" w:eastAsia="zh-CN"/>
        </w:rPr>
        <w:t>1</w:t>
      </w:r>
      <w:r>
        <w:rPr>
          <w:rFonts w:hint="default" w:ascii="Times New Roman" w:hAnsi="Times New Roman" w:cs="Times New Roman"/>
          <w:color w:val="auto"/>
        </w:rPr>
        <w:t>≤Q＜</w:t>
      </w:r>
      <w:r>
        <w:rPr>
          <w:rFonts w:hint="default" w:ascii="Times New Roman" w:hAnsi="Times New Roman" w:cs="Times New Roman"/>
          <w:color w:val="auto"/>
          <w:lang w:val="en-US" w:eastAsia="zh-CN"/>
        </w:rPr>
        <w:t>10</w:t>
      </w:r>
      <w:r>
        <w:rPr>
          <w:rFonts w:hint="default" w:ascii="Times New Roman" w:hAnsi="Times New Roman" w:cs="Times New Roman"/>
          <w:color w:val="auto"/>
        </w:rPr>
        <w:t>。</w:t>
      </w:r>
    </w:p>
    <w:p w14:paraId="72628D56">
      <w:pPr>
        <w:pStyle w:val="58"/>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fldChar w:fldCharType="begin"/>
      </w:r>
      <w:r>
        <w:rPr>
          <w:rFonts w:hint="default" w:ascii="Times New Roman" w:hAnsi="Times New Roman" w:cs="Times New Roman"/>
          <w:color w:val="0000FF"/>
          <w:lang w:val="en-US" w:eastAsia="zh-CN"/>
        </w:rPr>
        <w:instrText xml:space="preserve"> = 2 \* GB3 \* MERGEFORMAT </w:instrText>
      </w:r>
      <w:r>
        <w:rPr>
          <w:rFonts w:hint="default" w:ascii="Times New Roman" w:hAnsi="Times New Roman" w:cs="Times New Roman"/>
          <w:color w:val="0000FF"/>
          <w:lang w:val="en-US" w:eastAsia="zh-CN"/>
        </w:rPr>
        <w:fldChar w:fldCharType="separate"/>
      </w:r>
      <w:r>
        <w:rPr>
          <w:rFonts w:hint="default" w:ascii="Times New Roman" w:hAnsi="Times New Roman" w:cs="Times New Roman"/>
          <w:color w:val="0000FF"/>
          <w:lang w:val="en-US" w:eastAsia="zh-CN"/>
        </w:rPr>
        <w:t>②</w:t>
      </w:r>
      <w:r>
        <w:rPr>
          <w:rFonts w:hint="default" w:ascii="Times New Roman" w:hAnsi="Times New Roman" w:cs="Times New Roman"/>
          <w:color w:val="0000FF"/>
          <w:lang w:val="en-US" w:eastAsia="zh-CN"/>
        </w:rPr>
        <w:fldChar w:fldCharType="end"/>
      </w:r>
      <w:r>
        <w:rPr>
          <w:rFonts w:hint="default" w:ascii="Times New Roman" w:hAnsi="Times New Roman" w:cs="Times New Roman"/>
          <w:color w:val="0000FF"/>
          <w:lang w:val="en-US" w:eastAsia="zh-CN"/>
        </w:rPr>
        <w:t>行业及生产工艺（M）</w:t>
      </w:r>
    </w:p>
    <w:p w14:paraId="23D58DED">
      <w:pPr>
        <w:spacing w:line="360" w:lineRule="auto"/>
        <w:ind w:firstLine="480" w:firstLineChars="200"/>
        <w:rPr>
          <w:rFonts w:hint="default" w:ascii="Times New Roman" w:hAnsi="Times New Roman" w:cs="Times New Roman"/>
          <w:b w:val="0"/>
          <w:bCs w:val="0"/>
          <w:color w:val="0000FF"/>
          <w:sz w:val="24"/>
        </w:rPr>
      </w:pPr>
      <w:r>
        <w:rPr>
          <w:rFonts w:hint="default" w:ascii="Times New Roman" w:hAnsi="Times New Roman" w:cs="Times New Roman"/>
          <w:b w:val="0"/>
          <w:bCs w:val="0"/>
          <w:color w:val="0000FF"/>
          <w:sz w:val="24"/>
        </w:rPr>
        <w:t>分析项目所属行业及生产工艺特点，按照下表评估生产工艺情况。具有多套工艺单元的项目，对每套生产工艺分别评分并求和。将M划分为（1）M&gt;20；（2）10&lt;M≤20；（3）5&lt;M≤10；（4）M=5，分别以M1、M2、M3和M4表示。</w:t>
      </w:r>
    </w:p>
    <w:p w14:paraId="77DB884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FF"/>
          <w:sz w:val="21"/>
          <w:szCs w:val="21"/>
          <w:u w:val="none"/>
        </w:rPr>
      </w:pPr>
      <w:r>
        <w:rPr>
          <w:rFonts w:hint="default" w:ascii="Times New Roman" w:hAnsi="Times New Roman" w:eastAsia="宋体" w:cs="Times New Roman"/>
          <w:b/>
          <w:bCs/>
          <w:color w:val="0000FF"/>
          <w:sz w:val="21"/>
          <w:szCs w:val="21"/>
          <w:u w:val="none"/>
        </w:rPr>
        <w:t>表</w:t>
      </w:r>
      <w:r>
        <w:rPr>
          <w:rFonts w:hint="default" w:ascii="Times New Roman" w:hAnsi="Times New Roman" w:eastAsia="宋体" w:cs="Times New Roman"/>
          <w:b/>
          <w:bCs/>
          <w:color w:val="0000FF"/>
          <w:sz w:val="21"/>
          <w:szCs w:val="21"/>
          <w:u w:val="none"/>
          <w:lang w:val="en-US" w:eastAsia="zh-CN"/>
        </w:rPr>
        <w:t>2.4-2</w:t>
      </w:r>
      <w:r>
        <w:rPr>
          <w:rFonts w:hint="default" w:ascii="Times New Roman" w:hAnsi="Times New Roman" w:eastAsia="宋体" w:cs="Times New Roman"/>
          <w:b/>
          <w:bCs/>
          <w:color w:val="0000FF"/>
          <w:sz w:val="21"/>
          <w:szCs w:val="21"/>
          <w:u w:val="none"/>
        </w:rPr>
        <w:t xml:space="preserve">  行业及生产工艺</w:t>
      </w:r>
    </w:p>
    <w:tbl>
      <w:tblPr>
        <w:tblStyle w:val="32"/>
        <w:tblW w:w="83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10"/>
        <w:gridCol w:w="5557"/>
        <w:gridCol w:w="914"/>
        <w:gridCol w:w="535"/>
      </w:tblGrid>
      <w:tr w14:paraId="49E11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310" w:type="dxa"/>
            <w:noWrap w:val="0"/>
            <w:vAlign w:val="center"/>
          </w:tcPr>
          <w:p w14:paraId="1CFACC15">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行业</w:t>
            </w:r>
          </w:p>
        </w:tc>
        <w:tc>
          <w:tcPr>
            <w:tcW w:w="5557" w:type="dxa"/>
            <w:noWrap w:val="0"/>
            <w:vAlign w:val="center"/>
          </w:tcPr>
          <w:p w14:paraId="6433E32C">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评估依据</w:t>
            </w:r>
          </w:p>
        </w:tc>
        <w:tc>
          <w:tcPr>
            <w:tcW w:w="914" w:type="dxa"/>
            <w:noWrap w:val="0"/>
            <w:vAlign w:val="center"/>
          </w:tcPr>
          <w:p w14:paraId="7DD7ECB5">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分值</w:t>
            </w:r>
          </w:p>
        </w:tc>
        <w:tc>
          <w:tcPr>
            <w:tcW w:w="535" w:type="dxa"/>
            <w:noWrap w:val="0"/>
            <w:vAlign w:val="center"/>
          </w:tcPr>
          <w:p w14:paraId="76FD3810">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得分</w:t>
            </w:r>
          </w:p>
        </w:tc>
      </w:tr>
      <w:tr w14:paraId="08430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310" w:type="dxa"/>
            <w:vMerge w:val="restart"/>
            <w:noWrap w:val="0"/>
            <w:vAlign w:val="center"/>
          </w:tcPr>
          <w:p w14:paraId="1F447DF6">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石化、化工、医药、轻工、化纤、有色冶炼等</w:t>
            </w:r>
          </w:p>
        </w:tc>
        <w:tc>
          <w:tcPr>
            <w:tcW w:w="5557" w:type="dxa"/>
            <w:noWrap w:val="0"/>
            <w:vAlign w:val="center"/>
          </w:tcPr>
          <w:p w14:paraId="0EFC550C">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涉及光气及光化学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14" w:type="dxa"/>
            <w:noWrap w:val="0"/>
            <w:vAlign w:val="center"/>
          </w:tcPr>
          <w:p w14:paraId="41C9632A">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10/每套</w:t>
            </w:r>
          </w:p>
        </w:tc>
        <w:tc>
          <w:tcPr>
            <w:tcW w:w="535" w:type="dxa"/>
            <w:noWrap w:val="0"/>
            <w:vAlign w:val="center"/>
          </w:tcPr>
          <w:p w14:paraId="0347FBBD">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0</w:t>
            </w:r>
          </w:p>
        </w:tc>
      </w:tr>
      <w:tr w14:paraId="53C72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310" w:type="dxa"/>
            <w:vMerge w:val="continue"/>
            <w:noWrap w:val="0"/>
            <w:vAlign w:val="center"/>
          </w:tcPr>
          <w:p w14:paraId="653C8EE3">
            <w:pPr>
              <w:pStyle w:val="102"/>
              <w:rPr>
                <w:rFonts w:hint="default" w:ascii="Times New Roman" w:hAnsi="Times New Roman" w:cs="Times New Roman"/>
                <w:b w:val="0"/>
                <w:bCs w:val="0"/>
                <w:color w:val="0000FF"/>
                <w:sz w:val="21"/>
                <w:szCs w:val="21"/>
              </w:rPr>
            </w:pPr>
          </w:p>
        </w:tc>
        <w:tc>
          <w:tcPr>
            <w:tcW w:w="5557" w:type="dxa"/>
            <w:noWrap w:val="0"/>
            <w:vAlign w:val="center"/>
          </w:tcPr>
          <w:p w14:paraId="208786AD">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无机酸制酸工艺、焦化工艺</w:t>
            </w:r>
          </w:p>
        </w:tc>
        <w:tc>
          <w:tcPr>
            <w:tcW w:w="914" w:type="dxa"/>
            <w:noWrap w:val="0"/>
            <w:vAlign w:val="center"/>
          </w:tcPr>
          <w:p w14:paraId="58B30DEB">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5/每套</w:t>
            </w:r>
          </w:p>
        </w:tc>
        <w:tc>
          <w:tcPr>
            <w:tcW w:w="535" w:type="dxa"/>
            <w:noWrap w:val="0"/>
            <w:vAlign w:val="center"/>
          </w:tcPr>
          <w:p w14:paraId="026D7A9E">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0</w:t>
            </w:r>
          </w:p>
        </w:tc>
      </w:tr>
      <w:tr w14:paraId="3C09A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310" w:type="dxa"/>
            <w:vMerge w:val="continue"/>
            <w:noWrap w:val="0"/>
            <w:vAlign w:val="center"/>
          </w:tcPr>
          <w:p w14:paraId="42E1FE7B">
            <w:pPr>
              <w:pStyle w:val="102"/>
              <w:rPr>
                <w:rFonts w:hint="default" w:ascii="Times New Roman" w:hAnsi="Times New Roman" w:cs="Times New Roman"/>
                <w:b w:val="0"/>
                <w:bCs w:val="0"/>
                <w:color w:val="0000FF"/>
                <w:sz w:val="21"/>
                <w:szCs w:val="21"/>
              </w:rPr>
            </w:pPr>
          </w:p>
        </w:tc>
        <w:tc>
          <w:tcPr>
            <w:tcW w:w="5557" w:type="dxa"/>
            <w:noWrap w:val="0"/>
            <w:vAlign w:val="center"/>
          </w:tcPr>
          <w:p w14:paraId="3EA16CDE">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其他高温或高压且涉及危险物质的工艺过程</w:t>
            </w:r>
            <w:r>
              <w:rPr>
                <w:rFonts w:hint="default" w:ascii="Times New Roman" w:hAnsi="Times New Roman" w:cs="Times New Roman"/>
                <w:b w:val="0"/>
                <w:bCs w:val="0"/>
                <w:color w:val="0000FF"/>
                <w:sz w:val="21"/>
                <w:szCs w:val="21"/>
                <w:vertAlign w:val="superscript"/>
              </w:rPr>
              <w:t>a</w:t>
            </w:r>
            <w:r>
              <w:rPr>
                <w:rFonts w:hint="default" w:ascii="Times New Roman" w:hAnsi="Times New Roman" w:cs="Times New Roman"/>
                <w:b w:val="0"/>
                <w:bCs w:val="0"/>
                <w:color w:val="0000FF"/>
                <w:sz w:val="21"/>
                <w:szCs w:val="21"/>
              </w:rPr>
              <w:t>、危险物质贮存罐区</w:t>
            </w:r>
          </w:p>
        </w:tc>
        <w:tc>
          <w:tcPr>
            <w:tcW w:w="914" w:type="dxa"/>
            <w:noWrap w:val="0"/>
            <w:vAlign w:val="center"/>
          </w:tcPr>
          <w:p w14:paraId="24637DA6">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5/每套（罐区）</w:t>
            </w:r>
          </w:p>
        </w:tc>
        <w:tc>
          <w:tcPr>
            <w:tcW w:w="535" w:type="dxa"/>
            <w:noWrap w:val="0"/>
            <w:vAlign w:val="center"/>
          </w:tcPr>
          <w:p w14:paraId="7026D5CE">
            <w:pPr>
              <w:pStyle w:val="102"/>
              <w:rPr>
                <w:rFonts w:hint="default" w:ascii="Times New Roman" w:hAnsi="Times New Roman" w:eastAsia="宋体" w:cs="Times New Roman"/>
                <w:b w:val="0"/>
                <w:bCs w:val="0"/>
                <w:color w:val="0000FF"/>
                <w:sz w:val="21"/>
                <w:szCs w:val="21"/>
                <w:lang w:val="en-US" w:eastAsia="zh-CN"/>
              </w:rPr>
            </w:pPr>
            <w:r>
              <w:rPr>
                <w:rFonts w:hint="eastAsia" w:cs="Times New Roman"/>
                <w:b w:val="0"/>
                <w:bCs w:val="0"/>
                <w:color w:val="0000FF"/>
                <w:sz w:val="21"/>
                <w:szCs w:val="21"/>
                <w:lang w:val="en-US" w:eastAsia="zh-CN"/>
              </w:rPr>
              <w:t>15</w:t>
            </w:r>
          </w:p>
        </w:tc>
      </w:tr>
      <w:tr w14:paraId="32B35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310" w:type="dxa"/>
            <w:noWrap w:val="0"/>
            <w:vAlign w:val="center"/>
          </w:tcPr>
          <w:p w14:paraId="26B4DD44">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管道、港口/码头等</w:t>
            </w:r>
          </w:p>
        </w:tc>
        <w:tc>
          <w:tcPr>
            <w:tcW w:w="5557" w:type="dxa"/>
            <w:noWrap w:val="0"/>
            <w:vAlign w:val="center"/>
          </w:tcPr>
          <w:p w14:paraId="2C8F44C9">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涉及危险物质管道运输项目、港口/码头等</w:t>
            </w:r>
          </w:p>
        </w:tc>
        <w:tc>
          <w:tcPr>
            <w:tcW w:w="914" w:type="dxa"/>
            <w:noWrap w:val="0"/>
            <w:vAlign w:val="center"/>
          </w:tcPr>
          <w:p w14:paraId="4371344E">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10</w:t>
            </w:r>
          </w:p>
        </w:tc>
        <w:tc>
          <w:tcPr>
            <w:tcW w:w="535" w:type="dxa"/>
            <w:noWrap w:val="0"/>
            <w:vAlign w:val="center"/>
          </w:tcPr>
          <w:p w14:paraId="4AEA5B53">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0</w:t>
            </w:r>
          </w:p>
        </w:tc>
      </w:tr>
      <w:tr w14:paraId="18BA6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310" w:type="dxa"/>
            <w:noWrap w:val="0"/>
            <w:vAlign w:val="center"/>
          </w:tcPr>
          <w:p w14:paraId="0184C17B">
            <w:pPr>
              <w:pStyle w:val="102"/>
              <w:rPr>
                <w:rFonts w:hint="default" w:ascii="Times New Roman" w:hAnsi="Times New Roman" w:cs="Times New Roman"/>
                <w:b w:val="0"/>
                <w:bCs w:val="0"/>
                <w:color w:val="0000FF"/>
                <w:sz w:val="21"/>
                <w:szCs w:val="21"/>
                <w:u w:val="none"/>
              </w:rPr>
            </w:pPr>
            <w:r>
              <w:rPr>
                <w:rFonts w:hint="default" w:ascii="Times New Roman" w:hAnsi="Times New Roman" w:cs="Times New Roman"/>
                <w:b w:val="0"/>
                <w:bCs w:val="0"/>
                <w:color w:val="0000FF"/>
                <w:sz w:val="21"/>
                <w:szCs w:val="21"/>
                <w:u w:val="none"/>
              </w:rPr>
              <w:t>石油天然气</w:t>
            </w:r>
          </w:p>
        </w:tc>
        <w:tc>
          <w:tcPr>
            <w:tcW w:w="5557" w:type="dxa"/>
            <w:noWrap w:val="0"/>
            <w:vAlign w:val="center"/>
          </w:tcPr>
          <w:p w14:paraId="0FB6F59B">
            <w:pPr>
              <w:pStyle w:val="102"/>
              <w:rPr>
                <w:rFonts w:hint="default" w:ascii="Times New Roman" w:hAnsi="Times New Roman" w:cs="Times New Roman"/>
                <w:b w:val="0"/>
                <w:bCs w:val="0"/>
                <w:color w:val="0000FF"/>
                <w:sz w:val="21"/>
                <w:szCs w:val="21"/>
                <w:u w:val="none"/>
              </w:rPr>
            </w:pPr>
            <w:r>
              <w:rPr>
                <w:rFonts w:hint="default" w:ascii="Times New Roman" w:hAnsi="Times New Roman" w:cs="Times New Roman"/>
                <w:b w:val="0"/>
                <w:bCs w:val="0"/>
                <w:color w:val="0000FF"/>
                <w:sz w:val="21"/>
                <w:szCs w:val="21"/>
                <w:u w:val="none"/>
              </w:rPr>
              <w:t>石油、天然气、页岩气开采（含净化），气库（不含加气站的气库），油库（不含加油站的油库），油气管线</w:t>
            </w:r>
            <w:r>
              <w:rPr>
                <w:rFonts w:hint="default" w:ascii="Times New Roman" w:hAnsi="Times New Roman" w:cs="Times New Roman"/>
                <w:b w:val="0"/>
                <w:bCs w:val="0"/>
                <w:color w:val="0000FF"/>
                <w:sz w:val="21"/>
                <w:szCs w:val="21"/>
                <w:u w:val="none"/>
                <w:vertAlign w:val="superscript"/>
              </w:rPr>
              <w:t>b</w:t>
            </w:r>
            <w:r>
              <w:rPr>
                <w:rFonts w:hint="default" w:ascii="Times New Roman" w:hAnsi="Times New Roman" w:cs="Times New Roman"/>
                <w:b w:val="0"/>
                <w:bCs w:val="0"/>
                <w:color w:val="0000FF"/>
                <w:sz w:val="21"/>
                <w:szCs w:val="21"/>
                <w:u w:val="none"/>
              </w:rPr>
              <w:t>（不含城镇燃气管线）</w:t>
            </w:r>
          </w:p>
        </w:tc>
        <w:tc>
          <w:tcPr>
            <w:tcW w:w="914" w:type="dxa"/>
            <w:noWrap w:val="0"/>
            <w:vAlign w:val="center"/>
          </w:tcPr>
          <w:p w14:paraId="4895363E">
            <w:pPr>
              <w:pStyle w:val="102"/>
              <w:rPr>
                <w:rFonts w:hint="default" w:ascii="Times New Roman" w:hAnsi="Times New Roman" w:cs="Times New Roman"/>
                <w:b w:val="0"/>
                <w:bCs w:val="0"/>
                <w:color w:val="0000FF"/>
                <w:sz w:val="21"/>
                <w:szCs w:val="21"/>
                <w:u w:val="none"/>
              </w:rPr>
            </w:pPr>
            <w:r>
              <w:rPr>
                <w:rFonts w:hint="default" w:ascii="Times New Roman" w:hAnsi="Times New Roman" w:cs="Times New Roman"/>
                <w:b w:val="0"/>
                <w:bCs w:val="0"/>
                <w:color w:val="0000FF"/>
                <w:sz w:val="21"/>
                <w:szCs w:val="21"/>
                <w:u w:val="none"/>
              </w:rPr>
              <w:t>10</w:t>
            </w:r>
          </w:p>
        </w:tc>
        <w:tc>
          <w:tcPr>
            <w:tcW w:w="535" w:type="dxa"/>
            <w:noWrap w:val="0"/>
            <w:vAlign w:val="center"/>
          </w:tcPr>
          <w:p w14:paraId="7639FF12">
            <w:pPr>
              <w:pStyle w:val="102"/>
              <w:rPr>
                <w:rFonts w:hint="default" w:ascii="Times New Roman" w:hAnsi="Times New Roman" w:eastAsia="宋体" w:cs="Times New Roman"/>
                <w:b w:val="0"/>
                <w:bCs w:val="0"/>
                <w:color w:val="0000FF"/>
                <w:sz w:val="21"/>
                <w:szCs w:val="21"/>
                <w:u w:val="none"/>
                <w:lang w:val="en-US" w:eastAsia="zh-CN"/>
              </w:rPr>
            </w:pPr>
            <w:r>
              <w:rPr>
                <w:rFonts w:hint="default" w:ascii="Times New Roman" w:hAnsi="Times New Roman" w:cs="Times New Roman"/>
                <w:b w:val="0"/>
                <w:bCs w:val="0"/>
                <w:color w:val="0000FF"/>
                <w:sz w:val="21"/>
                <w:szCs w:val="21"/>
                <w:u w:val="none"/>
                <w:lang w:val="en-US" w:eastAsia="zh-CN"/>
              </w:rPr>
              <w:t>0</w:t>
            </w:r>
          </w:p>
        </w:tc>
      </w:tr>
      <w:tr w14:paraId="53113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310" w:type="dxa"/>
            <w:noWrap w:val="0"/>
            <w:vAlign w:val="center"/>
          </w:tcPr>
          <w:p w14:paraId="5EB4F128">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其他</w:t>
            </w:r>
          </w:p>
        </w:tc>
        <w:tc>
          <w:tcPr>
            <w:tcW w:w="5557" w:type="dxa"/>
            <w:noWrap w:val="0"/>
            <w:vAlign w:val="center"/>
          </w:tcPr>
          <w:p w14:paraId="582AE829">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涉及危险物质使用、贮存的项目</w:t>
            </w:r>
          </w:p>
        </w:tc>
        <w:tc>
          <w:tcPr>
            <w:tcW w:w="914" w:type="dxa"/>
            <w:noWrap w:val="0"/>
            <w:vAlign w:val="center"/>
          </w:tcPr>
          <w:p w14:paraId="250492AE">
            <w:pPr>
              <w:pStyle w:val="102"/>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5</w:t>
            </w:r>
          </w:p>
        </w:tc>
        <w:tc>
          <w:tcPr>
            <w:tcW w:w="535" w:type="dxa"/>
            <w:noWrap w:val="0"/>
            <w:vAlign w:val="center"/>
          </w:tcPr>
          <w:p w14:paraId="5B364F78">
            <w:pPr>
              <w:pStyle w:val="102"/>
              <w:rPr>
                <w:rFonts w:hint="default" w:ascii="Times New Roman" w:hAnsi="Times New Roman" w:eastAsia="宋体" w:cs="Times New Roman"/>
                <w:b w:val="0"/>
                <w:bCs w:val="0"/>
                <w:color w:val="0000FF"/>
                <w:sz w:val="21"/>
                <w:szCs w:val="21"/>
                <w:lang w:eastAsia="zh-CN"/>
              </w:rPr>
            </w:pPr>
            <w:r>
              <w:rPr>
                <w:rFonts w:hint="default" w:ascii="Times New Roman" w:hAnsi="Times New Roman" w:cs="Times New Roman"/>
                <w:b w:val="0"/>
                <w:bCs w:val="0"/>
                <w:color w:val="0000FF"/>
                <w:sz w:val="21"/>
                <w:szCs w:val="21"/>
                <w:lang w:val="en-US" w:eastAsia="zh-CN"/>
              </w:rPr>
              <w:t>0</w:t>
            </w:r>
          </w:p>
        </w:tc>
      </w:tr>
      <w:tr w14:paraId="633DB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781" w:type="dxa"/>
            <w:gridSpan w:val="3"/>
            <w:noWrap w:val="0"/>
            <w:vAlign w:val="center"/>
          </w:tcPr>
          <w:p w14:paraId="2042389D">
            <w:pPr>
              <w:pStyle w:val="102"/>
              <w:jc w:val="both"/>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a高温指工艺温度≥300℃，高压指压力容器的设计压力（P）≥10.0MPa；</w:t>
            </w:r>
          </w:p>
          <w:p w14:paraId="6F1DD95A">
            <w:pPr>
              <w:pStyle w:val="102"/>
              <w:jc w:val="both"/>
              <w:rPr>
                <w:rFonts w:hint="default" w:ascii="Times New Roman" w:hAnsi="Times New Roman" w:cs="Times New Roman"/>
                <w:b w:val="0"/>
                <w:bCs w:val="0"/>
                <w:color w:val="0000FF"/>
                <w:sz w:val="21"/>
                <w:szCs w:val="21"/>
              </w:rPr>
            </w:pPr>
            <w:r>
              <w:rPr>
                <w:rFonts w:hint="default" w:ascii="Times New Roman" w:hAnsi="Times New Roman" w:cs="Times New Roman"/>
                <w:b w:val="0"/>
                <w:bCs w:val="0"/>
                <w:color w:val="0000FF"/>
                <w:sz w:val="21"/>
                <w:szCs w:val="21"/>
              </w:rPr>
              <w:t>b长输管道运输项目应按站场、管线分段进行评价。</w:t>
            </w:r>
          </w:p>
        </w:tc>
        <w:tc>
          <w:tcPr>
            <w:tcW w:w="535" w:type="dxa"/>
            <w:noWrap w:val="0"/>
            <w:vAlign w:val="center"/>
          </w:tcPr>
          <w:p w14:paraId="5A8FD292">
            <w:pPr>
              <w:pStyle w:val="102"/>
              <w:jc w:val="both"/>
              <w:rPr>
                <w:rFonts w:hint="default" w:ascii="Times New Roman" w:hAnsi="Times New Roman" w:cs="Times New Roman"/>
                <w:b w:val="0"/>
                <w:bCs w:val="0"/>
                <w:color w:val="0000FF"/>
                <w:sz w:val="21"/>
                <w:szCs w:val="21"/>
              </w:rPr>
            </w:pPr>
          </w:p>
        </w:tc>
      </w:tr>
    </w:tbl>
    <w:p w14:paraId="287B939D">
      <w:pPr>
        <w:pStyle w:val="58"/>
        <w:bidi w:val="0"/>
        <w:rPr>
          <w:rFonts w:hint="default" w:ascii="Times New Roman" w:hAnsi="Times New Roman" w:cs="Times New Roman"/>
          <w:color w:val="0000FF"/>
          <w:lang w:val="en-US" w:eastAsia="zh-CN"/>
        </w:rPr>
      </w:pPr>
    </w:p>
    <w:p w14:paraId="0DE44DF3">
      <w:pPr>
        <w:pStyle w:val="58"/>
        <w:bidi w:val="0"/>
        <w:rPr>
          <w:rFonts w:hint="default" w:ascii="Times New Roman" w:hAnsi="Times New Roman" w:cs="Times New Roman"/>
          <w:color w:val="0000FF"/>
        </w:rPr>
      </w:pPr>
      <w:r>
        <w:rPr>
          <w:rFonts w:hint="default" w:ascii="Times New Roman" w:hAnsi="Times New Roman" w:cs="Times New Roman"/>
          <w:color w:val="0000FF"/>
          <w:lang w:val="en-US" w:eastAsia="zh-CN"/>
        </w:rPr>
        <w:t>本项目行业类别为C2619其他基础化学原料制造、</w:t>
      </w:r>
      <w:r>
        <w:rPr>
          <w:rFonts w:hint="default" w:ascii="Times New Roman" w:hAnsi="Times New Roman" w:eastAsia="宋体" w:cs="Times New Roman"/>
          <w:color w:val="0000FF"/>
          <w:sz w:val="24"/>
          <w:szCs w:val="24"/>
          <w:shd w:val="clear" w:color="auto" w:fill="auto"/>
          <w:lang w:val="en-US" w:eastAsia="zh-CN"/>
        </w:rPr>
        <w:t>G5941油气仓储</w:t>
      </w:r>
      <w:r>
        <w:rPr>
          <w:rFonts w:hint="default" w:ascii="Times New Roman" w:hAnsi="Times New Roman" w:cs="Times New Roman"/>
          <w:color w:val="0000FF"/>
          <w:sz w:val="24"/>
          <w:szCs w:val="24"/>
          <w:shd w:val="clear" w:color="auto" w:fill="auto"/>
          <w:lang w:val="en-US" w:eastAsia="zh-CN"/>
        </w:rPr>
        <w:t>。</w:t>
      </w:r>
      <w:r>
        <w:rPr>
          <w:rFonts w:hint="default" w:ascii="Times New Roman" w:hAnsi="Times New Roman" w:cs="Times New Roman"/>
          <w:color w:val="0000FF"/>
          <w:lang w:val="en-US" w:eastAsia="zh-CN"/>
        </w:rPr>
        <w:t>根据《中华人民共和国石油天然气行业标准  储气库术语》（征求意见稿），用于天然气地下注入、储存、采出的所有地下和地面设施，简称储气库，根据储气空间和储存机理分为气藏、油藏、水层、盐穴、岩洞、矿坑等类型。根据以上定义，本项目液化石油气储罐区、丙烷储罐区不属于储气库，因此项目M值以化工行业进行判定。项目设置LPG和液体丙烷2个地下储罐区，</w:t>
      </w:r>
      <w:r>
        <w:rPr>
          <w:rFonts w:hint="eastAsia" w:ascii="Times New Roman" w:hAnsi="Times New Roman" w:cs="Times New Roman"/>
          <w:color w:val="0000FF"/>
          <w:lang w:val="en-US" w:eastAsia="zh-CN"/>
        </w:rPr>
        <w:t>同时建设1座链式焚烧炉（属于高温且涉及危险物质的工艺过程），</w:t>
      </w:r>
      <w:r>
        <w:rPr>
          <w:rFonts w:hint="default" w:ascii="Times New Roman" w:hAnsi="Times New Roman" w:cs="Times New Roman"/>
          <w:color w:val="0000FF"/>
          <w:lang w:val="en-US" w:eastAsia="zh-CN"/>
        </w:rPr>
        <w:t>因此</w:t>
      </w:r>
      <w:r>
        <w:rPr>
          <w:rFonts w:hint="default" w:ascii="Times New Roman" w:hAnsi="Times New Roman" w:cs="Times New Roman"/>
          <w:color w:val="0000FF"/>
        </w:rPr>
        <w:t>本项目M</w:t>
      </w:r>
      <w:r>
        <w:rPr>
          <w:rFonts w:hint="default" w:ascii="Times New Roman" w:hAnsi="Times New Roman" w:cs="Times New Roman"/>
          <w:color w:val="0000FF"/>
          <w:lang w:val="en-US" w:eastAsia="zh-CN"/>
        </w:rPr>
        <w:t>=5×</w:t>
      </w:r>
      <w:r>
        <w:rPr>
          <w:rFonts w:hint="eastAsia" w:ascii="Times New Roman" w:hAnsi="Times New Roman" w:cs="Times New Roman"/>
          <w:color w:val="0000FF"/>
          <w:lang w:val="en-US" w:eastAsia="zh-CN"/>
        </w:rPr>
        <w:t>3</w:t>
      </w:r>
      <w:r>
        <w:rPr>
          <w:rFonts w:hint="default" w:ascii="Times New Roman" w:hAnsi="Times New Roman" w:cs="Times New Roman"/>
          <w:color w:val="0000FF"/>
          <w:lang w:val="en-US" w:eastAsia="zh-CN"/>
        </w:rPr>
        <w:t>=1</w:t>
      </w:r>
      <w:r>
        <w:rPr>
          <w:rFonts w:hint="eastAsia" w:ascii="Times New Roman" w:hAnsi="Times New Roman" w:cs="Times New Roman"/>
          <w:color w:val="0000FF"/>
          <w:lang w:val="en-US" w:eastAsia="zh-CN"/>
        </w:rPr>
        <w:t>5</w:t>
      </w:r>
      <w:r>
        <w:rPr>
          <w:rFonts w:hint="default" w:ascii="Times New Roman" w:hAnsi="Times New Roman" w:cs="Times New Roman"/>
          <w:color w:val="0000FF"/>
        </w:rPr>
        <w:t>，</w:t>
      </w:r>
      <w:r>
        <w:rPr>
          <w:rFonts w:hint="default" w:ascii="Times New Roman" w:hAnsi="Times New Roman" w:cs="Times New Roman"/>
          <w:color w:val="0000FF"/>
          <w:lang w:val="en-US" w:eastAsia="zh-CN"/>
        </w:rPr>
        <w:t>属于</w:t>
      </w:r>
      <w:r>
        <w:rPr>
          <w:rFonts w:hint="default" w:ascii="Times New Roman" w:hAnsi="Times New Roman" w:cs="Times New Roman"/>
          <w:b w:val="0"/>
          <w:bCs w:val="0"/>
          <w:color w:val="0000FF"/>
          <w:sz w:val="24"/>
        </w:rPr>
        <w:t>10&lt;M≤20</w:t>
      </w:r>
      <w:r>
        <w:rPr>
          <w:rFonts w:hint="default" w:ascii="Times New Roman" w:hAnsi="Times New Roman" w:cs="Times New Roman"/>
          <w:b w:val="0"/>
          <w:bCs w:val="0"/>
          <w:color w:val="0000FF"/>
          <w:sz w:val="24"/>
          <w:lang w:eastAsia="zh-CN"/>
        </w:rPr>
        <w:t>，</w:t>
      </w:r>
      <w:r>
        <w:rPr>
          <w:rFonts w:hint="default" w:ascii="Times New Roman" w:hAnsi="Times New Roman" w:cs="Times New Roman"/>
          <w:color w:val="0000FF"/>
        </w:rPr>
        <w:t>表示为M</w:t>
      </w:r>
      <w:r>
        <w:rPr>
          <w:rFonts w:hint="eastAsia" w:ascii="Times New Roman" w:hAnsi="Times New Roman" w:cs="Times New Roman"/>
          <w:color w:val="0000FF"/>
          <w:lang w:val="en-US" w:eastAsia="zh-CN"/>
        </w:rPr>
        <w:t>2</w:t>
      </w:r>
      <w:r>
        <w:rPr>
          <w:rFonts w:hint="default" w:ascii="Times New Roman" w:hAnsi="Times New Roman" w:cs="Times New Roman"/>
          <w:color w:val="0000FF"/>
        </w:rPr>
        <w:t>。</w:t>
      </w:r>
    </w:p>
    <w:p w14:paraId="7BAE71A8">
      <w:pPr>
        <w:pStyle w:val="58"/>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fldChar w:fldCharType="begin"/>
      </w:r>
      <w:r>
        <w:rPr>
          <w:rFonts w:hint="default" w:ascii="Times New Roman" w:hAnsi="Times New Roman" w:cs="Times New Roman"/>
          <w:color w:val="auto"/>
          <w:lang w:val="en-US" w:eastAsia="zh-CN"/>
        </w:rPr>
        <w:instrText xml:space="preserve"> = 3 \* GB3 \* MERGEFORMAT </w:instrText>
      </w:r>
      <w:r>
        <w:rPr>
          <w:rFonts w:hint="default" w:ascii="Times New Roman" w:hAnsi="Times New Roman" w:cs="Times New Roman"/>
          <w:color w:val="auto"/>
          <w:lang w:val="en-US" w:eastAsia="zh-CN"/>
        </w:rPr>
        <w:fldChar w:fldCharType="separate"/>
      </w:r>
      <w:r>
        <w:rPr>
          <w:rFonts w:hint="default" w:ascii="Times New Roman" w:hAnsi="Times New Roman" w:cs="Times New Roman"/>
          <w:color w:val="auto"/>
          <w:lang w:val="en-US" w:eastAsia="zh-CN"/>
        </w:rPr>
        <w:t>③</w:t>
      </w:r>
      <w:r>
        <w:rPr>
          <w:rFonts w:hint="default" w:ascii="Times New Roman" w:hAnsi="Times New Roman" w:cs="Times New Roman"/>
          <w:color w:val="auto"/>
          <w:lang w:val="en-US" w:eastAsia="zh-CN"/>
        </w:rPr>
        <w:fldChar w:fldCharType="end"/>
      </w:r>
      <w:r>
        <w:rPr>
          <w:rFonts w:hint="default" w:ascii="Times New Roman" w:hAnsi="Times New Roman" w:cs="Times New Roman"/>
          <w:color w:val="auto"/>
          <w:lang w:val="en-US" w:eastAsia="zh-CN"/>
        </w:rPr>
        <w:t>危险物质及工艺系统危险性（P）分级</w:t>
      </w:r>
    </w:p>
    <w:p w14:paraId="6505C2BC">
      <w:pPr>
        <w:pStyle w:val="58"/>
        <w:bidi w:val="0"/>
        <w:rPr>
          <w:rFonts w:hint="default" w:ascii="Times New Roman" w:hAnsi="Times New Roman" w:cs="Times New Roman"/>
          <w:color w:val="auto"/>
        </w:rPr>
      </w:pPr>
      <w:r>
        <w:rPr>
          <w:rFonts w:hint="default" w:ascii="Times New Roman" w:hAnsi="Times New Roman" w:cs="Times New Roman"/>
          <w:color w:val="auto"/>
        </w:rPr>
        <w:t>根据危险物质数量与临界量比值Q和行业及生产工艺M，按照《建设项目环境风险评价技术导则》（HJ169-2018）附录C表C.2确定危险物质及工艺系统危险性等级（P），具体见表</w:t>
      </w:r>
      <w:r>
        <w:rPr>
          <w:rFonts w:hint="default" w:ascii="Times New Roman" w:hAnsi="Times New Roman" w:cs="Times New Roman"/>
          <w:color w:val="auto"/>
          <w:lang w:val="en-US" w:eastAsia="zh-CN"/>
        </w:rPr>
        <w:t>2.4-3</w:t>
      </w:r>
      <w:r>
        <w:rPr>
          <w:rFonts w:hint="default" w:ascii="Times New Roman" w:hAnsi="Times New Roman" w:cs="Times New Roman"/>
          <w:color w:val="auto"/>
        </w:rPr>
        <w:t>。</w:t>
      </w:r>
    </w:p>
    <w:p w14:paraId="19DE94EC">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kern w:val="2"/>
          <w:sz w:val="21"/>
          <w:szCs w:val="21"/>
        </w:rPr>
      </w:pPr>
      <w:r>
        <w:rPr>
          <w:rFonts w:hint="default" w:ascii="Times New Roman" w:hAnsi="Times New Roman" w:eastAsia="宋体" w:cs="Times New Roman"/>
          <w:b/>
          <w:color w:val="auto"/>
          <w:kern w:val="2"/>
          <w:sz w:val="21"/>
          <w:szCs w:val="21"/>
        </w:rPr>
        <w:t>表</w:t>
      </w:r>
      <w:r>
        <w:rPr>
          <w:rFonts w:hint="default" w:ascii="Times New Roman" w:hAnsi="Times New Roman" w:eastAsia="宋体" w:cs="Times New Roman"/>
          <w:b/>
          <w:color w:val="auto"/>
          <w:kern w:val="2"/>
          <w:sz w:val="21"/>
          <w:szCs w:val="21"/>
          <w:lang w:val="en-US" w:eastAsia="zh-CN"/>
        </w:rPr>
        <w:t>2.4-3</w:t>
      </w:r>
      <w:r>
        <w:rPr>
          <w:rFonts w:hint="default" w:ascii="Times New Roman" w:hAnsi="Times New Roman" w:eastAsia="宋体" w:cs="Times New Roman"/>
          <w:b/>
          <w:color w:val="auto"/>
          <w:kern w:val="2"/>
          <w:sz w:val="21"/>
          <w:szCs w:val="21"/>
        </w:rPr>
        <w:t xml:space="preserve">  </w:t>
      </w:r>
      <w:r>
        <w:rPr>
          <w:rFonts w:hint="default" w:ascii="Times New Roman" w:hAnsi="Times New Roman" w:eastAsia="宋体" w:cs="Times New Roman"/>
          <w:b/>
          <w:bCs/>
          <w:color w:val="auto"/>
          <w:kern w:val="2"/>
          <w:sz w:val="21"/>
          <w:szCs w:val="21"/>
        </w:rPr>
        <w:t>危险物质及工艺系统危险性等级判断（P）表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4"/>
        <w:gridCol w:w="1462"/>
        <w:gridCol w:w="1701"/>
        <w:gridCol w:w="1701"/>
        <w:gridCol w:w="1721"/>
      </w:tblGrid>
      <w:tr w14:paraId="7AC2C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135" w:type="pct"/>
            <w:vMerge w:val="restart"/>
            <w:noWrap w:val="0"/>
            <w:vAlign w:val="center"/>
          </w:tcPr>
          <w:p w14:paraId="69F591E8">
            <w:pPr>
              <w:snapToGrid w:val="0"/>
              <w:spacing w:line="240" w:lineRule="exact"/>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危险物质数量与临界量比值（Q）</w:t>
            </w:r>
          </w:p>
        </w:tc>
        <w:tc>
          <w:tcPr>
            <w:tcW w:w="3864" w:type="pct"/>
            <w:gridSpan w:val="4"/>
            <w:noWrap w:val="0"/>
            <w:vAlign w:val="center"/>
          </w:tcPr>
          <w:p w14:paraId="2589EDC9">
            <w:pPr>
              <w:snapToGrid w:val="0"/>
              <w:spacing w:line="240" w:lineRule="exact"/>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行业及生产工艺（M）</w:t>
            </w:r>
          </w:p>
        </w:tc>
      </w:tr>
      <w:tr w14:paraId="03D10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135" w:type="pct"/>
            <w:vMerge w:val="continue"/>
            <w:noWrap w:val="0"/>
            <w:vAlign w:val="center"/>
          </w:tcPr>
          <w:p w14:paraId="68CAD2E3">
            <w:pPr>
              <w:snapToGrid w:val="0"/>
              <w:spacing w:line="240" w:lineRule="exact"/>
              <w:jc w:val="center"/>
              <w:rPr>
                <w:rFonts w:hint="default" w:ascii="Times New Roman" w:hAnsi="Times New Roman" w:eastAsia="宋体" w:cs="Times New Roman"/>
                <w:color w:val="auto"/>
                <w:kern w:val="2"/>
                <w:sz w:val="21"/>
                <w:szCs w:val="21"/>
              </w:rPr>
            </w:pPr>
          </w:p>
        </w:tc>
        <w:tc>
          <w:tcPr>
            <w:tcW w:w="858" w:type="pct"/>
            <w:noWrap w:val="0"/>
            <w:vAlign w:val="center"/>
          </w:tcPr>
          <w:p w14:paraId="71221C7F">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M1</w:t>
            </w:r>
          </w:p>
        </w:tc>
        <w:tc>
          <w:tcPr>
            <w:tcW w:w="998" w:type="pct"/>
            <w:noWrap w:val="0"/>
            <w:vAlign w:val="center"/>
          </w:tcPr>
          <w:p w14:paraId="2F68D3A0">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M2</w:t>
            </w:r>
          </w:p>
        </w:tc>
        <w:tc>
          <w:tcPr>
            <w:tcW w:w="998" w:type="pct"/>
            <w:noWrap w:val="0"/>
            <w:vAlign w:val="center"/>
          </w:tcPr>
          <w:p w14:paraId="4AB622BB">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M3</w:t>
            </w:r>
          </w:p>
        </w:tc>
        <w:tc>
          <w:tcPr>
            <w:tcW w:w="1009" w:type="pct"/>
            <w:noWrap w:val="0"/>
            <w:vAlign w:val="center"/>
          </w:tcPr>
          <w:p w14:paraId="538DB260">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M4</w:t>
            </w:r>
          </w:p>
        </w:tc>
      </w:tr>
      <w:tr w14:paraId="6BA08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135" w:type="pct"/>
            <w:noWrap w:val="0"/>
            <w:vAlign w:val="center"/>
          </w:tcPr>
          <w:p w14:paraId="0C6F1176">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Q≥100</w:t>
            </w:r>
          </w:p>
        </w:tc>
        <w:tc>
          <w:tcPr>
            <w:tcW w:w="858" w:type="pct"/>
            <w:noWrap w:val="0"/>
            <w:vAlign w:val="center"/>
          </w:tcPr>
          <w:p w14:paraId="2C361609">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P1</w:t>
            </w:r>
          </w:p>
        </w:tc>
        <w:tc>
          <w:tcPr>
            <w:tcW w:w="998" w:type="pct"/>
            <w:noWrap w:val="0"/>
            <w:vAlign w:val="center"/>
          </w:tcPr>
          <w:p w14:paraId="2587CA96">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b w:val="0"/>
                <w:bCs w:val="0"/>
                <w:color w:val="auto"/>
                <w:kern w:val="2"/>
                <w:sz w:val="21"/>
                <w:szCs w:val="21"/>
              </w:rPr>
              <w:t>P1</w:t>
            </w:r>
          </w:p>
        </w:tc>
        <w:tc>
          <w:tcPr>
            <w:tcW w:w="998" w:type="pct"/>
            <w:noWrap w:val="0"/>
            <w:vAlign w:val="center"/>
          </w:tcPr>
          <w:p w14:paraId="054995DD">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P2</w:t>
            </w:r>
          </w:p>
        </w:tc>
        <w:tc>
          <w:tcPr>
            <w:tcW w:w="1009" w:type="pct"/>
            <w:noWrap w:val="0"/>
            <w:vAlign w:val="center"/>
          </w:tcPr>
          <w:p w14:paraId="064362FE">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P3</w:t>
            </w:r>
          </w:p>
        </w:tc>
      </w:tr>
      <w:tr w14:paraId="791C9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135" w:type="pct"/>
            <w:noWrap w:val="0"/>
            <w:vAlign w:val="center"/>
          </w:tcPr>
          <w:p w14:paraId="45F80F72">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10≤Q＜100</w:t>
            </w:r>
          </w:p>
        </w:tc>
        <w:tc>
          <w:tcPr>
            <w:tcW w:w="858" w:type="pct"/>
            <w:noWrap w:val="0"/>
            <w:vAlign w:val="center"/>
          </w:tcPr>
          <w:p w14:paraId="4E58199F">
            <w:pPr>
              <w:snapToGrid w:val="0"/>
              <w:spacing w:line="240" w:lineRule="exact"/>
              <w:jc w:val="center"/>
              <w:rPr>
                <w:rFonts w:hint="default" w:ascii="Times New Roman" w:hAnsi="Times New Roman" w:eastAsia="宋体" w:cs="Times New Roman"/>
                <w:b/>
                <w:color w:val="auto"/>
                <w:kern w:val="2"/>
                <w:sz w:val="21"/>
                <w:szCs w:val="21"/>
              </w:rPr>
            </w:pPr>
            <w:r>
              <w:rPr>
                <w:rFonts w:hint="default" w:ascii="Times New Roman" w:hAnsi="Times New Roman" w:eastAsia="宋体" w:cs="Times New Roman"/>
                <w:b w:val="0"/>
                <w:bCs/>
                <w:color w:val="auto"/>
                <w:kern w:val="2"/>
                <w:sz w:val="21"/>
                <w:szCs w:val="21"/>
              </w:rPr>
              <w:t>P1</w:t>
            </w:r>
          </w:p>
        </w:tc>
        <w:tc>
          <w:tcPr>
            <w:tcW w:w="998" w:type="pct"/>
            <w:noWrap w:val="0"/>
            <w:vAlign w:val="center"/>
          </w:tcPr>
          <w:p w14:paraId="1B5327CD">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b w:val="0"/>
                <w:bCs w:val="0"/>
                <w:color w:val="auto"/>
                <w:kern w:val="2"/>
                <w:sz w:val="21"/>
                <w:szCs w:val="21"/>
              </w:rPr>
              <w:t>P2</w:t>
            </w:r>
          </w:p>
        </w:tc>
        <w:tc>
          <w:tcPr>
            <w:tcW w:w="998" w:type="pct"/>
            <w:noWrap w:val="0"/>
            <w:vAlign w:val="center"/>
          </w:tcPr>
          <w:p w14:paraId="3469E6D9">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P3</w:t>
            </w:r>
          </w:p>
        </w:tc>
        <w:tc>
          <w:tcPr>
            <w:tcW w:w="1009" w:type="pct"/>
            <w:noWrap w:val="0"/>
            <w:vAlign w:val="center"/>
          </w:tcPr>
          <w:p w14:paraId="792B1296">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b w:val="0"/>
                <w:bCs w:val="0"/>
                <w:color w:val="auto"/>
                <w:kern w:val="2"/>
                <w:sz w:val="21"/>
                <w:szCs w:val="21"/>
              </w:rPr>
              <w:t>P4</w:t>
            </w:r>
          </w:p>
        </w:tc>
      </w:tr>
      <w:tr w14:paraId="4E8DF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trPr>
        <w:tc>
          <w:tcPr>
            <w:tcW w:w="1135" w:type="pct"/>
            <w:noWrap w:val="0"/>
            <w:vAlign w:val="center"/>
          </w:tcPr>
          <w:p w14:paraId="4EF49F8F">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1≤Q＜10</w:t>
            </w:r>
          </w:p>
        </w:tc>
        <w:tc>
          <w:tcPr>
            <w:tcW w:w="858" w:type="pct"/>
            <w:noWrap w:val="0"/>
            <w:vAlign w:val="center"/>
          </w:tcPr>
          <w:p w14:paraId="72345BB4">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P2</w:t>
            </w:r>
          </w:p>
        </w:tc>
        <w:tc>
          <w:tcPr>
            <w:tcW w:w="998" w:type="pct"/>
            <w:noWrap w:val="0"/>
            <w:vAlign w:val="center"/>
          </w:tcPr>
          <w:p w14:paraId="0D947351">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P3</w:t>
            </w:r>
          </w:p>
        </w:tc>
        <w:tc>
          <w:tcPr>
            <w:tcW w:w="998" w:type="pct"/>
            <w:noWrap w:val="0"/>
            <w:vAlign w:val="center"/>
          </w:tcPr>
          <w:p w14:paraId="67C9A058">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P4</w:t>
            </w:r>
          </w:p>
        </w:tc>
        <w:tc>
          <w:tcPr>
            <w:tcW w:w="1009" w:type="pct"/>
            <w:noWrap w:val="0"/>
            <w:vAlign w:val="center"/>
          </w:tcPr>
          <w:p w14:paraId="297A7615">
            <w:pPr>
              <w:snapToGrid w:val="0"/>
              <w:spacing w:line="240" w:lineRule="exact"/>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b w:val="0"/>
                <w:bCs w:val="0"/>
                <w:color w:val="auto"/>
                <w:kern w:val="2"/>
                <w:sz w:val="21"/>
                <w:szCs w:val="21"/>
              </w:rPr>
              <w:t>P4</w:t>
            </w:r>
          </w:p>
        </w:tc>
      </w:tr>
    </w:tbl>
    <w:p w14:paraId="112CB7D4">
      <w:pPr>
        <w:keepNext w:val="0"/>
        <w:keepLines w:val="0"/>
        <w:pageBreakBefore w:val="0"/>
        <w:widowControl w:val="0"/>
        <w:kinsoku/>
        <w:wordWrap/>
        <w:overflowPunct/>
        <w:topLinePunct w:val="0"/>
        <w:autoSpaceDE/>
        <w:autoSpaceDN/>
        <w:bidi w:val="0"/>
        <w:spacing w:line="360" w:lineRule="auto"/>
        <w:ind w:firstLine="480" w:firstLineChars="200"/>
        <w:rPr>
          <w:rFonts w:hint="default" w:ascii="Times New Roman" w:hAnsi="Times New Roman" w:eastAsia="宋体" w:cs="Times New Roman"/>
          <w:color w:val="auto"/>
          <w:kern w:val="2"/>
          <w:sz w:val="24"/>
          <w:szCs w:val="24"/>
        </w:rPr>
      </w:pPr>
      <w:r>
        <w:rPr>
          <w:rFonts w:hint="default" w:ascii="Times New Roman" w:hAnsi="Times New Roman" w:eastAsia="宋体" w:cs="Times New Roman"/>
          <w:color w:val="auto"/>
          <w:kern w:val="2"/>
          <w:sz w:val="24"/>
          <w:szCs w:val="24"/>
          <w:lang w:val="en-US" w:eastAsia="zh-CN"/>
        </w:rPr>
        <w:t>本</w:t>
      </w:r>
      <w:r>
        <w:rPr>
          <w:rFonts w:hint="default" w:ascii="Times New Roman" w:hAnsi="Times New Roman" w:eastAsia="宋体" w:cs="Times New Roman"/>
          <w:color w:val="auto"/>
          <w:kern w:val="2"/>
          <w:sz w:val="24"/>
          <w:szCs w:val="24"/>
        </w:rPr>
        <w:t>项目1≤Q＜10，行业及生产工艺M值评分结果为M</w:t>
      </w:r>
      <w:r>
        <w:rPr>
          <w:rFonts w:hint="eastAsia" w:cs="Times New Roman"/>
          <w:color w:val="auto"/>
          <w:kern w:val="2"/>
          <w:sz w:val="24"/>
          <w:szCs w:val="24"/>
          <w:lang w:val="en-US" w:eastAsia="zh-CN"/>
        </w:rPr>
        <w:t>2</w:t>
      </w:r>
      <w:r>
        <w:rPr>
          <w:rFonts w:hint="default" w:ascii="Times New Roman" w:hAnsi="Times New Roman" w:eastAsia="宋体" w:cs="Times New Roman"/>
          <w:color w:val="auto"/>
          <w:kern w:val="2"/>
          <w:sz w:val="24"/>
          <w:szCs w:val="24"/>
        </w:rPr>
        <w:t>，因此项目P值判定结果为P</w:t>
      </w:r>
      <w:r>
        <w:rPr>
          <w:rFonts w:hint="eastAsia" w:cs="Times New Roman"/>
          <w:color w:val="auto"/>
          <w:kern w:val="2"/>
          <w:sz w:val="24"/>
          <w:szCs w:val="24"/>
          <w:lang w:val="en-US" w:eastAsia="zh-CN"/>
        </w:rPr>
        <w:t>3</w:t>
      </w:r>
      <w:r>
        <w:rPr>
          <w:rFonts w:hint="default" w:ascii="Times New Roman" w:hAnsi="Times New Roman" w:eastAsia="宋体" w:cs="Times New Roman"/>
          <w:color w:val="auto"/>
          <w:kern w:val="2"/>
          <w:sz w:val="24"/>
          <w:szCs w:val="24"/>
        </w:rPr>
        <w:t>。</w:t>
      </w:r>
    </w:p>
    <w:p w14:paraId="6F5AA69C">
      <w:pPr>
        <w:pStyle w:val="58"/>
        <w:keepNext w:val="0"/>
        <w:keepLines w:val="0"/>
        <w:pageBreakBefore w:val="0"/>
        <w:widowControl w:val="0"/>
        <w:kinsoku/>
        <w:wordWrap/>
        <w:overflowPunct/>
        <w:topLinePunct w:val="0"/>
        <w:autoSpaceDE/>
        <w:autoSpaceDN/>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（2）环境敏感程度（E）分级</w:t>
      </w:r>
    </w:p>
    <w:p w14:paraId="16F82D2B">
      <w:pPr>
        <w:pStyle w:val="58"/>
        <w:keepNext w:val="0"/>
        <w:keepLines w:val="0"/>
        <w:pageBreakBefore w:val="0"/>
        <w:widowControl w:val="0"/>
        <w:kinsoku/>
        <w:wordWrap/>
        <w:overflowPunct/>
        <w:topLinePunct w:val="0"/>
        <w:autoSpaceDE/>
        <w:autoSpaceDN/>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按照《建设项目环境风险评价技术导则》（HJ169-2018），项目环境敏感程度（E）分级包括大气环境、地表水环境、地下水环境，分别进行分级判定。</w:t>
      </w:r>
    </w:p>
    <w:p w14:paraId="7630F49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①大气环境</w:t>
      </w:r>
    </w:p>
    <w:p w14:paraId="4E05E4B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本项目大气环境敏感性分级判定见表2.4-4。</w:t>
      </w:r>
    </w:p>
    <w:p w14:paraId="1819A54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46" w:firstLineChars="200"/>
        <w:jc w:val="center"/>
        <w:textAlignment w:val="baseline"/>
        <w:rPr>
          <w:rFonts w:hint="default" w:ascii="Times New Roman" w:hAnsi="Times New Roman" w:eastAsia="宋体" w:cs="Times New Roman"/>
          <w:b/>
          <w:bCs/>
          <w:color w:val="auto"/>
          <w:spacing w:val="6"/>
          <w:kern w:val="0"/>
          <w:sz w:val="24"/>
          <w:szCs w:val="24"/>
          <w:lang w:val="en-US" w:eastAsia="zh-CN" w:bidi="ar-SA"/>
        </w:rPr>
      </w:pPr>
      <w:r>
        <w:rPr>
          <w:rFonts w:hint="default" w:ascii="Times New Roman" w:hAnsi="Times New Roman" w:eastAsia="宋体" w:cs="Times New Roman"/>
          <w:b/>
          <w:bCs/>
          <w:color w:val="auto"/>
          <w:spacing w:val="6"/>
          <w:kern w:val="0"/>
          <w:sz w:val="21"/>
          <w:szCs w:val="21"/>
          <w:lang w:val="en-US" w:eastAsia="zh-CN" w:bidi="ar-SA"/>
        </w:rPr>
        <w:t>表2.4-4   大气环境敏感程度分级</w:t>
      </w: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7307"/>
      </w:tblGrid>
      <w:tr w14:paraId="6F020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5" w:type="dxa"/>
            <w:noWrap w:val="0"/>
            <w:vAlign w:val="center"/>
          </w:tcPr>
          <w:p w14:paraId="6AF8AB9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val="0"/>
                <w:color w:val="auto"/>
                <w:kern w:val="2"/>
                <w:sz w:val="21"/>
                <w:szCs w:val="21"/>
                <w:lang w:val="en-US" w:eastAsia="zh-CN"/>
              </w:rPr>
            </w:pPr>
            <w:r>
              <w:rPr>
                <w:rFonts w:hint="default" w:ascii="Times New Roman" w:hAnsi="Times New Roman" w:eastAsia="宋体" w:cs="Times New Roman"/>
                <w:b/>
                <w:bCs w:val="0"/>
                <w:color w:val="auto"/>
                <w:kern w:val="2"/>
                <w:sz w:val="21"/>
                <w:szCs w:val="21"/>
                <w:lang w:val="en-US" w:eastAsia="zh-CN"/>
              </w:rPr>
              <w:t>分级</w:t>
            </w:r>
          </w:p>
        </w:tc>
        <w:tc>
          <w:tcPr>
            <w:tcW w:w="7307" w:type="dxa"/>
            <w:noWrap w:val="0"/>
            <w:vAlign w:val="center"/>
          </w:tcPr>
          <w:p w14:paraId="0F76741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val="0"/>
                <w:color w:val="auto"/>
                <w:kern w:val="2"/>
                <w:sz w:val="21"/>
                <w:szCs w:val="21"/>
                <w:lang w:val="en-US" w:eastAsia="zh-CN"/>
              </w:rPr>
            </w:pPr>
            <w:r>
              <w:rPr>
                <w:rFonts w:hint="default" w:ascii="Times New Roman" w:hAnsi="Times New Roman" w:eastAsia="宋体" w:cs="Times New Roman"/>
                <w:b/>
                <w:bCs w:val="0"/>
                <w:color w:val="auto"/>
                <w:kern w:val="2"/>
                <w:sz w:val="21"/>
                <w:szCs w:val="21"/>
                <w:lang w:val="en-US" w:eastAsia="zh-CN"/>
              </w:rPr>
              <w:t>大气环境敏感性判据</w:t>
            </w:r>
          </w:p>
        </w:tc>
      </w:tr>
      <w:tr w14:paraId="4D2B3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5" w:type="dxa"/>
            <w:noWrap w:val="0"/>
            <w:vAlign w:val="center"/>
          </w:tcPr>
          <w:p w14:paraId="680A5AB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rPr>
            </w:pPr>
            <w:r>
              <w:rPr>
                <w:rFonts w:hint="default" w:ascii="Times New Roman" w:hAnsi="Times New Roman" w:eastAsia="宋体" w:cs="Times New Roman"/>
                <w:bCs/>
                <w:color w:val="auto"/>
                <w:kern w:val="2"/>
                <w:sz w:val="21"/>
                <w:szCs w:val="21"/>
                <w:lang w:val="en-US" w:eastAsia="zh-CN"/>
              </w:rPr>
              <w:t>E1</w:t>
            </w:r>
          </w:p>
        </w:tc>
        <w:tc>
          <w:tcPr>
            <w:tcW w:w="7307" w:type="dxa"/>
            <w:noWrap w:val="0"/>
            <w:vAlign w:val="center"/>
          </w:tcPr>
          <w:p w14:paraId="3ABFB46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rPr>
            </w:pPr>
            <w:r>
              <w:rPr>
                <w:rFonts w:hint="default" w:ascii="Times New Roman" w:hAnsi="Times New Roman" w:eastAsia="宋体" w:cs="Times New Roman"/>
                <w:bCs/>
                <w:color w:val="auto"/>
                <w:kern w:val="2"/>
                <w:sz w:val="21"/>
                <w:szCs w:val="21"/>
                <w:lang w:val="en-US" w:eastAsia="zh-CN"/>
              </w:rPr>
              <w:t>周边5km范围内居住区、医疗卫生、文化教育、科研、行政办公等机构人口总数大于5万人，或其他需要特殊保护区域；或周边500m范围内人口总数大于1000人；油气、化学品输送管线管段周边 200m 范围内，每千米管段人口数大于 200人</w:t>
            </w:r>
          </w:p>
        </w:tc>
      </w:tr>
      <w:tr w14:paraId="7D499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5" w:type="dxa"/>
            <w:noWrap w:val="0"/>
            <w:vAlign w:val="center"/>
          </w:tcPr>
          <w:p w14:paraId="52BF792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rPr>
            </w:pPr>
            <w:r>
              <w:rPr>
                <w:rFonts w:hint="default" w:ascii="Times New Roman" w:hAnsi="Times New Roman" w:eastAsia="宋体" w:cs="Times New Roman"/>
                <w:bCs/>
                <w:color w:val="auto"/>
                <w:kern w:val="2"/>
                <w:sz w:val="21"/>
                <w:szCs w:val="21"/>
                <w:lang w:val="en-US" w:eastAsia="zh-CN"/>
              </w:rPr>
              <w:t>E2</w:t>
            </w:r>
          </w:p>
        </w:tc>
        <w:tc>
          <w:tcPr>
            <w:tcW w:w="7307" w:type="dxa"/>
            <w:noWrap w:val="0"/>
            <w:vAlign w:val="center"/>
          </w:tcPr>
          <w:p w14:paraId="61C366C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rPr>
            </w:pPr>
            <w:r>
              <w:rPr>
                <w:rFonts w:hint="default" w:ascii="Times New Roman" w:hAnsi="Times New Roman" w:eastAsia="宋体" w:cs="Times New Roman"/>
                <w:bCs/>
                <w:color w:val="auto"/>
                <w:kern w:val="2"/>
                <w:sz w:val="21"/>
                <w:szCs w:val="21"/>
                <w:lang w:val="en-US" w:eastAsia="zh-CN"/>
              </w:rPr>
              <w:t>周边5km 范围内居住区、医疗卫生、文化教育、科研、行政办公等机构人口总数 大于1万人，小于5万人；或周边500m范围内人口总数大于500人，小于1000人；油气、化学品输送管线管段周边 200m 范围内，每千米管段人口数大于100 人，小于200人</w:t>
            </w:r>
          </w:p>
        </w:tc>
      </w:tr>
      <w:tr w14:paraId="474A2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5" w:type="dxa"/>
            <w:noWrap w:val="0"/>
            <w:vAlign w:val="center"/>
          </w:tcPr>
          <w:p w14:paraId="792F804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rPr>
            </w:pPr>
            <w:r>
              <w:rPr>
                <w:rFonts w:hint="default" w:ascii="Times New Roman" w:hAnsi="Times New Roman" w:eastAsia="宋体" w:cs="Times New Roman"/>
                <w:bCs/>
                <w:color w:val="auto"/>
                <w:kern w:val="2"/>
                <w:sz w:val="21"/>
                <w:szCs w:val="21"/>
                <w:lang w:val="en-US" w:eastAsia="zh-CN"/>
              </w:rPr>
              <w:t>E3</w:t>
            </w:r>
          </w:p>
        </w:tc>
        <w:tc>
          <w:tcPr>
            <w:tcW w:w="7307" w:type="dxa"/>
            <w:noWrap w:val="0"/>
            <w:vAlign w:val="center"/>
          </w:tcPr>
          <w:p w14:paraId="061D81CC">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Cs/>
                <w:color w:val="auto"/>
                <w:kern w:val="2"/>
                <w:sz w:val="21"/>
                <w:szCs w:val="21"/>
                <w:lang w:val="en-US" w:eastAsia="zh-CN"/>
              </w:rPr>
            </w:pPr>
            <w:r>
              <w:rPr>
                <w:rFonts w:hint="default" w:ascii="Times New Roman" w:hAnsi="Times New Roman" w:eastAsia="宋体" w:cs="Times New Roman"/>
                <w:bCs/>
                <w:color w:val="auto"/>
                <w:kern w:val="2"/>
                <w:sz w:val="21"/>
                <w:szCs w:val="21"/>
                <w:lang w:val="en-US" w:eastAsia="zh-CN"/>
              </w:rPr>
              <w:t>周边5km范围内居住区、医疗卫生、文化教育、科研、行政办公等机构人口总数小于1万人；或周边 500m 范围内人口总数小于500 人；油气、化学品输送管线管段周边200m 范围内，每千米管段人口数小于100人</w:t>
            </w:r>
          </w:p>
        </w:tc>
      </w:tr>
    </w:tbl>
    <w:p w14:paraId="043CF5F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cs="Times New Roman"/>
          <w:color w:val="auto"/>
          <w:spacing w:val="6"/>
          <w:kern w:val="0"/>
          <w:sz w:val="24"/>
          <w:szCs w:val="24"/>
          <w:lang w:val="en-US" w:eastAsia="zh-CN" w:bidi="ar-SA"/>
        </w:rPr>
        <w:t>根据调查，</w:t>
      </w:r>
      <w:r>
        <w:rPr>
          <w:rFonts w:hint="default" w:ascii="Times New Roman" w:hAnsi="Times New Roman" w:eastAsia="宋体" w:cs="Times New Roman"/>
          <w:color w:val="auto"/>
          <w:spacing w:val="6"/>
          <w:kern w:val="0"/>
          <w:sz w:val="24"/>
          <w:szCs w:val="24"/>
          <w:lang w:val="en-US" w:eastAsia="zh-CN" w:bidi="ar-SA"/>
        </w:rPr>
        <w:t>本项目风险源500m范围总人口数小于500人，5km范围人口数为</w:t>
      </w:r>
      <w:r>
        <w:rPr>
          <w:rFonts w:hint="eastAsia" w:cs="Times New Roman"/>
          <w:color w:val="auto"/>
          <w:spacing w:val="6"/>
          <w:kern w:val="0"/>
          <w:sz w:val="24"/>
          <w:szCs w:val="24"/>
          <w:lang w:val="en-US" w:eastAsia="zh-CN" w:bidi="ar-SA"/>
        </w:rPr>
        <w:t>5434</w:t>
      </w:r>
      <w:r>
        <w:rPr>
          <w:rFonts w:hint="default" w:ascii="Times New Roman" w:hAnsi="Times New Roman" w:eastAsia="宋体" w:cs="Times New Roman"/>
          <w:color w:val="auto"/>
          <w:spacing w:val="6"/>
          <w:kern w:val="0"/>
          <w:sz w:val="24"/>
          <w:szCs w:val="24"/>
          <w:lang w:val="en-US" w:eastAsia="zh-CN" w:bidi="ar-SA"/>
        </w:rPr>
        <w:t>人，小于1万人，大气环境敏感分级为E3级。</w:t>
      </w:r>
    </w:p>
    <w:p w14:paraId="3A0DF55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color w:val="auto"/>
          <w:spacing w:val="6"/>
          <w:kern w:val="0"/>
          <w:sz w:val="24"/>
          <w:szCs w:val="24"/>
          <w:lang w:val="en-US" w:eastAsia="zh-CN" w:bidi="ar-SA"/>
        </w:rPr>
      </w:pPr>
      <w:r>
        <w:rPr>
          <w:rFonts w:hint="default" w:ascii="Times New Roman" w:hAnsi="Times New Roman" w:eastAsia="宋体" w:cs="Times New Roman"/>
          <w:color w:val="auto"/>
          <w:spacing w:val="6"/>
          <w:kern w:val="0"/>
          <w:sz w:val="24"/>
          <w:szCs w:val="24"/>
          <w:lang w:val="en-US" w:eastAsia="zh-CN" w:bidi="ar-SA"/>
        </w:rPr>
        <w:t>②地表水环境</w:t>
      </w:r>
    </w:p>
    <w:p w14:paraId="372CA8D1">
      <w:pPr>
        <w:pStyle w:val="58"/>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地表水环境依据事故情况下危险物质泄漏到水体的排放点受纳地表水体功能敏感性，与下游环境敏感目标情况，共分为三种类型，E1为环境高度敏感区，E2为环境中度敏感区，E3为环境低度敏感区，分级原则</w:t>
      </w:r>
      <w:r>
        <w:rPr>
          <w:rFonts w:hint="default" w:ascii="Times New Roman" w:hAnsi="Times New Roman" w:cs="Times New Roman"/>
          <w:color w:val="auto"/>
          <w:highlight w:val="none"/>
          <w:lang w:eastAsia="zh-CN"/>
        </w:rPr>
        <w:t>见下表</w:t>
      </w:r>
      <w:r>
        <w:rPr>
          <w:rFonts w:hint="default" w:ascii="Times New Roman" w:hAnsi="Times New Roman" w:cs="Times New Roman"/>
          <w:color w:val="auto"/>
          <w:highlight w:val="none"/>
        </w:rPr>
        <w:t>。</w:t>
      </w:r>
    </w:p>
    <w:p w14:paraId="56C30F6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46" w:firstLineChars="200"/>
        <w:jc w:val="center"/>
        <w:textAlignment w:val="baseline"/>
        <w:rPr>
          <w:rFonts w:hint="default" w:ascii="Times New Roman" w:hAnsi="Times New Roman" w:eastAsia="宋体" w:cs="Times New Roman"/>
          <w:b/>
          <w:bCs/>
          <w:color w:val="auto"/>
          <w:spacing w:val="6"/>
          <w:kern w:val="0"/>
          <w:sz w:val="21"/>
          <w:szCs w:val="21"/>
          <w:lang w:val="en-US" w:eastAsia="zh-CN" w:bidi="ar-SA"/>
        </w:rPr>
      </w:pPr>
      <w:r>
        <w:rPr>
          <w:rFonts w:hint="default" w:ascii="Times New Roman" w:hAnsi="Times New Roman" w:eastAsia="宋体" w:cs="Times New Roman"/>
          <w:b/>
          <w:bCs/>
          <w:color w:val="auto"/>
          <w:spacing w:val="6"/>
          <w:kern w:val="0"/>
          <w:sz w:val="21"/>
          <w:szCs w:val="21"/>
          <w:lang w:val="en-US" w:eastAsia="zh-CN" w:bidi="ar-SA"/>
        </w:rPr>
        <w:t>表</w:t>
      </w:r>
      <w:r>
        <w:rPr>
          <w:rFonts w:hint="default" w:ascii="Times New Roman" w:hAnsi="Times New Roman" w:cs="Times New Roman"/>
          <w:b/>
          <w:bCs/>
          <w:color w:val="auto"/>
          <w:spacing w:val="6"/>
          <w:kern w:val="0"/>
          <w:sz w:val="21"/>
          <w:szCs w:val="21"/>
          <w:lang w:val="en-US" w:eastAsia="zh-CN" w:bidi="ar-SA"/>
        </w:rPr>
        <w:t>2.4-5</w:t>
      </w:r>
      <w:r>
        <w:rPr>
          <w:rFonts w:hint="default" w:ascii="Times New Roman" w:hAnsi="Times New Roman" w:eastAsia="宋体" w:cs="Times New Roman"/>
          <w:b/>
          <w:bCs/>
          <w:color w:val="auto"/>
          <w:spacing w:val="6"/>
          <w:kern w:val="0"/>
          <w:sz w:val="21"/>
          <w:szCs w:val="21"/>
          <w:lang w:val="en-US" w:eastAsia="zh-CN" w:bidi="ar-SA"/>
        </w:rPr>
        <w:t xml:space="preserve">    地表水环境敏感程度分级</w:t>
      </w:r>
    </w:p>
    <w:tbl>
      <w:tblPr>
        <w:tblStyle w:val="32"/>
        <w:tblW w:w="4999"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526"/>
        <w:gridCol w:w="1914"/>
        <w:gridCol w:w="2105"/>
        <w:gridCol w:w="1975"/>
      </w:tblGrid>
      <w:tr w14:paraId="38477E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5" w:hRule="atLeast"/>
        </w:trPr>
        <w:tc>
          <w:tcPr>
            <w:tcW w:w="1482" w:type="pct"/>
            <w:vMerge w:val="restart"/>
            <w:tcBorders>
              <w:tl2br w:val="nil"/>
              <w:tr2bl w:val="nil"/>
            </w:tcBorders>
            <w:noWrap w:val="0"/>
            <w:vAlign w:val="center"/>
          </w:tcPr>
          <w:p w14:paraId="7B726A69">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环境敏感目标</w:t>
            </w:r>
          </w:p>
        </w:tc>
        <w:tc>
          <w:tcPr>
            <w:tcW w:w="3517" w:type="pct"/>
            <w:gridSpan w:val="3"/>
            <w:tcBorders>
              <w:tl2br w:val="nil"/>
              <w:tr2bl w:val="nil"/>
            </w:tcBorders>
            <w:noWrap w:val="0"/>
            <w:vAlign w:val="center"/>
          </w:tcPr>
          <w:p w14:paraId="514D39E6">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地表水功能敏感性</w:t>
            </w:r>
          </w:p>
        </w:tc>
      </w:tr>
      <w:tr w14:paraId="28E886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82" w:type="pct"/>
            <w:vMerge w:val="continue"/>
            <w:tcBorders>
              <w:tl2br w:val="nil"/>
              <w:tr2bl w:val="nil"/>
            </w:tcBorders>
            <w:noWrap w:val="0"/>
            <w:vAlign w:val="center"/>
          </w:tcPr>
          <w:p w14:paraId="11DD2AD6">
            <w:pPr>
              <w:snapToGrid w:val="0"/>
              <w:spacing w:before="36" w:beforeLines="15" w:after="4" w:afterLines="2"/>
              <w:jc w:val="center"/>
              <w:rPr>
                <w:rFonts w:hint="default" w:ascii="Times New Roman" w:hAnsi="Times New Roman" w:cs="Times New Roman"/>
                <w:color w:val="auto"/>
                <w:sz w:val="21"/>
                <w:szCs w:val="21"/>
                <w:highlight w:val="none"/>
              </w:rPr>
            </w:pPr>
          </w:p>
        </w:tc>
        <w:tc>
          <w:tcPr>
            <w:tcW w:w="1123" w:type="pct"/>
            <w:tcBorders>
              <w:tl2br w:val="nil"/>
              <w:tr2bl w:val="nil"/>
            </w:tcBorders>
            <w:noWrap w:val="0"/>
            <w:vAlign w:val="center"/>
          </w:tcPr>
          <w:p w14:paraId="1CFE6178">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F1</w:t>
            </w:r>
          </w:p>
        </w:tc>
        <w:tc>
          <w:tcPr>
            <w:tcW w:w="1235" w:type="pct"/>
            <w:tcBorders>
              <w:tl2br w:val="nil"/>
              <w:tr2bl w:val="nil"/>
            </w:tcBorders>
            <w:noWrap w:val="0"/>
            <w:vAlign w:val="center"/>
          </w:tcPr>
          <w:p w14:paraId="0C0ABE89">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F2</w:t>
            </w:r>
          </w:p>
        </w:tc>
        <w:tc>
          <w:tcPr>
            <w:tcW w:w="1158" w:type="pct"/>
            <w:tcBorders>
              <w:tl2br w:val="nil"/>
              <w:tr2bl w:val="nil"/>
            </w:tcBorders>
            <w:noWrap w:val="0"/>
            <w:vAlign w:val="center"/>
          </w:tcPr>
          <w:p w14:paraId="352EB28D">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F3</w:t>
            </w:r>
          </w:p>
        </w:tc>
      </w:tr>
      <w:tr w14:paraId="2851C8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82" w:type="pct"/>
            <w:tcBorders>
              <w:tl2br w:val="nil"/>
              <w:tr2bl w:val="nil"/>
            </w:tcBorders>
            <w:noWrap w:val="0"/>
            <w:vAlign w:val="center"/>
          </w:tcPr>
          <w:p w14:paraId="2D82B8C5">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S1</w:t>
            </w:r>
          </w:p>
        </w:tc>
        <w:tc>
          <w:tcPr>
            <w:tcW w:w="1123" w:type="pct"/>
            <w:tcBorders>
              <w:tl2br w:val="nil"/>
              <w:tr2bl w:val="nil"/>
            </w:tcBorders>
            <w:noWrap w:val="0"/>
            <w:vAlign w:val="center"/>
          </w:tcPr>
          <w:p w14:paraId="4570CDC3">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E1</w:t>
            </w:r>
          </w:p>
        </w:tc>
        <w:tc>
          <w:tcPr>
            <w:tcW w:w="1235" w:type="pct"/>
            <w:tcBorders>
              <w:tl2br w:val="nil"/>
              <w:tr2bl w:val="nil"/>
            </w:tcBorders>
            <w:noWrap w:val="0"/>
            <w:vAlign w:val="center"/>
          </w:tcPr>
          <w:p w14:paraId="7EE9C16C">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E1</w:t>
            </w:r>
          </w:p>
        </w:tc>
        <w:tc>
          <w:tcPr>
            <w:tcW w:w="1158" w:type="pct"/>
            <w:tcBorders>
              <w:tl2br w:val="nil"/>
              <w:tr2bl w:val="nil"/>
            </w:tcBorders>
            <w:noWrap w:val="0"/>
            <w:vAlign w:val="center"/>
          </w:tcPr>
          <w:p w14:paraId="6BEA82B0">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E2</w:t>
            </w:r>
          </w:p>
        </w:tc>
      </w:tr>
      <w:tr w14:paraId="650337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82" w:type="pct"/>
            <w:tcBorders>
              <w:tl2br w:val="nil"/>
              <w:tr2bl w:val="nil"/>
            </w:tcBorders>
            <w:noWrap w:val="0"/>
            <w:vAlign w:val="center"/>
          </w:tcPr>
          <w:p w14:paraId="04F76ADD">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S2</w:t>
            </w:r>
          </w:p>
        </w:tc>
        <w:tc>
          <w:tcPr>
            <w:tcW w:w="1123" w:type="pct"/>
            <w:tcBorders>
              <w:tl2br w:val="nil"/>
              <w:tr2bl w:val="nil"/>
            </w:tcBorders>
            <w:noWrap w:val="0"/>
            <w:vAlign w:val="center"/>
          </w:tcPr>
          <w:p w14:paraId="3D4D5FED">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E1</w:t>
            </w:r>
          </w:p>
        </w:tc>
        <w:tc>
          <w:tcPr>
            <w:tcW w:w="1235" w:type="pct"/>
            <w:tcBorders>
              <w:tl2br w:val="nil"/>
              <w:tr2bl w:val="nil"/>
            </w:tcBorders>
            <w:noWrap w:val="0"/>
            <w:vAlign w:val="center"/>
          </w:tcPr>
          <w:p w14:paraId="18366B00">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E2</w:t>
            </w:r>
          </w:p>
        </w:tc>
        <w:tc>
          <w:tcPr>
            <w:tcW w:w="1158" w:type="pct"/>
            <w:tcBorders>
              <w:tl2br w:val="nil"/>
              <w:tr2bl w:val="nil"/>
            </w:tcBorders>
            <w:noWrap w:val="0"/>
            <w:vAlign w:val="center"/>
          </w:tcPr>
          <w:p w14:paraId="73DE38B9">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E3</w:t>
            </w:r>
          </w:p>
        </w:tc>
      </w:tr>
      <w:tr w14:paraId="4193AE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82" w:type="pct"/>
            <w:tcBorders>
              <w:tl2br w:val="nil"/>
              <w:tr2bl w:val="nil"/>
            </w:tcBorders>
            <w:noWrap w:val="0"/>
            <w:vAlign w:val="center"/>
          </w:tcPr>
          <w:p w14:paraId="04BA6919">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S3</w:t>
            </w:r>
          </w:p>
        </w:tc>
        <w:tc>
          <w:tcPr>
            <w:tcW w:w="1123" w:type="pct"/>
            <w:tcBorders>
              <w:tl2br w:val="nil"/>
              <w:tr2bl w:val="nil"/>
            </w:tcBorders>
            <w:noWrap w:val="0"/>
            <w:vAlign w:val="center"/>
          </w:tcPr>
          <w:p w14:paraId="543DC83A">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E1</w:t>
            </w:r>
          </w:p>
        </w:tc>
        <w:tc>
          <w:tcPr>
            <w:tcW w:w="1235" w:type="pct"/>
            <w:tcBorders>
              <w:tl2br w:val="nil"/>
              <w:tr2bl w:val="nil"/>
            </w:tcBorders>
            <w:noWrap w:val="0"/>
            <w:vAlign w:val="center"/>
          </w:tcPr>
          <w:p w14:paraId="1CE7705C">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E2</w:t>
            </w:r>
          </w:p>
        </w:tc>
        <w:tc>
          <w:tcPr>
            <w:tcW w:w="1158" w:type="pct"/>
            <w:tcBorders>
              <w:tl2br w:val="nil"/>
              <w:tr2bl w:val="nil"/>
            </w:tcBorders>
            <w:noWrap w:val="0"/>
            <w:vAlign w:val="center"/>
          </w:tcPr>
          <w:p w14:paraId="7E5951A2">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E3</w:t>
            </w:r>
          </w:p>
        </w:tc>
      </w:tr>
    </w:tbl>
    <w:p w14:paraId="49B6878B">
      <w:pPr>
        <w:pStyle w:val="58"/>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地表水功能敏感性分区</w:t>
      </w:r>
      <w:r>
        <w:rPr>
          <w:rFonts w:hint="default" w:ascii="Times New Roman" w:hAnsi="Times New Roman" w:cs="Times New Roman"/>
          <w:color w:val="auto"/>
          <w:highlight w:val="none"/>
          <w:lang w:eastAsia="zh-CN"/>
        </w:rPr>
        <w:t>见下表</w:t>
      </w:r>
      <w:r>
        <w:rPr>
          <w:rFonts w:hint="default" w:ascii="Times New Roman" w:hAnsi="Times New Roman" w:cs="Times New Roman"/>
          <w:color w:val="auto"/>
          <w:highlight w:val="none"/>
        </w:rPr>
        <w:t>。</w:t>
      </w:r>
    </w:p>
    <w:p w14:paraId="245FA75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46" w:firstLineChars="200"/>
        <w:jc w:val="center"/>
        <w:textAlignment w:val="baseline"/>
        <w:rPr>
          <w:rFonts w:hint="default" w:ascii="Times New Roman" w:hAnsi="Times New Roman" w:eastAsia="宋体" w:cs="Times New Roman"/>
          <w:b/>
          <w:bCs/>
          <w:color w:val="auto"/>
          <w:spacing w:val="6"/>
          <w:kern w:val="0"/>
          <w:sz w:val="21"/>
          <w:szCs w:val="21"/>
          <w:lang w:val="en-US" w:eastAsia="zh-CN" w:bidi="ar-SA"/>
        </w:rPr>
      </w:pPr>
      <w:r>
        <w:rPr>
          <w:rFonts w:hint="default" w:ascii="Times New Roman" w:hAnsi="Times New Roman" w:eastAsia="宋体" w:cs="Times New Roman"/>
          <w:b/>
          <w:bCs/>
          <w:color w:val="auto"/>
          <w:spacing w:val="6"/>
          <w:kern w:val="0"/>
          <w:sz w:val="21"/>
          <w:szCs w:val="21"/>
          <w:lang w:val="en-US" w:eastAsia="zh-CN" w:bidi="ar-SA"/>
        </w:rPr>
        <w:t>表</w:t>
      </w:r>
      <w:r>
        <w:rPr>
          <w:rFonts w:hint="default" w:ascii="Times New Roman" w:hAnsi="Times New Roman" w:cs="Times New Roman"/>
          <w:b/>
          <w:bCs/>
          <w:color w:val="auto"/>
          <w:spacing w:val="6"/>
          <w:kern w:val="0"/>
          <w:sz w:val="21"/>
          <w:szCs w:val="21"/>
          <w:lang w:val="en-US" w:eastAsia="zh-CN" w:bidi="ar-SA"/>
        </w:rPr>
        <w:t>2.4-6</w:t>
      </w:r>
      <w:r>
        <w:rPr>
          <w:rFonts w:hint="default" w:ascii="Times New Roman" w:hAnsi="Times New Roman" w:eastAsia="宋体" w:cs="Times New Roman"/>
          <w:b/>
          <w:bCs/>
          <w:color w:val="auto"/>
          <w:spacing w:val="6"/>
          <w:kern w:val="0"/>
          <w:sz w:val="21"/>
          <w:szCs w:val="21"/>
          <w:lang w:val="en-US" w:eastAsia="zh-CN" w:bidi="ar-SA"/>
        </w:rPr>
        <w:t xml:space="preserve">     地表水功能敏感性分区</w:t>
      </w:r>
    </w:p>
    <w:tbl>
      <w:tblPr>
        <w:tblStyle w:val="32"/>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41"/>
        <w:gridCol w:w="7279"/>
      </w:tblGrid>
      <w:tr w14:paraId="172B5F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8" w:type="pct"/>
            <w:tcBorders>
              <w:tl2br w:val="nil"/>
              <w:tr2bl w:val="nil"/>
            </w:tcBorders>
            <w:noWrap w:val="0"/>
            <w:vAlign w:val="top"/>
          </w:tcPr>
          <w:p w14:paraId="21CD3FE9">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敏感性</w:t>
            </w:r>
          </w:p>
        </w:tc>
        <w:tc>
          <w:tcPr>
            <w:tcW w:w="4271" w:type="pct"/>
            <w:tcBorders>
              <w:tl2br w:val="nil"/>
              <w:tr2bl w:val="nil"/>
            </w:tcBorders>
            <w:noWrap w:val="0"/>
            <w:vAlign w:val="top"/>
          </w:tcPr>
          <w:p w14:paraId="75D7FF48">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地表水环境敏感特征</w:t>
            </w:r>
          </w:p>
        </w:tc>
      </w:tr>
      <w:tr w14:paraId="6AD675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8" w:type="pct"/>
            <w:tcBorders>
              <w:tl2br w:val="nil"/>
              <w:tr2bl w:val="nil"/>
            </w:tcBorders>
            <w:noWrap w:val="0"/>
            <w:vAlign w:val="center"/>
          </w:tcPr>
          <w:p w14:paraId="1C52E25A">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敏感 F1</w:t>
            </w:r>
          </w:p>
        </w:tc>
        <w:tc>
          <w:tcPr>
            <w:tcW w:w="4271" w:type="pct"/>
            <w:tcBorders>
              <w:tl2br w:val="nil"/>
              <w:tr2bl w:val="nil"/>
            </w:tcBorders>
            <w:noWrap w:val="0"/>
            <w:vAlign w:val="top"/>
          </w:tcPr>
          <w:p w14:paraId="0697F84B">
            <w:pPr>
              <w:snapToGrid w:val="0"/>
              <w:spacing w:before="36" w:beforeLines="15" w:after="4" w:afterLines="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排放点进入地表水水域环境功能为Ⅱ类及以上，或海水水质分类第一类；或以发生事故时，危险物质泄漏到水体的排放点算起，排放进入受纳河流最大流速时，24 h  流经范围内涉跨国界的</w:t>
            </w:r>
          </w:p>
        </w:tc>
      </w:tr>
      <w:tr w14:paraId="6717FD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8" w:type="pct"/>
            <w:tcBorders>
              <w:tl2br w:val="nil"/>
              <w:tr2bl w:val="nil"/>
            </w:tcBorders>
            <w:noWrap w:val="0"/>
            <w:vAlign w:val="center"/>
          </w:tcPr>
          <w:p w14:paraId="2DD2A4A1">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较敏感 F2</w:t>
            </w:r>
          </w:p>
        </w:tc>
        <w:tc>
          <w:tcPr>
            <w:tcW w:w="4271" w:type="pct"/>
            <w:tcBorders>
              <w:tl2br w:val="nil"/>
              <w:tr2bl w:val="nil"/>
            </w:tcBorders>
            <w:noWrap w:val="0"/>
            <w:vAlign w:val="top"/>
          </w:tcPr>
          <w:p w14:paraId="3D1B5602">
            <w:pPr>
              <w:snapToGrid w:val="0"/>
              <w:spacing w:before="36" w:beforeLines="15" w:after="4" w:afterLines="2"/>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排放点进入地表水水域环境功能为Ⅲ类，或海水水质分类第二类；或以发生事故时，危险物质泄漏到水体的排放点算起，排放进入受纳河流最大流速时，24 h流经范围内涉跨省界的</w:t>
            </w:r>
          </w:p>
        </w:tc>
      </w:tr>
      <w:tr w14:paraId="7B4599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28" w:type="pct"/>
            <w:tcBorders>
              <w:tl2br w:val="nil"/>
              <w:tr2bl w:val="nil"/>
            </w:tcBorders>
            <w:noWrap w:val="0"/>
            <w:vAlign w:val="center"/>
          </w:tcPr>
          <w:p w14:paraId="4A9EB234">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低敏感 F3</w:t>
            </w:r>
          </w:p>
        </w:tc>
        <w:tc>
          <w:tcPr>
            <w:tcW w:w="4271" w:type="pct"/>
            <w:tcBorders>
              <w:tl2br w:val="nil"/>
              <w:tr2bl w:val="nil"/>
            </w:tcBorders>
            <w:noWrap w:val="0"/>
            <w:vAlign w:val="top"/>
          </w:tcPr>
          <w:p w14:paraId="7D255235">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上述地区之外的其他地区</w:t>
            </w:r>
          </w:p>
        </w:tc>
      </w:tr>
    </w:tbl>
    <w:p w14:paraId="2C3CBF2B">
      <w:pPr>
        <w:spacing w:line="200" w:lineRule="exact"/>
        <w:jc w:val="left"/>
        <w:rPr>
          <w:rFonts w:hint="default" w:ascii="Times New Roman" w:hAnsi="Times New Roman" w:cs="Times New Roman"/>
          <w:color w:val="auto"/>
          <w:sz w:val="20"/>
          <w:highlight w:val="none"/>
        </w:rPr>
      </w:pPr>
    </w:p>
    <w:p w14:paraId="107B2DB8">
      <w:pPr>
        <w:pStyle w:val="58"/>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地表水环境敏感目标分级分别</w:t>
      </w:r>
      <w:r>
        <w:rPr>
          <w:rFonts w:hint="default" w:ascii="Times New Roman" w:hAnsi="Times New Roman" w:eastAsia="宋体" w:cs="Times New Roman"/>
          <w:color w:val="auto"/>
          <w:highlight w:val="none"/>
          <w:lang w:eastAsia="zh-CN"/>
        </w:rPr>
        <w:t>见下表</w:t>
      </w:r>
      <w:r>
        <w:rPr>
          <w:rFonts w:hint="default" w:ascii="Times New Roman" w:hAnsi="Times New Roman" w:eastAsia="宋体" w:cs="Times New Roman"/>
          <w:color w:val="auto"/>
          <w:highlight w:val="none"/>
        </w:rPr>
        <w:t>。</w:t>
      </w:r>
    </w:p>
    <w:p w14:paraId="3E6B1C6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46" w:firstLineChars="200"/>
        <w:jc w:val="center"/>
        <w:textAlignment w:val="baseline"/>
        <w:rPr>
          <w:rFonts w:hint="default" w:ascii="Times New Roman" w:hAnsi="Times New Roman" w:eastAsia="宋体" w:cs="Times New Roman"/>
          <w:b/>
          <w:bCs/>
          <w:color w:val="auto"/>
          <w:spacing w:val="6"/>
          <w:kern w:val="0"/>
          <w:sz w:val="21"/>
          <w:szCs w:val="21"/>
          <w:lang w:val="en-US" w:eastAsia="zh-CN" w:bidi="ar-SA"/>
        </w:rPr>
      </w:pPr>
      <w:r>
        <w:rPr>
          <w:rFonts w:hint="default" w:ascii="Times New Roman" w:hAnsi="Times New Roman" w:eastAsia="宋体" w:cs="Times New Roman"/>
          <w:b/>
          <w:bCs/>
          <w:color w:val="auto"/>
          <w:spacing w:val="6"/>
          <w:kern w:val="0"/>
          <w:sz w:val="21"/>
          <w:szCs w:val="21"/>
          <w:lang w:val="en-US" w:eastAsia="zh-CN" w:bidi="ar-SA"/>
        </w:rPr>
        <w:t>表</w:t>
      </w:r>
      <w:r>
        <w:rPr>
          <w:rFonts w:hint="default" w:ascii="Times New Roman" w:hAnsi="Times New Roman" w:cs="Times New Roman"/>
          <w:b/>
          <w:bCs/>
          <w:color w:val="auto"/>
          <w:spacing w:val="6"/>
          <w:kern w:val="0"/>
          <w:sz w:val="21"/>
          <w:szCs w:val="21"/>
          <w:lang w:val="en-US" w:eastAsia="zh-CN" w:bidi="ar-SA"/>
        </w:rPr>
        <w:t>2.4-7</w:t>
      </w:r>
      <w:r>
        <w:rPr>
          <w:rFonts w:hint="default" w:ascii="Times New Roman" w:hAnsi="Times New Roman" w:eastAsia="宋体" w:cs="Times New Roman"/>
          <w:b/>
          <w:bCs/>
          <w:color w:val="auto"/>
          <w:spacing w:val="6"/>
          <w:kern w:val="0"/>
          <w:sz w:val="21"/>
          <w:szCs w:val="21"/>
          <w:lang w:val="en-US" w:eastAsia="zh-CN" w:bidi="ar-SA"/>
        </w:rPr>
        <w:t xml:space="preserve">    环境敏感目标分级</w:t>
      </w:r>
    </w:p>
    <w:tbl>
      <w:tblPr>
        <w:tblStyle w:val="32"/>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01"/>
        <w:gridCol w:w="7419"/>
      </w:tblGrid>
      <w:tr w14:paraId="178A18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46" w:type="pct"/>
            <w:tcBorders>
              <w:tl2br w:val="nil"/>
              <w:tr2bl w:val="nil"/>
            </w:tcBorders>
            <w:noWrap w:val="0"/>
            <w:vAlign w:val="top"/>
          </w:tcPr>
          <w:p w14:paraId="5FB4A51B">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分级</w:t>
            </w:r>
          </w:p>
        </w:tc>
        <w:tc>
          <w:tcPr>
            <w:tcW w:w="4353" w:type="pct"/>
            <w:tcBorders>
              <w:tl2br w:val="nil"/>
              <w:tr2bl w:val="nil"/>
            </w:tcBorders>
            <w:noWrap w:val="0"/>
            <w:vAlign w:val="top"/>
          </w:tcPr>
          <w:p w14:paraId="024908CD">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环境敏感目标</w:t>
            </w:r>
          </w:p>
        </w:tc>
      </w:tr>
      <w:tr w14:paraId="0FDC0B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46" w:type="pct"/>
            <w:tcBorders>
              <w:tl2br w:val="nil"/>
              <w:tr2bl w:val="nil"/>
            </w:tcBorders>
            <w:noWrap w:val="0"/>
            <w:vAlign w:val="center"/>
          </w:tcPr>
          <w:p w14:paraId="7D73804D">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S1</w:t>
            </w:r>
          </w:p>
        </w:tc>
        <w:tc>
          <w:tcPr>
            <w:tcW w:w="4353" w:type="pct"/>
            <w:tcBorders>
              <w:tl2br w:val="nil"/>
              <w:tr2bl w:val="nil"/>
            </w:tcBorders>
            <w:noWrap w:val="0"/>
            <w:vAlign w:val="top"/>
          </w:tcPr>
          <w:p w14:paraId="4DE027CD">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发生事故时，危险物质泄漏到内陆水体的排放点下游（顺水流向）10 km 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14:paraId="5D8BBB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46" w:type="pct"/>
            <w:tcBorders>
              <w:tl2br w:val="nil"/>
              <w:tr2bl w:val="nil"/>
            </w:tcBorders>
            <w:noWrap w:val="0"/>
            <w:vAlign w:val="center"/>
          </w:tcPr>
          <w:p w14:paraId="6D114416">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S2</w:t>
            </w:r>
          </w:p>
        </w:tc>
        <w:tc>
          <w:tcPr>
            <w:tcW w:w="4353" w:type="pct"/>
            <w:tcBorders>
              <w:tl2br w:val="nil"/>
              <w:tr2bl w:val="nil"/>
            </w:tcBorders>
            <w:noWrap w:val="0"/>
            <w:vAlign w:val="top"/>
          </w:tcPr>
          <w:p w14:paraId="278DC2CD">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发生事故时，危险物质泄漏到内陆水体的排放点下游（顺水流向）10 km 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14:paraId="67F7E5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jc w:val="center"/>
        </w:trPr>
        <w:tc>
          <w:tcPr>
            <w:tcW w:w="646" w:type="pct"/>
            <w:tcBorders>
              <w:tl2br w:val="nil"/>
              <w:tr2bl w:val="nil"/>
            </w:tcBorders>
            <w:noWrap w:val="0"/>
            <w:vAlign w:val="top"/>
          </w:tcPr>
          <w:p w14:paraId="5E820E3C">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S3</w:t>
            </w:r>
          </w:p>
        </w:tc>
        <w:tc>
          <w:tcPr>
            <w:tcW w:w="4353" w:type="pct"/>
            <w:tcBorders>
              <w:tl2br w:val="nil"/>
              <w:tr2bl w:val="nil"/>
            </w:tcBorders>
            <w:noWrap w:val="0"/>
            <w:vAlign w:val="top"/>
          </w:tcPr>
          <w:p w14:paraId="3495266B">
            <w:pPr>
              <w:snapToGrid w:val="0"/>
              <w:spacing w:before="36" w:beforeLines="15" w:after="4" w:afterLines="2"/>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排放点下游（顺水流向）10 km 范围、近岸海域一个潮周期水质点可能达到的最大水平距离的两倍范围内无上述类型 1 和类型 2 包括的敏感保护目标</w:t>
            </w:r>
          </w:p>
        </w:tc>
      </w:tr>
    </w:tbl>
    <w:p w14:paraId="56B9B7E1">
      <w:pPr>
        <w:pStyle w:val="58"/>
        <w:rPr>
          <w:rFonts w:hint="default" w:ascii="Times New Roman" w:hAnsi="Times New Roman" w:cs="Times New Roman"/>
          <w:color w:val="auto"/>
          <w:highlight w:val="none"/>
        </w:rPr>
      </w:pPr>
    </w:p>
    <w:p w14:paraId="18D05D66">
      <w:pPr>
        <w:pStyle w:val="58"/>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sz w:val="24"/>
          <w:szCs w:val="24"/>
        </w:rPr>
        <w:t>生活</w:t>
      </w:r>
      <w:r>
        <w:rPr>
          <w:rFonts w:hint="default" w:ascii="Times New Roman" w:hAnsi="Times New Roman" w:cs="Times New Roman"/>
          <w:color w:val="auto"/>
          <w:sz w:val="24"/>
          <w:szCs w:val="24"/>
          <w:lang w:eastAsia="zh-CN"/>
        </w:rPr>
        <w:t>污</w:t>
      </w:r>
      <w:r>
        <w:rPr>
          <w:rFonts w:hint="default" w:ascii="Times New Roman" w:hAnsi="Times New Roman" w:cs="Times New Roman"/>
          <w:color w:val="auto"/>
          <w:sz w:val="24"/>
          <w:szCs w:val="24"/>
        </w:rPr>
        <w:t>水</w:t>
      </w:r>
      <w:r>
        <w:rPr>
          <w:rFonts w:hint="default" w:ascii="Times New Roman" w:hAnsi="Times New Roman" w:cs="Times New Roman"/>
          <w:color w:val="auto"/>
          <w:sz w:val="24"/>
          <w:szCs w:val="24"/>
          <w:lang w:val="en-US" w:eastAsia="zh-CN"/>
        </w:rPr>
        <w:t>排至园区污水管网，最终进入九原水质净化厂</w:t>
      </w:r>
      <w:r>
        <w:rPr>
          <w:rFonts w:hint="default" w:ascii="Times New Roman" w:hAnsi="Times New Roman" w:cs="Times New Roman"/>
          <w:bCs/>
          <w:color w:val="auto"/>
          <w:sz w:val="24"/>
          <w:szCs w:val="24"/>
        </w:rPr>
        <w:t>。</w:t>
      </w:r>
      <w:r>
        <w:rPr>
          <w:rFonts w:hint="default" w:ascii="Times New Roman" w:hAnsi="Times New Roman" w:eastAsia="宋体" w:cs="Times New Roman"/>
          <w:color w:val="auto"/>
          <w:spacing w:val="0"/>
          <w:kern w:val="2"/>
          <w:position w:val="0"/>
          <w:sz w:val="24"/>
          <w:szCs w:val="24"/>
          <w:u w:val="none" w:color="auto"/>
          <w:lang w:val="en-US" w:eastAsia="zh-CN" w:bidi="ar-SA"/>
        </w:rPr>
        <w:t>本项目灌装站，采用</w:t>
      </w:r>
      <w:r>
        <w:rPr>
          <w:rFonts w:hint="default" w:ascii="Times New Roman" w:hAnsi="Times New Roman" w:cs="Times New Roman"/>
          <w:color w:val="auto"/>
          <w:spacing w:val="0"/>
          <w:kern w:val="2"/>
          <w:position w:val="0"/>
          <w:sz w:val="24"/>
          <w:szCs w:val="24"/>
          <w:u w:val="none" w:color="auto"/>
          <w:lang w:val="en-US" w:eastAsia="zh-CN" w:bidi="ar-SA"/>
        </w:rPr>
        <w:t>3</w:t>
      </w:r>
      <w:r>
        <w:rPr>
          <w:rFonts w:hint="default" w:ascii="Times New Roman" w:hAnsi="Times New Roman" w:eastAsia="宋体" w:cs="Times New Roman"/>
          <w:color w:val="auto"/>
          <w:spacing w:val="0"/>
          <w:kern w:val="2"/>
          <w:position w:val="0"/>
          <w:sz w:val="24"/>
          <w:szCs w:val="24"/>
          <w:u w:val="none" w:color="auto"/>
          <w:lang w:val="en-US" w:eastAsia="zh-CN" w:bidi="ar-SA"/>
        </w:rPr>
        <w:t>座50m</w:t>
      </w:r>
      <w:r>
        <w:rPr>
          <w:rFonts w:hint="default" w:ascii="Times New Roman" w:hAnsi="Times New Roman" w:eastAsia="宋体" w:cs="Times New Roman"/>
          <w:color w:val="auto"/>
          <w:spacing w:val="0"/>
          <w:kern w:val="2"/>
          <w:position w:val="0"/>
          <w:sz w:val="24"/>
          <w:szCs w:val="24"/>
          <w:u w:val="none" w:color="auto"/>
          <w:vertAlign w:val="superscript"/>
          <w:lang w:val="en-US" w:eastAsia="zh-CN" w:bidi="ar-SA"/>
        </w:rPr>
        <w:t>3</w:t>
      </w:r>
      <w:r>
        <w:rPr>
          <w:rFonts w:hint="default" w:ascii="Times New Roman" w:hAnsi="Times New Roman" w:eastAsia="宋体" w:cs="Times New Roman"/>
          <w:color w:val="auto"/>
          <w:spacing w:val="0"/>
          <w:kern w:val="2"/>
          <w:position w:val="0"/>
          <w:sz w:val="24"/>
          <w:szCs w:val="24"/>
          <w:u w:val="none" w:color="auto"/>
          <w:lang w:val="en-US" w:eastAsia="zh-CN" w:bidi="ar-SA"/>
        </w:rPr>
        <w:t>的地下</w:t>
      </w:r>
      <w:r>
        <w:rPr>
          <w:rFonts w:hint="default" w:ascii="Times New Roman" w:hAnsi="Times New Roman" w:cs="Times New Roman"/>
          <w:color w:val="auto"/>
          <w:spacing w:val="0"/>
          <w:kern w:val="2"/>
          <w:position w:val="0"/>
          <w:sz w:val="24"/>
          <w:szCs w:val="24"/>
          <w:u w:val="none" w:color="auto"/>
          <w:lang w:val="en-US" w:eastAsia="zh-CN" w:bidi="ar-SA"/>
        </w:rPr>
        <w:t>LPG</w:t>
      </w:r>
      <w:r>
        <w:rPr>
          <w:rFonts w:hint="default" w:ascii="Times New Roman" w:hAnsi="Times New Roman" w:eastAsia="宋体" w:cs="Times New Roman"/>
          <w:color w:val="auto"/>
          <w:spacing w:val="0"/>
          <w:kern w:val="2"/>
          <w:position w:val="0"/>
          <w:sz w:val="24"/>
          <w:szCs w:val="24"/>
          <w:u w:val="none" w:color="auto"/>
          <w:lang w:val="en-US" w:eastAsia="zh-CN" w:bidi="ar-SA"/>
        </w:rPr>
        <w:t>储罐</w:t>
      </w:r>
      <w:r>
        <w:rPr>
          <w:rFonts w:hint="default" w:ascii="Times New Roman" w:hAnsi="Times New Roman" w:cs="Times New Roman"/>
          <w:color w:val="auto"/>
          <w:spacing w:val="0"/>
          <w:kern w:val="2"/>
          <w:position w:val="0"/>
          <w:sz w:val="24"/>
          <w:szCs w:val="24"/>
          <w:u w:val="none" w:color="auto"/>
          <w:lang w:val="en-US" w:eastAsia="zh-CN" w:bidi="ar-SA"/>
        </w:rPr>
        <w:t>（2用1备）、3</w:t>
      </w:r>
      <w:r>
        <w:rPr>
          <w:rFonts w:hint="default" w:ascii="Times New Roman" w:hAnsi="Times New Roman" w:eastAsia="宋体" w:cs="Times New Roman"/>
          <w:color w:val="auto"/>
          <w:spacing w:val="0"/>
          <w:kern w:val="2"/>
          <w:position w:val="0"/>
          <w:sz w:val="24"/>
          <w:szCs w:val="24"/>
          <w:u w:val="none" w:color="auto"/>
          <w:lang w:val="en-US" w:eastAsia="zh-CN" w:bidi="ar-SA"/>
        </w:rPr>
        <w:t>座50m</w:t>
      </w:r>
      <w:r>
        <w:rPr>
          <w:rFonts w:hint="default" w:ascii="Times New Roman" w:hAnsi="Times New Roman" w:eastAsia="宋体" w:cs="Times New Roman"/>
          <w:color w:val="auto"/>
          <w:spacing w:val="0"/>
          <w:kern w:val="2"/>
          <w:position w:val="0"/>
          <w:sz w:val="24"/>
          <w:szCs w:val="24"/>
          <w:u w:val="none" w:color="auto"/>
          <w:vertAlign w:val="superscript"/>
          <w:lang w:val="en-US" w:eastAsia="zh-CN" w:bidi="ar-SA"/>
        </w:rPr>
        <w:t>3</w:t>
      </w:r>
      <w:r>
        <w:rPr>
          <w:rFonts w:hint="default" w:ascii="Times New Roman" w:hAnsi="Times New Roman" w:eastAsia="宋体" w:cs="Times New Roman"/>
          <w:color w:val="auto"/>
          <w:spacing w:val="0"/>
          <w:kern w:val="2"/>
          <w:position w:val="0"/>
          <w:sz w:val="24"/>
          <w:szCs w:val="24"/>
          <w:u w:val="none" w:color="auto"/>
          <w:lang w:val="en-US" w:eastAsia="zh-CN" w:bidi="ar-SA"/>
        </w:rPr>
        <w:t>的地下</w:t>
      </w:r>
      <w:r>
        <w:rPr>
          <w:rFonts w:hint="default" w:ascii="Times New Roman" w:hAnsi="Times New Roman" w:cs="Times New Roman"/>
          <w:color w:val="auto"/>
          <w:spacing w:val="0"/>
          <w:kern w:val="2"/>
          <w:position w:val="0"/>
          <w:sz w:val="24"/>
          <w:szCs w:val="24"/>
          <w:u w:val="none" w:color="auto"/>
          <w:lang w:val="en-US" w:eastAsia="zh-CN" w:bidi="ar-SA"/>
        </w:rPr>
        <w:t>丙烷</w:t>
      </w:r>
      <w:r>
        <w:rPr>
          <w:rFonts w:hint="default" w:ascii="Times New Roman" w:hAnsi="Times New Roman" w:eastAsia="宋体" w:cs="Times New Roman"/>
          <w:color w:val="auto"/>
          <w:spacing w:val="0"/>
          <w:kern w:val="2"/>
          <w:position w:val="0"/>
          <w:sz w:val="24"/>
          <w:szCs w:val="24"/>
          <w:u w:val="none" w:color="auto"/>
          <w:lang w:val="en-US" w:eastAsia="zh-CN" w:bidi="ar-SA"/>
        </w:rPr>
        <w:t>储罐</w:t>
      </w:r>
      <w:r>
        <w:rPr>
          <w:rFonts w:hint="default" w:ascii="Times New Roman" w:hAnsi="Times New Roman" w:cs="Times New Roman"/>
          <w:color w:val="auto"/>
          <w:spacing w:val="0"/>
          <w:kern w:val="2"/>
          <w:position w:val="0"/>
          <w:sz w:val="24"/>
          <w:szCs w:val="24"/>
          <w:u w:val="none" w:color="auto"/>
          <w:lang w:val="en-US" w:eastAsia="zh-CN" w:bidi="ar-SA"/>
        </w:rPr>
        <w:t>（2用1备）</w:t>
      </w:r>
      <w:r>
        <w:rPr>
          <w:rFonts w:hint="default" w:ascii="Times New Roman" w:hAnsi="Times New Roman" w:eastAsia="宋体" w:cs="Times New Roman"/>
          <w:color w:val="auto"/>
          <w:spacing w:val="0"/>
          <w:kern w:val="2"/>
          <w:position w:val="0"/>
          <w:sz w:val="24"/>
          <w:szCs w:val="24"/>
          <w:u w:val="none" w:color="auto"/>
          <w:lang w:val="en-US" w:eastAsia="zh-CN" w:bidi="ar-SA"/>
        </w:rPr>
        <w:t>，</w:t>
      </w:r>
      <w:r>
        <w:rPr>
          <w:rFonts w:hint="default" w:ascii="Times New Roman" w:hAnsi="Times New Roman" w:cs="Times New Roman"/>
          <w:color w:val="auto"/>
          <w:spacing w:val="0"/>
          <w:kern w:val="2"/>
          <w:position w:val="0"/>
          <w:sz w:val="24"/>
          <w:szCs w:val="24"/>
          <w:u w:val="none" w:color="auto"/>
          <w:lang w:val="en-US" w:eastAsia="zh-CN" w:bidi="ar-SA"/>
        </w:rPr>
        <w:t>项目厂区内设置事故水池（兼消防水池），事故状态下废水可收集不外排，</w:t>
      </w:r>
      <w:r>
        <w:rPr>
          <w:rFonts w:hint="default" w:ascii="Times New Roman" w:hAnsi="Times New Roman" w:cs="Times New Roman"/>
          <w:color w:val="auto"/>
          <w:highlight w:val="none"/>
        </w:rPr>
        <w:t>不存在危险物质渗漏到地表水体中</w:t>
      </w:r>
      <w:r>
        <w:rPr>
          <w:rFonts w:hint="default" w:ascii="Times New Roman" w:hAnsi="Times New Roman" w:cs="Times New Roman"/>
          <w:color w:val="auto"/>
          <w:spacing w:val="0"/>
          <w:kern w:val="2"/>
          <w:position w:val="0"/>
          <w:sz w:val="24"/>
          <w:szCs w:val="24"/>
          <w:u w:val="none" w:color="auto"/>
          <w:lang w:val="en-US" w:eastAsia="zh-CN" w:bidi="ar-SA"/>
        </w:rPr>
        <w:t>，</w:t>
      </w:r>
      <w:r>
        <w:rPr>
          <w:rFonts w:hint="default" w:ascii="Times New Roman" w:hAnsi="Times New Roman" w:cs="Times New Roman"/>
          <w:color w:val="auto"/>
          <w:highlight w:val="none"/>
        </w:rPr>
        <w:t>不存在危险物质渗漏到地表水体中，地表水功能敏感性按E3考虑。</w:t>
      </w:r>
    </w:p>
    <w:p w14:paraId="7DBD39D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504" w:firstLineChars="200"/>
        <w:jc w:val="both"/>
        <w:textAlignment w:val="baseline"/>
        <w:rPr>
          <w:rFonts w:hint="default" w:ascii="Times New Roman" w:hAnsi="Times New Roman" w:eastAsia="宋体" w:cs="Times New Roman"/>
          <w:b w:val="0"/>
          <w:bCs w:val="0"/>
          <w:color w:val="auto"/>
          <w:spacing w:val="6"/>
          <w:kern w:val="0"/>
          <w:sz w:val="24"/>
          <w:szCs w:val="24"/>
          <w:lang w:val="en-US" w:eastAsia="zh-CN" w:bidi="ar-SA"/>
        </w:rPr>
      </w:pPr>
      <w:r>
        <w:rPr>
          <w:rFonts w:hint="default" w:ascii="Times New Roman" w:hAnsi="Times New Roman" w:eastAsia="宋体" w:cs="Times New Roman"/>
          <w:b w:val="0"/>
          <w:bCs w:val="0"/>
          <w:color w:val="auto"/>
          <w:spacing w:val="6"/>
          <w:kern w:val="0"/>
          <w:sz w:val="24"/>
          <w:szCs w:val="24"/>
          <w:lang w:val="en-US" w:eastAsia="zh-CN" w:bidi="ar-SA"/>
        </w:rPr>
        <w:t>③地下水环境</w:t>
      </w:r>
    </w:p>
    <w:p w14:paraId="61E1BB79">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kern w:val="2"/>
          <w:sz w:val="24"/>
          <w:szCs w:val="24"/>
          <w:lang w:eastAsia="zh-CN"/>
        </w:rPr>
      </w:pPr>
      <w:r>
        <w:rPr>
          <w:rFonts w:hint="default" w:ascii="Times New Roman" w:hAnsi="Times New Roman" w:eastAsia="宋体" w:cs="Times New Roman"/>
          <w:color w:val="auto"/>
          <w:spacing w:val="0"/>
          <w:kern w:val="2"/>
          <w:sz w:val="24"/>
          <w:szCs w:val="24"/>
        </w:rPr>
        <w:t>地下水功能敏感性分区和包气带防污性能分级分别见表</w:t>
      </w:r>
      <w:r>
        <w:rPr>
          <w:rFonts w:hint="default" w:ascii="Times New Roman" w:hAnsi="Times New Roman" w:eastAsia="宋体" w:cs="Times New Roman"/>
          <w:color w:val="auto"/>
          <w:spacing w:val="0"/>
          <w:kern w:val="2"/>
          <w:sz w:val="24"/>
          <w:szCs w:val="24"/>
          <w:lang w:val="en-US" w:eastAsia="zh-CN"/>
        </w:rPr>
        <w:t>2.4-5</w:t>
      </w:r>
      <w:r>
        <w:rPr>
          <w:rFonts w:hint="default" w:ascii="Times New Roman" w:hAnsi="Times New Roman" w:eastAsia="宋体" w:cs="Times New Roman"/>
          <w:color w:val="auto"/>
          <w:spacing w:val="0"/>
          <w:kern w:val="2"/>
          <w:sz w:val="24"/>
          <w:szCs w:val="24"/>
        </w:rPr>
        <w:t>和表</w:t>
      </w:r>
      <w:r>
        <w:rPr>
          <w:rFonts w:hint="default" w:ascii="Times New Roman" w:hAnsi="Times New Roman" w:eastAsia="宋体" w:cs="Times New Roman"/>
          <w:color w:val="auto"/>
          <w:spacing w:val="0"/>
          <w:kern w:val="2"/>
          <w:sz w:val="24"/>
          <w:szCs w:val="24"/>
          <w:lang w:val="en-US" w:eastAsia="zh-CN"/>
        </w:rPr>
        <w:t>2.4-6</w:t>
      </w:r>
      <w:r>
        <w:rPr>
          <w:rFonts w:hint="default" w:ascii="Times New Roman" w:hAnsi="Times New Roman" w:eastAsia="宋体" w:cs="Times New Roman"/>
          <w:color w:val="auto"/>
          <w:spacing w:val="0"/>
          <w:kern w:val="2"/>
          <w:sz w:val="24"/>
          <w:szCs w:val="24"/>
          <w:lang w:eastAsia="zh-CN"/>
        </w:rPr>
        <w:t>，地下水环境敏感程度分级见表</w:t>
      </w:r>
      <w:r>
        <w:rPr>
          <w:rFonts w:hint="default" w:ascii="Times New Roman" w:hAnsi="Times New Roman" w:eastAsia="宋体" w:cs="Times New Roman"/>
          <w:color w:val="auto"/>
          <w:spacing w:val="0"/>
          <w:kern w:val="2"/>
          <w:sz w:val="24"/>
          <w:szCs w:val="24"/>
          <w:lang w:val="en-US" w:eastAsia="zh-CN"/>
        </w:rPr>
        <w:t>2.4-7</w:t>
      </w:r>
      <w:r>
        <w:rPr>
          <w:rFonts w:hint="default" w:ascii="Times New Roman" w:hAnsi="Times New Roman" w:eastAsia="宋体" w:cs="Times New Roman"/>
          <w:color w:val="auto"/>
          <w:spacing w:val="0"/>
          <w:kern w:val="2"/>
          <w:sz w:val="24"/>
          <w:szCs w:val="24"/>
          <w:lang w:eastAsia="zh-CN"/>
        </w:rPr>
        <w:t>。</w:t>
      </w:r>
    </w:p>
    <w:p w14:paraId="54E76AE5">
      <w:pPr>
        <w:keepNext w:val="0"/>
        <w:keepLines w:val="0"/>
        <w:pageBreakBefore w:val="0"/>
        <w:widowControl w:val="0"/>
        <w:tabs>
          <w:tab w:val="left" w:pos="0"/>
        </w:tabs>
        <w:kinsoku/>
        <w:wordWrap/>
        <w:overflowPunct/>
        <w:topLinePunct w:val="0"/>
        <w:autoSpaceDE/>
        <w:autoSpaceDN/>
        <w:bidi w:val="0"/>
        <w:adjustRightInd/>
        <w:snapToGrid w:val="0"/>
        <w:spacing w:line="360" w:lineRule="auto"/>
        <w:ind w:firstLine="422" w:firstLineChars="200"/>
        <w:jc w:val="center"/>
        <w:textAlignment w:val="auto"/>
        <w:rPr>
          <w:rFonts w:hint="default" w:ascii="Times New Roman" w:hAnsi="Times New Roman" w:eastAsia="宋体" w:cs="Times New Roman"/>
          <w:b/>
          <w:color w:val="auto"/>
          <w:spacing w:val="0"/>
          <w:kern w:val="0"/>
          <w:sz w:val="24"/>
          <w:szCs w:val="24"/>
        </w:rPr>
      </w:pPr>
      <w:r>
        <w:rPr>
          <w:rFonts w:hint="default" w:ascii="Times New Roman" w:hAnsi="Times New Roman" w:eastAsia="宋体" w:cs="Times New Roman"/>
          <w:b/>
          <w:color w:val="auto"/>
          <w:spacing w:val="0"/>
          <w:kern w:val="0"/>
          <w:sz w:val="21"/>
          <w:szCs w:val="21"/>
        </w:rPr>
        <w:t>表</w:t>
      </w:r>
      <w:r>
        <w:rPr>
          <w:rFonts w:hint="default" w:ascii="Times New Roman" w:hAnsi="Times New Roman" w:eastAsia="宋体" w:cs="Times New Roman"/>
          <w:b/>
          <w:color w:val="auto"/>
          <w:spacing w:val="0"/>
          <w:kern w:val="0"/>
          <w:sz w:val="21"/>
          <w:szCs w:val="21"/>
          <w:lang w:val="en-US" w:eastAsia="zh-CN"/>
        </w:rPr>
        <w:t xml:space="preserve">2.4-5  </w:t>
      </w:r>
      <w:r>
        <w:rPr>
          <w:rFonts w:hint="default" w:ascii="Times New Roman" w:hAnsi="Times New Roman" w:eastAsia="宋体" w:cs="Times New Roman"/>
          <w:b/>
          <w:color w:val="auto"/>
          <w:spacing w:val="0"/>
          <w:kern w:val="0"/>
          <w:sz w:val="21"/>
          <w:szCs w:val="21"/>
        </w:rPr>
        <w:t xml:space="preserve"> 地下水功能敏感性分区</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7361"/>
      </w:tblGrid>
      <w:tr w14:paraId="7E123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681" w:type="pct"/>
            <w:noWrap w:val="0"/>
            <w:vAlign w:val="center"/>
          </w:tcPr>
          <w:p w14:paraId="138A2760">
            <w:pPr>
              <w:spacing w:line="360" w:lineRule="exact"/>
              <w:jc w:val="center"/>
              <w:rPr>
                <w:rFonts w:hint="default" w:ascii="Times New Roman" w:hAnsi="Times New Roman" w:eastAsia="宋体" w:cs="Times New Roman"/>
                <w:b/>
                <w:color w:val="auto"/>
                <w:spacing w:val="0"/>
                <w:kern w:val="2"/>
                <w:sz w:val="21"/>
                <w:szCs w:val="22"/>
              </w:rPr>
            </w:pPr>
            <w:r>
              <w:rPr>
                <w:rFonts w:hint="default" w:ascii="Times New Roman" w:hAnsi="Times New Roman" w:eastAsia="宋体" w:cs="Times New Roman"/>
                <w:b/>
                <w:color w:val="auto"/>
                <w:spacing w:val="0"/>
                <w:kern w:val="2"/>
                <w:sz w:val="21"/>
                <w:szCs w:val="22"/>
              </w:rPr>
              <w:t>敏感性</w:t>
            </w:r>
          </w:p>
        </w:tc>
        <w:tc>
          <w:tcPr>
            <w:tcW w:w="4318" w:type="pct"/>
            <w:noWrap w:val="0"/>
            <w:vAlign w:val="center"/>
          </w:tcPr>
          <w:p w14:paraId="6B17F56F">
            <w:pPr>
              <w:spacing w:line="360" w:lineRule="exact"/>
              <w:jc w:val="center"/>
              <w:rPr>
                <w:rFonts w:hint="default" w:ascii="Times New Roman" w:hAnsi="Times New Roman" w:eastAsia="宋体" w:cs="Times New Roman"/>
                <w:b/>
                <w:color w:val="auto"/>
                <w:spacing w:val="0"/>
                <w:kern w:val="2"/>
                <w:sz w:val="21"/>
                <w:szCs w:val="22"/>
              </w:rPr>
            </w:pPr>
            <w:r>
              <w:rPr>
                <w:rFonts w:hint="default" w:ascii="Times New Roman" w:hAnsi="Times New Roman" w:eastAsia="宋体" w:cs="Times New Roman"/>
                <w:b/>
                <w:color w:val="auto"/>
                <w:spacing w:val="0"/>
                <w:kern w:val="2"/>
                <w:sz w:val="21"/>
                <w:szCs w:val="22"/>
              </w:rPr>
              <w:t>地下水环境敏感特征</w:t>
            </w:r>
          </w:p>
        </w:tc>
      </w:tr>
      <w:tr w14:paraId="26D50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681" w:type="pct"/>
            <w:noWrap w:val="0"/>
            <w:vAlign w:val="center"/>
          </w:tcPr>
          <w:p w14:paraId="4B7EDCFD">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敏感G1</w:t>
            </w:r>
          </w:p>
        </w:tc>
        <w:tc>
          <w:tcPr>
            <w:tcW w:w="4318" w:type="pct"/>
            <w:noWrap w:val="0"/>
            <w:vAlign w:val="center"/>
          </w:tcPr>
          <w:p w14:paraId="050EB8E9">
            <w:pPr>
              <w:spacing w:line="360" w:lineRule="exact"/>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14:paraId="2F26B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681" w:type="pct"/>
            <w:noWrap w:val="0"/>
            <w:vAlign w:val="center"/>
          </w:tcPr>
          <w:p w14:paraId="11A89EA7">
            <w:pPr>
              <w:spacing w:line="360" w:lineRule="exact"/>
              <w:jc w:val="center"/>
              <w:rPr>
                <w:rFonts w:hint="default" w:ascii="Times New Roman" w:hAnsi="Times New Roman" w:eastAsia="宋体" w:cs="Times New Roman"/>
                <w:b w:val="0"/>
                <w:bCs/>
                <w:color w:val="auto"/>
                <w:spacing w:val="0"/>
                <w:kern w:val="2"/>
                <w:sz w:val="21"/>
                <w:szCs w:val="22"/>
              </w:rPr>
            </w:pPr>
            <w:r>
              <w:rPr>
                <w:rFonts w:hint="default" w:ascii="Times New Roman" w:hAnsi="Times New Roman" w:eastAsia="宋体" w:cs="Times New Roman"/>
                <w:b w:val="0"/>
                <w:bCs/>
                <w:color w:val="auto"/>
                <w:spacing w:val="0"/>
                <w:kern w:val="2"/>
                <w:sz w:val="21"/>
                <w:szCs w:val="22"/>
              </w:rPr>
              <w:t>较敏感G2</w:t>
            </w:r>
          </w:p>
        </w:tc>
        <w:tc>
          <w:tcPr>
            <w:tcW w:w="4318" w:type="pct"/>
            <w:noWrap w:val="0"/>
            <w:vAlign w:val="center"/>
          </w:tcPr>
          <w:p w14:paraId="32E9E5AF">
            <w:pPr>
              <w:spacing w:line="360" w:lineRule="exact"/>
              <w:rPr>
                <w:rFonts w:hint="default" w:ascii="Times New Roman" w:hAnsi="Times New Roman" w:eastAsia="宋体" w:cs="Times New Roman"/>
                <w:b w:val="0"/>
                <w:bCs/>
                <w:color w:val="auto"/>
                <w:spacing w:val="0"/>
                <w:kern w:val="2"/>
                <w:sz w:val="21"/>
                <w:szCs w:val="22"/>
              </w:rPr>
            </w:pPr>
            <w:r>
              <w:rPr>
                <w:rFonts w:hint="default" w:ascii="Times New Roman" w:hAnsi="Times New Roman" w:eastAsia="宋体" w:cs="Times New Roman"/>
                <w:b w:val="0"/>
                <w:bCs/>
                <w:color w:val="auto"/>
                <w:spacing w:val="0"/>
                <w:kern w:val="2"/>
                <w:sz w:val="21"/>
                <w:szCs w:val="22"/>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a</w:t>
            </w:r>
          </w:p>
        </w:tc>
      </w:tr>
      <w:tr w14:paraId="02584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681" w:type="pct"/>
            <w:noWrap w:val="0"/>
            <w:vAlign w:val="center"/>
          </w:tcPr>
          <w:p w14:paraId="5D21B39F">
            <w:pPr>
              <w:spacing w:line="360" w:lineRule="exact"/>
              <w:rPr>
                <w:rFonts w:hint="default" w:ascii="Times New Roman" w:hAnsi="Times New Roman" w:eastAsia="宋体" w:cs="Times New Roman"/>
                <w:b/>
                <w:bCs/>
                <w:color w:val="auto"/>
                <w:spacing w:val="0"/>
                <w:kern w:val="2"/>
                <w:sz w:val="21"/>
                <w:szCs w:val="22"/>
              </w:rPr>
            </w:pPr>
            <w:r>
              <w:rPr>
                <w:rFonts w:hint="default" w:ascii="Times New Roman" w:hAnsi="Times New Roman" w:eastAsia="宋体" w:cs="Times New Roman"/>
                <w:b w:val="0"/>
                <w:bCs w:val="0"/>
                <w:color w:val="auto"/>
                <w:spacing w:val="0"/>
                <w:kern w:val="2"/>
                <w:sz w:val="21"/>
                <w:szCs w:val="22"/>
              </w:rPr>
              <w:t>不敏感G3</w:t>
            </w:r>
          </w:p>
        </w:tc>
        <w:tc>
          <w:tcPr>
            <w:tcW w:w="4318" w:type="pct"/>
            <w:noWrap w:val="0"/>
            <w:vAlign w:val="center"/>
          </w:tcPr>
          <w:p w14:paraId="22A61411">
            <w:pPr>
              <w:spacing w:line="360" w:lineRule="exact"/>
              <w:rPr>
                <w:rFonts w:hint="default" w:ascii="Times New Roman" w:hAnsi="Times New Roman" w:eastAsia="宋体" w:cs="Times New Roman"/>
                <w:b/>
                <w:bCs/>
                <w:color w:val="auto"/>
                <w:spacing w:val="0"/>
                <w:kern w:val="2"/>
                <w:sz w:val="21"/>
                <w:szCs w:val="22"/>
              </w:rPr>
            </w:pPr>
            <w:r>
              <w:rPr>
                <w:rFonts w:hint="default" w:ascii="Times New Roman" w:hAnsi="Times New Roman" w:eastAsia="宋体" w:cs="Times New Roman"/>
                <w:b w:val="0"/>
                <w:bCs w:val="0"/>
                <w:color w:val="auto"/>
                <w:spacing w:val="0"/>
                <w:kern w:val="2"/>
                <w:sz w:val="21"/>
                <w:szCs w:val="22"/>
              </w:rPr>
              <w:t>上述地区之外的其他地区</w:t>
            </w:r>
          </w:p>
        </w:tc>
      </w:tr>
      <w:tr w14:paraId="5D6AD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5000" w:type="pct"/>
            <w:gridSpan w:val="2"/>
            <w:noWrap w:val="0"/>
            <w:vAlign w:val="center"/>
          </w:tcPr>
          <w:p w14:paraId="6E0A53A7">
            <w:pPr>
              <w:spacing w:line="360" w:lineRule="exact"/>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a“环境敏感区”是指《建设项目环境影响评价分类管理名录》中所界定的涉及地下水的环境敏感区</w:t>
            </w:r>
          </w:p>
        </w:tc>
      </w:tr>
    </w:tbl>
    <w:p w14:paraId="41B0790D">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color w:val="auto"/>
          <w:spacing w:val="0"/>
          <w:kern w:val="2"/>
          <w:sz w:val="24"/>
          <w:szCs w:val="24"/>
        </w:rPr>
      </w:pPr>
      <w:r>
        <w:rPr>
          <w:rFonts w:hint="default" w:ascii="Times New Roman" w:hAnsi="Times New Roman" w:eastAsia="宋体" w:cs="Times New Roman"/>
          <w:b/>
          <w:color w:val="auto"/>
          <w:spacing w:val="0"/>
          <w:kern w:val="0"/>
          <w:sz w:val="21"/>
          <w:szCs w:val="21"/>
        </w:rPr>
        <w:t>表</w:t>
      </w:r>
      <w:r>
        <w:rPr>
          <w:rFonts w:hint="default" w:ascii="Times New Roman" w:hAnsi="Times New Roman" w:eastAsia="宋体" w:cs="Times New Roman"/>
          <w:b/>
          <w:color w:val="auto"/>
          <w:spacing w:val="0"/>
          <w:kern w:val="0"/>
          <w:sz w:val="21"/>
          <w:szCs w:val="21"/>
          <w:lang w:val="en-US" w:eastAsia="zh-CN"/>
        </w:rPr>
        <w:t>2.4-6</w:t>
      </w:r>
      <w:r>
        <w:rPr>
          <w:rFonts w:hint="default" w:ascii="Times New Roman" w:hAnsi="Times New Roman" w:eastAsia="宋体" w:cs="Times New Roman"/>
          <w:b/>
          <w:color w:val="auto"/>
          <w:spacing w:val="0"/>
          <w:kern w:val="0"/>
          <w:sz w:val="21"/>
          <w:szCs w:val="21"/>
        </w:rPr>
        <w:t xml:space="preserve">  包气带防污性能分级</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7501"/>
      </w:tblGrid>
      <w:tr w14:paraId="27B08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599" w:type="pct"/>
            <w:noWrap w:val="0"/>
            <w:vAlign w:val="center"/>
          </w:tcPr>
          <w:p w14:paraId="115062E9">
            <w:pPr>
              <w:spacing w:line="360" w:lineRule="exact"/>
              <w:jc w:val="center"/>
              <w:rPr>
                <w:rFonts w:hint="default" w:ascii="Times New Roman" w:hAnsi="Times New Roman" w:eastAsia="宋体" w:cs="Times New Roman"/>
                <w:b/>
                <w:color w:val="auto"/>
                <w:spacing w:val="0"/>
                <w:kern w:val="2"/>
                <w:sz w:val="21"/>
                <w:szCs w:val="22"/>
              </w:rPr>
            </w:pPr>
            <w:r>
              <w:rPr>
                <w:rFonts w:hint="default" w:ascii="Times New Roman" w:hAnsi="Times New Roman" w:eastAsia="宋体" w:cs="Times New Roman"/>
                <w:b/>
                <w:color w:val="auto"/>
                <w:spacing w:val="0"/>
                <w:kern w:val="2"/>
                <w:sz w:val="21"/>
                <w:szCs w:val="22"/>
              </w:rPr>
              <w:t>分级</w:t>
            </w:r>
          </w:p>
        </w:tc>
        <w:tc>
          <w:tcPr>
            <w:tcW w:w="4401" w:type="pct"/>
            <w:noWrap w:val="0"/>
            <w:vAlign w:val="center"/>
          </w:tcPr>
          <w:p w14:paraId="2AAE2FE3">
            <w:pPr>
              <w:spacing w:line="360" w:lineRule="exact"/>
              <w:jc w:val="center"/>
              <w:rPr>
                <w:rFonts w:hint="default" w:ascii="Times New Roman" w:hAnsi="Times New Roman" w:eastAsia="宋体" w:cs="Times New Roman"/>
                <w:b/>
                <w:color w:val="auto"/>
                <w:spacing w:val="0"/>
                <w:kern w:val="2"/>
                <w:sz w:val="21"/>
                <w:szCs w:val="22"/>
              </w:rPr>
            </w:pPr>
            <w:r>
              <w:rPr>
                <w:rFonts w:hint="default" w:ascii="Times New Roman" w:hAnsi="Times New Roman" w:eastAsia="宋体" w:cs="Times New Roman"/>
                <w:b/>
                <w:color w:val="auto"/>
                <w:spacing w:val="0"/>
                <w:kern w:val="2"/>
                <w:sz w:val="21"/>
                <w:szCs w:val="22"/>
              </w:rPr>
              <w:t>包气带岩土的渗透性能</w:t>
            </w:r>
          </w:p>
        </w:tc>
      </w:tr>
      <w:tr w14:paraId="7D26C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599" w:type="pct"/>
            <w:noWrap w:val="0"/>
            <w:vAlign w:val="center"/>
          </w:tcPr>
          <w:p w14:paraId="577088E6">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D3</w:t>
            </w:r>
          </w:p>
        </w:tc>
        <w:tc>
          <w:tcPr>
            <w:tcW w:w="4401" w:type="pct"/>
            <w:noWrap w:val="0"/>
            <w:vAlign w:val="center"/>
          </w:tcPr>
          <w:p w14:paraId="23FDF0FE">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Mb≥1.0m，K≤1.0×10</w:t>
            </w:r>
            <w:r>
              <w:rPr>
                <w:rFonts w:hint="default" w:ascii="Times New Roman" w:hAnsi="Times New Roman" w:eastAsia="宋体" w:cs="Times New Roman"/>
                <w:color w:val="auto"/>
                <w:spacing w:val="0"/>
                <w:kern w:val="2"/>
                <w:sz w:val="21"/>
                <w:szCs w:val="22"/>
                <w:vertAlign w:val="superscript"/>
              </w:rPr>
              <w:t>-6</w:t>
            </w:r>
            <w:r>
              <w:rPr>
                <w:rFonts w:hint="default" w:ascii="Times New Roman" w:hAnsi="Times New Roman" w:eastAsia="宋体" w:cs="Times New Roman"/>
                <w:color w:val="auto"/>
                <w:spacing w:val="0"/>
                <w:kern w:val="2"/>
                <w:sz w:val="21"/>
                <w:szCs w:val="22"/>
              </w:rPr>
              <w:t>cm/s，且分布连续、稳定</w:t>
            </w:r>
          </w:p>
        </w:tc>
      </w:tr>
      <w:tr w14:paraId="3103F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599" w:type="pct"/>
            <w:noWrap w:val="0"/>
            <w:vAlign w:val="center"/>
          </w:tcPr>
          <w:p w14:paraId="0116071F">
            <w:pPr>
              <w:spacing w:line="360" w:lineRule="exact"/>
              <w:jc w:val="center"/>
              <w:rPr>
                <w:rFonts w:hint="default" w:ascii="Times New Roman" w:hAnsi="Times New Roman" w:eastAsia="宋体" w:cs="Times New Roman"/>
                <w:b w:val="0"/>
                <w:bCs/>
                <w:color w:val="auto"/>
                <w:spacing w:val="0"/>
                <w:kern w:val="2"/>
                <w:sz w:val="21"/>
                <w:szCs w:val="22"/>
              </w:rPr>
            </w:pPr>
            <w:r>
              <w:rPr>
                <w:rFonts w:hint="default" w:ascii="Times New Roman" w:hAnsi="Times New Roman" w:eastAsia="宋体" w:cs="Times New Roman"/>
                <w:b w:val="0"/>
                <w:bCs/>
                <w:color w:val="auto"/>
                <w:spacing w:val="0"/>
                <w:kern w:val="2"/>
                <w:sz w:val="21"/>
                <w:szCs w:val="22"/>
              </w:rPr>
              <w:t>D2</w:t>
            </w:r>
          </w:p>
        </w:tc>
        <w:tc>
          <w:tcPr>
            <w:tcW w:w="4401" w:type="pct"/>
            <w:noWrap w:val="0"/>
            <w:vAlign w:val="center"/>
          </w:tcPr>
          <w:p w14:paraId="239BA14E">
            <w:pPr>
              <w:spacing w:line="360" w:lineRule="exact"/>
              <w:jc w:val="center"/>
              <w:rPr>
                <w:rFonts w:hint="default" w:ascii="Times New Roman" w:hAnsi="Times New Roman" w:eastAsia="宋体" w:cs="Times New Roman"/>
                <w:b w:val="0"/>
                <w:bCs/>
                <w:color w:val="auto"/>
                <w:spacing w:val="0"/>
                <w:kern w:val="2"/>
                <w:sz w:val="21"/>
                <w:szCs w:val="22"/>
              </w:rPr>
            </w:pPr>
            <w:r>
              <w:rPr>
                <w:rFonts w:hint="default" w:ascii="Times New Roman" w:hAnsi="Times New Roman" w:eastAsia="宋体" w:cs="Times New Roman"/>
                <w:b w:val="0"/>
                <w:bCs/>
                <w:color w:val="auto"/>
                <w:spacing w:val="0"/>
                <w:kern w:val="2"/>
                <w:sz w:val="21"/>
                <w:szCs w:val="22"/>
              </w:rPr>
              <w:t>0.5m≤Mb&lt;1.0m，K≤1.0×10</w:t>
            </w:r>
            <w:r>
              <w:rPr>
                <w:rFonts w:hint="default" w:ascii="Times New Roman" w:hAnsi="Times New Roman" w:eastAsia="宋体" w:cs="Times New Roman"/>
                <w:b w:val="0"/>
                <w:bCs/>
                <w:color w:val="auto"/>
                <w:spacing w:val="0"/>
                <w:kern w:val="2"/>
                <w:sz w:val="21"/>
                <w:szCs w:val="22"/>
                <w:vertAlign w:val="superscript"/>
              </w:rPr>
              <w:t>-6</w:t>
            </w:r>
            <w:r>
              <w:rPr>
                <w:rFonts w:hint="default" w:ascii="Times New Roman" w:hAnsi="Times New Roman" w:eastAsia="宋体" w:cs="Times New Roman"/>
                <w:b w:val="0"/>
                <w:bCs/>
                <w:color w:val="auto"/>
                <w:spacing w:val="0"/>
                <w:kern w:val="2"/>
                <w:sz w:val="21"/>
                <w:szCs w:val="22"/>
              </w:rPr>
              <w:t>cm/s，且分布连续、稳定；Mb≥1.0m，1.0×10</w:t>
            </w:r>
            <w:r>
              <w:rPr>
                <w:rFonts w:hint="default" w:ascii="Times New Roman" w:hAnsi="Times New Roman" w:eastAsia="宋体" w:cs="Times New Roman"/>
                <w:b w:val="0"/>
                <w:bCs/>
                <w:color w:val="auto"/>
                <w:spacing w:val="0"/>
                <w:kern w:val="2"/>
                <w:sz w:val="21"/>
                <w:szCs w:val="22"/>
                <w:vertAlign w:val="superscript"/>
              </w:rPr>
              <w:t>-6</w:t>
            </w:r>
            <w:r>
              <w:rPr>
                <w:rFonts w:hint="default" w:ascii="Times New Roman" w:hAnsi="Times New Roman" w:eastAsia="宋体" w:cs="Times New Roman"/>
                <w:b w:val="0"/>
                <w:bCs/>
                <w:color w:val="auto"/>
                <w:spacing w:val="0"/>
                <w:kern w:val="2"/>
                <w:sz w:val="21"/>
                <w:szCs w:val="22"/>
              </w:rPr>
              <w:t>cm/s＜K≤1.0×10</w:t>
            </w:r>
            <w:r>
              <w:rPr>
                <w:rFonts w:hint="default" w:ascii="Times New Roman" w:hAnsi="Times New Roman" w:eastAsia="宋体" w:cs="Times New Roman"/>
                <w:b w:val="0"/>
                <w:bCs/>
                <w:color w:val="auto"/>
                <w:spacing w:val="0"/>
                <w:kern w:val="2"/>
                <w:sz w:val="21"/>
                <w:szCs w:val="22"/>
                <w:vertAlign w:val="superscript"/>
              </w:rPr>
              <w:t>-4</w:t>
            </w:r>
            <w:r>
              <w:rPr>
                <w:rFonts w:hint="default" w:ascii="Times New Roman" w:hAnsi="Times New Roman" w:eastAsia="宋体" w:cs="Times New Roman"/>
                <w:b w:val="0"/>
                <w:bCs/>
                <w:color w:val="auto"/>
                <w:spacing w:val="0"/>
                <w:kern w:val="2"/>
                <w:sz w:val="21"/>
                <w:szCs w:val="22"/>
              </w:rPr>
              <w:t>cm/s，且分布连续、稳定</w:t>
            </w:r>
          </w:p>
        </w:tc>
      </w:tr>
      <w:tr w14:paraId="58957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tblHeader/>
        </w:trPr>
        <w:tc>
          <w:tcPr>
            <w:tcW w:w="599" w:type="pct"/>
            <w:noWrap w:val="0"/>
            <w:vAlign w:val="center"/>
          </w:tcPr>
          <w:p w14:paraId="2CDAC843">
            <w:pPr>
              <w:spacing w:line="360" w:lineRule="exact"/>
              <w:jc w:val="center"/>
              <w:rPr>
                <w:rFonts w:hint="default" w:ascii="Times New Roman" w:hAnsi="Times New Roman" w:eastAsia="宋体" w:cs="Times New Roman"/>
                <w:b w:val="0"/>
                <w:bCs w:val="0"/>
                <w:color w:val="auto"/>
                <w:spacing w:val="0"/>
                <w:kern w:val="2"/>
                <w:sz w:val="21"/>
                <w:szCs w:val="22"/>
              </w:rPr>
            </w:pPr>
            <w:r>
              <w:rPr>
                <w:rFonts w:hint="default" w:ascii="Times New Roman" w:hAnsi="Times New Roman" w:eastAsia="宋体" w:cs="Times New Roman"/>
                <w:b w:val="0"/>
                <w:bCs w:val="0"/>
                <w:color w:val="auto"/>
                <w:spacing w:val="0"/>
                <w:kern w:val="2"/>
                <w:sz w:val="21"/>
                <w:szCs w:val="22"/>
              </w:rPr>
              <w:t>D1</w:t>
            </w:r>
          </w:p>
        </w:tc>
        <w:tc>
          <w:tcPr>
            <w:tcW w:w="4401" w:type="pct"/>
            <w:noWrap w:val="0"/>
            <w:vAlign w:val="center"/>
          </w:tcPr>
          <w:p w14:paraId="306B4938">
            <w:pPr>
              <w:spacing w:line="360" w:lineRule="exact"/>
              <w:jc w:val="center"/>
              <w:rPr>
                <w:rFonts w:hint="default" w:ascii="Times New Roman" w:hAnsi="Times New Roman" w:eastAsia="宋体" w:cs="Times New Roman"/>
                <w:b w:val="0"/>
                <w:bCs w:val="0"/>
                <w:color w:val="auto"/>
                <w:spacing w:val="0"/>
                <w:kern w:val="2"/>
                <w:sz w:val="21"/>
                <w:szCs w:val="22"/>
              </w:rPr>
            </w:pPr>
            <w:r>
              <w:rPr>
                <w:rFonts w:hint="default" w:ascii="Times New Roman" w:hAnsi="Times New Roman" w:eastAsia="宋体" w:cs="Times New Roman"/>
                <w:b w:val="0"/>
                <w:bCs w:val="0"/>
                <w:color w:val="auto"/>
                <w:spacing w:val="0"/>
                <w:kern w:val="2"/>
                <w:sz w:val="21"/>
                <w:szCs w:val="22"/>
              </w:rPr>
              <w:t>岩（土）层不满足上述“D2”和“D3”条件</w:t>
            </w:r>
          </w:p>
        </w:tc>
      </w:tr>
      <w:tr w14:paraId="33294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5000" w:type="pct"/>
            <w:gridSpan w:val="2"/>
            <w:noWrap w:val="0"/>
            <w:vAlign w:val="center"/>
          </w:tcPr>
          <w:p w14:paraId="5BF9D8CE">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Mb：岩土层单层厚度；K：渗透系数</w:t>
            </w:r>
          </w:p>
        </w:tc>
      </w:tr>
    </w:tbl>
    <w:p w14:paraId="395DA0D9">
      <w:pPr>
        <w:keepNext w:val="0"/>
        <w:keepLines w:val="0"/>
        <w:pageBreakBefore w:val="0"/>
        <w:widowControl w:val="0"/>
        <w:kinsoku w:val="0"/>
        <w:wordWrap/>
        <w:overflowPunct w:val="0"/>
        <w:topLinePunct w:val="0"/>
        <w:autoSpaceDE w:val="0"/>
        <w:autoSpaceDN w:val="0"/>
        <w:bidi w:val="0"/>
        <w:adjustRightInd w:val="0"/>
        <w:snapToGrid/>
        <w:spacing w:before="27" w:line="360" w:lineRule="auto"/>
        <w:ind w:left="0"/>
        <w:jc w:val="center"/>
        <w:textAlignment w:val="auto"/>
        <w:rPr>
          <w:rFonts w:hint="default" w:ascii="Times New Roman" w:hAnsi="Times New Roman" w:eastAsia="宋体" w:cs="Times New Roman"/>
          <w:b/>
          <w:color w:val="auto"/>
          <w:spacing w:val="0"/>
          <w:kern w:val="0"/>
          <w:sz w:val="24"/>
          <w:szCs w:val="24"/>
        </w:rPr>
      </w:pPr>
      <w:r>
        <w:rPr>
          <w:rFonts w:hint="default" w:ascii="Times New Roman" w:hAnsi="Times New Roman" w:eastAsia="宋体" w:cs="Times New Roman"/>
          <w:b/>
          <w:color w:val="auto"/>
          <w:spacing w:val="0"/>
          <w:kern w:val="0"/>
          <w:sz w:val="21"/>
          <w:szCs w:val="21"/>
        </w:rPr>
        <w:t>表</w:t>
      </w:r>
      <w:r>
        <w:rPr>
          <w:rFonts w:hint="default" w:ascii="Times New Roman" w:hAnsi="Times New Roman" w:eastAsia="宋体" w:cs="Times New Roman"/>
          <w:b/>
          <w:color w:val="auto"/>
          <w:spacing w:val="-1"/>
          <w:kern w:val="0"/>
          <w:sz w:val="21"/>
          <w:szCs w:val="21"/>
          <w:lang w:val="en-US" w:eastAsia="zh-CN"/>
        </w:rPr>
        <w:t>2.4-7</w:t>
      </w:r>
      <w:r>
        <w:rPr>
          <w:rFonts w:hint="default" w:ascii="Times New Roman" w:hAnsi="Times New Roman" w:eastAsia="宋体" w:cs="Times New Roman"/>
          <w:b/>
          <w:color w:val="auto"/>
          <w:spacing w:val="-1"/>
          <w:kern w:val="0"/>
          <w:sz w:val="21"/>
          <w:szCs w:val="21"/>
        </w:rPr>
        <w:t xml:space="preserve">  </w:t>
      </w:r>
      <w:r>
        <w:rPr>
          <w:rFonts w:hint="default" w:ascii="Times New Roman" w:hAnsi="Times New Roman" w:eastAsia="宋体" w:cs="Times New Roman"/>
          <w:b/>
          <w:color w:val="auto"/>
          <w:spacing w:val="0"/>
          <w:kern w:val="0"/>
          <w:sz w:val="21"/>
          <w:szCs w:val="21"/>
        </w:rPr>
        <w:t>地下水环境敏感程度分级</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0"/>
        <w:gridCol w:w="2009"/>
        <w:gridCol w:w="2192"/>
        <w:gridCol w:w="1991"/>
      </w:tblGrid>
      <w:tr w14:paraId="10E6A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367" w:type="pct"/>
            <w:vMerge w:val="restart"/>
            <w:noWrap w:val="0"/>
            <w:vAlign w:val="center"/>
          </w:tcPr>
          <w:p w14:paraId="287792B1">
            <w:pPr>
              <w:spacing w:line="360" w:lineRule="exact"/>
              <w:jc w:val="center"/>
              <w:rPr>
                <w:rFonts w:hint="default" w:ascii="Times New Roman" w:hAnsi="Times New Roman" w:eastAsia="宋体" w:cs="Times New Roman"/>
                <w:b/>
                <w:color w:val="auto"/>
                <w:spacing w:val="0"/>
                <w:kern w:val="2"/>
                <w:sz w:val="21"/>
                <w:szCs w:val="22"/>
              </w:rPr>
            </w:pPr>
            <w:r>
              <w:rPr>
                <w:rFonts w:hint="default" w:ascii="Times New Roman" w:hAnsi="Times New Roman" w:eastAsia="宋体" w:cs="Times New Roman"/>
                <w:b/>
                <w:color w:val="auto"/>
                <w:spacing w:val="0"/>
                <w:kern w:val="2"/>
                <w:sz w:val="21"/>
                <w:szCs w:val="22"/>
              </w:rPr>
              <w:t>包气带防污性能</w:t>
            </w:r>
          </w:p>
        </w:tc>
        <w:tc>
          <w:tcPr>
            <w:tcW w:w="3633" w:type="pct"/>
            <w:gridSpan w:val="3"/>
            <w:noWrap w:val="0"/>
            <w:vAlign w:val="center"/>
          </w:tcPr>
          <w:p w14:paraId="32E2319B">
            <w:pPr>
              <w:spacing w:line="360" w:lineRule="exact"/>
              <w:jc w:val="center"/>
              <w:rPr>
                <w:rFonts w:hint="default" w:ascii="Times New Roman" w:hAnsi="Times New Roman" w:eastAsia="宋体" w:cs="Times New Roman"/>
                <w:b/>
                <w:color w:val="auto"/>
                <w:spacing w:val="0"/>
                <w:kern w:val="2"/>
                <w:sz w:val="21"/>
                <w:szCs w:val="22"/>
              </w:rPr>
            </w:pPr>
            <w:r>
              <w:rPr>
                <w:rFonts w:hint="default" w:ascii="Times New Roman" w:hAnsi="Times New Roman" w:eastAsia="宋体" w:cs="Times New Roman"/>
                <w:b/>
                <w:color w:val="auto"/>
                <w:spacing w:val="0"/>
                <w:kern w:val="2"/>
                <w:sz w:val="21"/>
                <w:szCs w:val="22"/>
              </w:rPr>
              <w:t>地下水功能敏感性</w:t>
            </w:r>
          </w:p>
        </w:tc>
      </w:tr>
      <w:tr w14:paraId="3FCAB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367" w:type="pct"/>
            <w:vMerge w:val="continue"/>
            <w:noWrap w:val="0"/>
            <w:vAlign w:val="center"/>
          </w:tcPr>
          <w:p w14:paraId="48D7F44C">
            <w:pPr>
              <w:spacing w:line="360" w:lineRule="exact"/>
              <w:jc w:val="center"/>
              <w:rPr>
                <w:rFonts w:hint="default" w:ascii="Times New Roman" w:hAnsi="Times New Roman" w:eastAsia="宋体" w:cs="Times New Roman"/>
                <w:color w:val="auto"/>
                <w:spacing w:val="0"/>
                <w:kern w:val="2"/>
                <w:sz w:val="21"/>
                <w:szCs w:val="22"/>
              </w:rPr>
            </w:pPr>
          </w:p>
        </w:tc>
        <w:tc>
          <w:tcPr>
            <w:tcW w:w="1179" w:type="pct"/>
            <w:noWrap w:val="0"/>
            <w:vAlign w:val="center"/>
          </w:tcPr>
          <w:p w14:paraId="0FEEAB73">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G1</w:t>
            </w:r>
          </w:p>
        </w:tc>
        <w:tc>
          <w:tcPr>
            <w:tcW w:w="1286" w:type="pct"/>
            <w:noWrap w:val="0"/>
            <w:vAlign w:val="center"/>
          </w:tcPr>
          <w:p w14:paraId="6E4FC33E">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G2</w:t>
            </w:r>
          </w:p>
        </w:tc>
        <w:tc>
          <w:tcPr>
            <w:tcW w:w="1168" w:type="pct"/>
            <w:noWrap w:val="0"/>
            <w:vAlign w:val="center"/>
          </w:tcPr>
          <w:p w14:paraId="699FC19D">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G3</w:t>
            </w:r>
          </w:p>
        </w:tc>
      </w:tr>
      <w:tr w14:paraId="5CCCE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367" w:type="pct"/>
            <w:noWrap w:val="0"/>
            <w:vAlign w:val="center"/>
          </w:tcPr>
          <w:p w14:paraId="3D90C78A">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D1</w:t>
            </w:r>
          </w:p>
        </w:tc>
        <w:tc>
          <w:tcPr>
            <w:tcW w:w="1179" w:type="pct"/>
            <w:noWrap w:val="0"/>
            <w:vAlign w:val="center"/>
          </w:tcPr>
          <w:p w14:paraId="3621C084">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E1</w:t>
            </w:r>
          </w:p>
        </w:tc>
        <w:tc>
          <w:tcPr>
            <w:tcW w:w="1286" w:type="pct"/>
            <w:noWrap w:val="0"/>
            <w:vAlign w:val="center"/>
          </w:tcPr>
          <w:p w14:paraId="42D9D3FB">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E1</w:t>
            </w:r>
          </w:p>
        </w:tc>
        <w:tc>
          <w:tcPr>
            <w:tcW w:w="1168" w:type="pct"/>
            <w:noWrap w:val="0"/>
            <w:vAlign w:val="center"/>
          </w:tcPr>
          <w:p w14:paraId="77C19FD5">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b w:val="0"/>
                <w:bCs w:val="0"/>
                <w:color w:val="auto"/>
                <w:spacing w:val="0"/>
                <w:kern w:val="2"/>
                <w:sz w:val="21"/>
                <w:szCs w:val="22"/>
              </w:rPr>
              <w:t>E2</w:t>
            </w:r>
          </w:p>
        </w:tc>
      </w:tr>
      <w:tr w14:paraId="34570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367" w:type="pct"/>
            <w:noWrap w:val="0"/>
            <w:vAlign w:val="center"/>
          </w:tcPr>
          <w:p w14:paraId="63B04FF6">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D2</w:t>
            </w:r>
          </w:p>
        </w:tc>
        <w:tc>
          <w:tcPr>
            <w:tcW w:w="1179" w:type="pct"/>
            <w:noWrap w:val="0"/>
            <w:vAlign w:val="center"/>
          </w:tcPr>
          <w:p w14:paraId="3FC55755">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E1</w:t>
            </w:r>
          </w:p>
        </w:tc>
        <w:tc>
          <w:tcPr>
            <w:tcW w:w="1286" w:type="pct"/>
            <w:noWrap w:val="0"/>
            <w:vAlign w:val="center"/>
          </w:tcPr>
          <w:p w14:paraId="2CA74523">
            <w:pPr>
              <w:spacing w:line="360" w:lineRule="exact"/>
              <w:jc w:val="center"/>
              <w:rPr>
                <w:rFonts w:hint="default" w:ascii="Times New Roman" w:hAnsi="Times New Roman" w:eastAsia="宋体" w:cs="Times New Roman"/>
                <w:b/>
                <w:color w:val="auto"/>
                <w:spacing w:val="0"/>
                <w:kern w:val="2"/>
                <w:sz w:val="21"/>
                <w:szCs w:val="22"/>
              </w:rPr>
            </w:pPr>
            <w:r>
              <w:rPr>
                <w:rFonts w:hint="default" w:ascii="Times New Roman" w:hAnsi="Times New Roman" w:eastAsia="宋体" w:cs="Times New Roman"/>
                <w:b w:val="0"/>
                <w:bCs/>
                <w:color w:val="auto"/>
                <w:spacing w:val="0"/>
                <w:kern w:val="2"/>
                <w:sz w:val="21"/>
                <w:szCs w:val="22"/>
              </w:rPr>
              <w:t>E2</w:t>
            </w:r>
          </w:p>
        </w:tc>
        <w:tc>
          <w:tcPr>
            <w:tcW w:w="1168" w:type="pct"/>
            <w:noWrap w:val="0"/>
            <w:vAlign w:val="center"/>
          </w:tcPr>
          <w:p w14:paraId="133A67A7">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E3</w:t>
            </w:r>
          </w:p>
        </w:tc>
      </w:tr>
      <w:tr w14:paraId="531EF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trPr>
        <w:tc>
          <w:tcPr>
            <w:tcW w:w="1367" w:type="pct"/>
            <w:noWrap w:val="0"/>
            <w:vAlign w:val="center"/>
          </w:tcPr>
          <w:p w14:paraId="1E72B4F3">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D3</w:t>
            </w:r>
          </w:p>
        </w:tc>
        <w:tc>
          <w:tcPr>
            <w:tcW w:w="1179" w:type="pct"/>
            <w:noWrap w:val="0"/>
            <w:vAlign w:val="center"/>
          </w:tcPr>
          <w:p w14:paraId="66A8C562">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E2</w:t>
            </w:r>
          </w:p>
        </w:tc>
        <w:tc>
          <w:tcPr>
            <w:tcW w:w="1286" w:type="pct"/>
            <w:noWrap w:val="0"/>
            <w:vAlign w:val="center"/>
          </w:tcPr>
          <w:p w14:paraId="359D651B">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E3</w:t>
            </w:r>
          </w:p>
        </w:tc>
        <w:tc>
          <w:tcPr>
            <w:tcW w:w="1168" w:type="pct"/>
            <w:noWrap w:val="0"/>
            <w:vAlign w:val="center"/>
          </w:tcPr>
          <w:p w14:paraId="512AE970">
            <w:pPr>
              <w:spacing w:line="360" w:lineRule="exact"/>
              <w:jc w:val="center"/>
              <w:rPr>
                <w:rFonts w:hint="default" w:ascii="Times New Roman" w:hAnsi="Times New Roman" w:eastAsia="宋体" w:cs="Times New Roman"/>
                <w:color w:val="auto"/>
                <w:spacing w:val="0"/>
                <w:kern w:val="2"/>
                <w:sz w:val="21"/>
                <w:szCs w:val="22"/>
              </w:rPr>
            </w:pPr>
            <w:r>
              <w:rPr>
                <w:rFonts w:hint="default" w:ascii="Times New Roman" w:hAnsi="Times New Roman" w:eastAsia="宋体" w:cs="Times New Roman"/>
                <w:color w:val="auto"/>
                <w:spacing w:val="0"/>
                <w:kern w:val="2"/>
                <w:sz w:val="21"/>
                <w:szCs w:val="22"/>
              </w:rPr>
              <w:t>E3</w:t>
            </w:r>
          </w:p>
        </w:tc>
      </w:tr>
    </w:tbl>
    <w:p w14:paraId="136AA940">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kern w:val="2"/>
          <w:sz w:val="24"/>
          <w:szCs w:val="24"/>
          <w:lang w:val="en-US" w:eastAsia="zh-CN"/>
        </w:rPr>
      </w:pPr>
      <w:r>
        <w:rPr>
          <w:rFonts w:hint="default" w:ascii="Times New Roman" w:hAnsi="Times New Roman" w:eastAsia="宋体" w:cs="Times New Roman"/>
          <w:color w:val="auto"/>
          <w:spacing w:val="0"/>
          <w:kern w:val="2"/>
          <w:sz w:val="24"/>
          <w:szCs w:val="24"/>
        </w:rPr>
        <w:t>本项目</w:t>
      </w:r>
      <w:r>
        <w:rPr>
          <w:rFonts w:hint="default" w:ascii="Times New Roman" w:hAnsi="Times New Roman" w:eastAsia="宋体" w:cs="Times New Roman"/>
          <w:color w:val="auto"/>
          <w:spacing w:val="0"/>
          <w:kern w:val="2"/>
          <w:sz w:val="24"/>
          <w:szCs w:val="24"/>
          <w:lang w:val="en-US" w:eastAsia="zh-CN"/>
        </w:rPr>
        <w:t>评价范围内不存在分散水饮用水井，</w:t>
      </w:r>
      <w:r>
        <w:rPr>
          <w:rFonts w:hint="default" w:ascii="Times New Roman" w:hAnsi="Times New Roman" w:cs="Times New Roman"/>
          <w:color w:val="auto"/>
          <w:spacing w:val="0"/>
          <w:kern w:val="2"/>
          <w:sz w:val="24"/>
          <w:szCs w:val="24"/>
          <w:lang w:val="en-US" w:eastAsia="zh-CN"/>
        </w:rPr>
        <w:t>环境敏感特性为G3，包气带防污性能为D1，</w:t>
      </w:r>
      <w:r>
        <w:rPr>
          <w:rFonts w:hint="default" w:ascii="Times New Roman" w:hAnsi="Times New Roman" w:eastAsia="宋体" w:cs="Times New Roman"/>
          <w:color w:val="auto"/>
          <w:spacing w:val="0"/>
          <w:kern w:val="2"/>
          <w:sz w:val="24"/>
          <w:szCs w:val="24"/>
          <w:lang w:val="en-US" w:eastAsia="zh-CN"/>
        </w:rPr>
        <w:t>最终确定地下水敏感程度为E2。</w:t>
      </w:r>
    </w:p>
    <w:p w14:paraId="6902CBDA">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8"/>
          <w:szCs w:val="24"/>
          <w:lang w:val="en-US" w:eastAsia="zh-CN" w:bidi="ar-SA"/>
        </w:rPr>
      </w:pPr>
      <w:r>
        <w:rPr>
          <w:rFonts w:hint="default" w:ascii="Times New Roman" w:hAnsi="Times New Roman" w:eastAsia="宋体" w:cs="Times New Roman"/>
          <w:b w:val="0"/>
          <w:color w:val="auto"/>
          <w:kern w:val="2"/>
          <w:sz w:val="28"/>
          <w:szCs w:val="24"/>
          <w:lang w:val="en-US" w:eastAsia="zh-CN" w:bidi="ar-SA"/>
        </w:rPr>
        <w:t>建设项目环境风险潜势判断</w:t>
      </w:r>
    </w:p>
    <w:p w14:paraId="10D176E2">
      <w:pPr>
        <w:pStyle w:val="58"/>
        <w:bidi w:val="0"/>
        <w:rPr>
          <w:rFonts w:hint="default" w:ascii="Times New Roman" w:hAnsi="Times New Roman" w:eastAsia="宋体" w:cs="Times New Roman"/>
          <w:color w:val="auto"/>
          <w:spacing w:val="0"/>
          <w:kern w:val="2"/>
          <w:sz w:val="24"/>
          <w:szCs w:val="24"/>
        </w:rPr>
      </w:pPr>
      <w:r>
        <w:rPr>
          <w:rFonts w:hint="default" w:ascii="Times New Roman" w:hAnsi="Times New Roman" w:eastAsia="宋体" w:cs="Times New Roman"/>
          <w:color w:val="auto"/>
          <w:spacing w:val="0"/>
          <w:kern w:val="2"/>
          <w:sz w:val="24"/>
          <w:szCs w:val="24"/>
        </w:rPr>
        <w:t>按照《建设项目环境风险评价技术导则》（HJ169-2018），建设项目环境风险潜势划分为Ⅰ、Ⅱ、Ⅲ、Ⅳ/Ⅳ</w:t>
      </w:r>
      <w:r>
        <w:rPr>
          <w:rFonts w:hint="default" w:ascii="Times New Roman" w:hAnsi="Times New Roman" w:eastAsia="宋体" w:cs="Times New Roman"/>
          <w:color w:val="auto"/>
          <w:spacing w:val="0"/>
          <w:kern w:val="2"/>
          <w:sz w:val="24"/>
          <w:szCs w:val="24"/>
          <w:vertAlign w:val="superscript"/>
        </w:rPr>
        <w:t>+</w:t>
      </w:r>
      <w:r>
        <w:rPr>
          <w:rFonts w:hint="default" w:ascii="Times New Roman" w:hAnsi="Times New Roman" w:eastAsia="宋体" w:cs="Times New Roman"/>
          <w:color w:val="auto"/>
          <w:spacing w:val="0"/>
          <w:kern w:val="2"/>
          <w:sz w:val="24"/>
          <w:szCs w:val="24"/>
        </w:rPr>
        <w:t>级。建设项目环境风险潜势划分依据，见表</w:t>
      </w:r>
      <w:r>
        <w:rPr>
          <w:rFonts w:hint="default" w:ascii="Times New Roman" w:hAnsi="Times New Roman" w:eastAsia="宋体" w:cs="Times New Roman"/>
          <w:color w:val="auto"/>
          <w:spacing w:val="0"/>
          <w:kern w:val="2"/>
          <w:sz w:val="24"/>
          <w:szCs w:val="24"/>
          <w:lang w:val="en-US" w:eastAsia="zh-CN"/>
        </w:rPr>
        <w:t>2.4-8</w:t>
      </w:r>
      <w:r>
        <w:rPr>
          <w:rFonts w:hint="default" w:ascii="Times New Roman" w:hAnsi="Times New Roman" w:eastAsia="宋体" w:cs="Times New Roman"/>
          <w:color w:val="auto"/>
          <w:spacing w:val="0"/>
          <w:kern w:val="2"/>
          <w:sz w:val="24"/>
          <w:szCs w:val="24"/>
        </w:rPr>
        <w:t>。</w:t>
      </w:r>
    </w:p>
    <w:p w14:paraId="3E9B644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kern w:val="2"/>
          <w:sz w:val="24"/>
          <w:szCs w:val="21"/>
        </w:rPr>
      </w:pPr>
      <w:r>
        <w:rPr>
          <w:rFonts w:hint="default" w:ascii="Times New Roman" w:hAnsi="Times New Roman" w:eastAsia="宋体" w:cs="Times New Roman"/>
          <w:b/>
          <w:color w:val="auto"/>
          <w:kern w:val="2"/>
          <w:sz w:val="21"/>
          <w:szCs w:val="21"/>
        </w:rPr>
        <w:t>表</w:t>
      </w:r>
      <w:r>
        <w:rPr>
          <w:rFonts w:hint="default" w:ascii="Times New Roman" w:hAnsi="Times New Roman" w:eastAsia="宋体" w:cs="Times New Roman"/>
          <w:b/>
          <w:color w:val="auto"/>
          <w:kern w:val="2"/>
          <w:sz w:val="21"/>
          <w:szCs w:val="21"/>
          <w:lang w:val="en-US" w:eastAsia="zh-CN"/>
        </w:rPr>
        <w:t>2.4-8</w:t>
      </w:r>
      <w:r>
        <w:rPr>
          <w:rFonts w:hint="default" w:ascii="Times New Roman" w:hAnsi="Times New Roman" w:eastAsia="宋体" w:cs="Times New Roman"/>
          <w:b/>
          <w:color w:val="auto"/>
          <w:kern w:val="2"/>
          <w:sz w:val="21"/>
          <w:szCs w:val="21"/>
        </w:rPr>
        <w:t xml:space="preserve">   </w:t>
      </w:r>
      <w:r>
        <w:rPr>
          <w:rFonts w:hint="default" w:ascii="Times New Roman" w:hAnsi="Times New Roman" w:eastAsia="宋体" w:cs="Times New Roman"/>
          <w:b/>
          <w:color w:val="auto"/>
          <w:kern w:val="2"/>
          <w:sz w:val="21"/>
          <w:szCs w:val="21"/>
          <w:lang w:val="en-US" w:eastAsia="zh-CN"/>
        </w:rPr>
        <w:t>建设</w:t>
      </w:r>
      <w:r>
        <w:rPr>
          <w:rFonts w:hint="default" w:ascii="Times New Roman" w:hAnsi="Times New Roman" w:eastAsia="宋体" w:cs="Times New Roman"/>
          <w:b/>
          <w:color w:val="auto"/>
          <w:kern w:val="2"/>
          <w:sz w:val="21"/>
          <w:szCs w:val="21"/>
        </w:rPr>
        <w:t>项目环境风险潜势划分一览表</w:t>
      </w:r>
    </w:p>
    <w:tbl>
      <w:tblPr>
        <w:tblStyle w:val="32"/>
        <w:tblW w:w="508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155"/>
        <w:gridCol w:w="1561"/>
        <w:gridCol w:w="1539"/>
        <w:gridCol w:w="1610"/>
        <w:gridCol w:w="1596"/>
      </w:tblGrid>
      <w:tr w14:paraId="43EED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9" w:hRule="atLeast"/>
        </w:trPr>
        <w:tc>
          <w:tcPr>
            <w:tcW w:w="1274" w:type="pct"/>
            <w:vMerge w:val="restart"/>
            <w:noWrap w:val="0"/>
            <w:vAlign w:val="center"/>
          </w:tcPr>
          <w:p w14:paraId="68937672">
            <w:pPr>
              <w:snapToGrid w:val="0"/>
              <w:spacing w:line="276" w:lineRule="auto"/>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环境敏感程度（E）</w:t>
            </w:r>
          </w:p>
        </w:tc>
        <w:tc>
          <w:tcPr>
            <w:tcW w:w="3725" w:type="pct"/>
            <w:gridSpan w:val="4"/>
            <w:noWrap w:val="0"/>
            <w:vAlign w:val="center"/>
          </w:tcPr>
          <w:p w14:paraId="2258C144">
            <w:pPr>
              <w:snapToGrid w:val="0"/>
              <w:spacing w:line="276" w:lineRule="auto"/>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rPr>
              <w:t>物质及工艺系统危险性（P）</w:t>
            </w:r>
          </w:p>
        </w:tc>
      </w:tr>
      <w:tr w14:paraId="32CA9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74" w:type="pct"/>
            <w:vMerge w:val="continue"/>
            <w:noWrap w:val="0"/>
            <w:vAlign w:val="center"/>
          </w:tcPr>
          <w:p w14:paraId="76D82412">
            <w:pPr>
              <w:snapToGrid w:val="0"/>
              <w:spacing w:line="276" w:lineRule="auto"/>
              <w:jc w:val="center"/>
              <w:rPr>
                <w:rFonts w:hint="default" w:ascii="Times New Roman" w:hAnsi="Times New Roman" w:eastAsia="宋体" w:cs="Times New Roman"/>
                <w:color w:val="auto"/>
                <w:kern w:val="2"/>
                <w:sz w:val="21"/>
                <w:szCs w:val="21"/>
              </w:rPr>
            </w:pPr>
          </w:p>
        </w:tc>
        <w:tc>
          <w:tcPr>
            <w:tcW w:w="922" w:type="pct"/>
            <w:noWrap w:val="0"/>
            <w:vAlign w:val="center"/>
          </w:tcPr>
          <w:p w14:paraId="3ACAF372">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极高危害（P1）</w:t>
            </w:r>
          </w:p>
        </w:tc>
        <w:tc>
          <w:tcPr>
            <w:tcW w:w="909" w:type="pct"/>
            <w:noWrap w:val="0"/>
            <w:vAlign w:val="center"/>
          </w:tcPr>
          <w:p w14:paraId="32C57C62">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高度危害（P2）</w:t>
            </w:r>
          </w:p>
        </w:tc>
        <w:tc>
          <w:tcPr>
            <w:tcW w:w="951" w:type="pct"/>
            <w:noWrap w:val="0"/>
            <w:vAlign w:val="center"/>
          </w:tcPr>
          <w:p w14:paraId="2B520CE5">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中度危害（P3）</w:t>
            </w:r>
          </w:p>
        </w:tc>
        <w:tc>
          <w:tcPr>
            <w:tcW w:w="941" w:type="pct"/>
            <w:noWrap w:val="0"/>
            <w:vAlign w:val="center"/>
          </w:tcPr>
          <w:p w14:paraId="05028DB1">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轻度危害（P4）</w:t>
            </w:r>
          </w:p>
        </w:tc>
      </w:tr>
      <w:tr w14:paraId="1EDA0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74" w:type="pct"/>
            <w:noWrap w:val="0"/>
            <w:vAlign w:val="center"/>
          </w:tcPr>
          <w:p w14:paraId="14AA9DF2">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环境高度敏感区（E1）</w:t>
            </w:r>
          </w:p>
        </w:tc>
        <w:tc>
          <w:tcPr>
            <w:tcW w:w="922" w:type="pct"/>
            <w:noWrap w:val="0"/>
            <w:vAlign w:val="center"/>
          </w:tcPr>
          <w:p w14:paraId="1AAB9D74">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4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IV</w:t>
            </w:r>
            <w:r>
              <w:rPr>
                <w:rFonts w:hint="default" w:ascii="Times New Roman" w:hAnsi="Times New Roman" w:eastAsia="宋体" w:cs="Times New Roman"/>
                <w:color w:val="auto"/>
                <w:kern w:val="2"/>
                <w:sz w:val="21"/>
                <w:szCs w:val="21"/>
              </w:rPr>
              <w:fldChar w:fldCharType="end"/>
            </w:r>
            <w:r>
              <w:rPr>
                <w:rFonts w:hint="default" w:ascii="Times New Roman" w:hAnsi="Times New Roman" w:eastAsia="宋体" w:cs="Times New Roman"/>
                <w:color w:val="auto"/>
                <w:kern w:val="2"/>
                <w:sz w:val="21"/>
                <w:szCs w:val="21"/>
                <w:vertAlign w:val="superscript"/>
              </w:rPr>
              <w:t>+</w:t>
            </w:r>
          </w:p>
        </w:tc>
        <w:tc>
          <w:tcPr>
            <w:tcW w:w="909" w:type="pct"/>
            <w:noWrap w:val="0"/>
            <w:vAlign w:val="center"/>
          </w:tcPr>
          <w:p w14:paraId="10E56FAE">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4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IV</w:t>
            </w:r>
            <w:r>
              <w:rPr>
                <w:rFonts w:hint="default" w:ascii="Times New Roman" w:hAnsi="Times New Roman" w:eastAsia="宋体" w:cs="Times New Roman"/>
                <w:color w:val="auto"/>
                <w:kern w:val="2"/>
                <w:sz w:val="21"/>
                <w:szCs w:val="21"/>
              </w:rPr>
              <w:fldChar w:fldCharType="end"/>
            </w:r>
          </w:p>
        </w:tc>
        <w:tc>
          <w:tcPr>
            <w:tcW w:w="951" w:type="pct"/>
            <w:noWrap w:val="0"/>
            <w:vAlign w:val="center"/>
          </w:tcPr>
          <w:p w14:paraId="1DFE82D4">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3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III</w:t>
            </w:r>
            <w:r>
              <w:rPr>
                <w:rFonts w:hint="default" w:ascii="Times New Roman" w:hAnsi="Times New Roman" w:eastAsia="宋体" w:cs="Times New Roman"/>
                <w:color w:val="auto"/>
                <w:kern w:val="2"/>
                <w:sz w:val="21"/>
                <w:szCs w:val="21"/>
              </w:rPr>
              <w:fldChar w:fldCharType="end"/>
            </w:r>
          </w:p>
        </w:tc>
        <w:tc>
          <w:tcPr>
            <w:tcW w:w="941" w:type="pct"/>
            <w:noWrap w:val="0"/>
            <w:vAlign w:val="center"/>
          </w:tcPr>
          <w:p w14:paraId="65A65853">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3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III</w:t>
            </w:r>
            <w:r>
              <w:rPr>
                <w:rFonts w:hint="default" w:ascii="Times New Roman" w:hAnsi="Times New Roman" w:eastAsia="宋体" w:cs="Times New Roman"/>
                <w:color w:val="auto"/>
                <w:kern w:val="2"/>
                <w:sz w:val="21"/>
                <w:szCs w:val="21"/>
              </w:rPr>
              <w:fldChar w:fldCharType="end"/>
            </w:r>
          </w:p>
        </w:tc>
      </w:tr>
      <w:tr w14:paraId="1AA94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74" w:type="pct"/>
            <w:noWrap w:val="0"/>
            <w:vAlign w:val="center"/>
          </w:tcPr>
          <w:p w14:paraId="69A6F337">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环境中度敏感区（E2）</w:t>
            </w:r>
          </w:p>
        </w:tc>
        <w:tc>
          <w:tcPr>
            <w:tcW w:w="922" w:type="pct"/>
            <w:noWrap w:val="0"/>
            <w:vAlign w:val="center"/>
          </w:tcPr>
          <w:p w14:paraId="33575E94">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4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IV</w:t>
            </w:r>
            <w:r>
              <w:rPr>
                <w:rFonts w:hint="default" w:ascii="Times New Roman" w:hAnsi="Times New Roman" w:eastAsia="宋体" w:cs="Times New Roman"/>
                <w:color w:val="auto"/>
                <w:kern w:val="2"/>
                <w:sz w:val="21"/>
                <w:szCs w:val="21"/>
              </w:rPr>
              <w:fldChar w:fldCharType="end"/>
            </w:r>
          </w:p>
        </w:tc>
        <w:tc>
          <w:tcPr>
            <w:tcW w:w="909" w:type="pct"/>
            <w:noWrap w:val="0"/>
            <w:vAlign w:val="center"/>
          </w:tcPr>
          <w:p w14:paraId="5D13BB07">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3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III</w:t>
            </w:r>
            <w:r>
              <w:rPr>
                <w:rFonts w:hint="default" w:ascii="Times New Roman" w:hAnsi="Times New Roman" w:eastAsia="宋体" w:cs="Times New Roman"/>
                <w:color w:val="auto"/>
                <w:kern w:val="2"/>
                <w:sz w:val="21"/>
                <w:szCs w:val="21"/>
              </w:rPr>
              <w:fldChar w:fldCharType="end"/>
            </w:r>
          </w:p>
        </w:tc>
        <w:tc>
          <w:tcPr>
            <w:tcW w:w="951" w:type="pct"/>
            <w:noWrap w:val="0"/>
            <w:vAlign w:val="center"/>
          </w:tcPr>
          <w:p w14:paraId="577C21F2">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3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III</w:t>
            </w:r>
            <w:r>
              <w:rPr>
                <w:rFonts w:hint="default" w:ascii="Times New Roman" w:hAnsi="Times New Roman" w:eastAsia="宋体" w:cs="Times New Roman"/>
                <w:color w:val="auto"/>
                <w:kern w:val="2"/>
                <w:sz w:val="21"/>
                <w:szCs w:val="21"/>
              </w:rPr>
              <w:fldChar w:fldCharType="end"/>
            </w:r>
          </w:p>
        </w:tc>
        <w:tc>
          <w:tcPr>
            <w:tcW w:w="941" w:type="pct"/>
            <w:noWrap w:val="0"/>
            <w:vAlign w:val="center"/>
          </w:tcPr>
          <w:p w14:paraId="4E5E8075">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2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II</w:t>
            </w:r>
            <w:r>
              <w:rPr>
                <w:rFonts w:hint="default" w:ascii="Times New Roman" w:hAnsi="Times New Roman" w:eastAsia="宋体" w:cs="Times New Roman"/>
                <w:color w:val="auto"/>
                <w:kern w:val="2"/>
                <w:sz w:val="21"/>
                <w:szCs w:val="21"/>
              </w:rPr>
              <w:fldChar w:fldCharType="end"/>
            </w:r>
          </w:p>
        </w:tc>
      </w:tr>
      <w:tr w14:paraId="074AD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74" w:type="pct"/>
            <w:noWrap w:val="0"/>
            <w:vAlign w:val="center"/>
          </w:tcPr>
          <w:p w14:paraId="266F891F">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环境低度敏感区（E3）</w:t>
            </w:r>
          </w:p>
        </w:tc>
        <w:tc>
          <w:tcPr>
            <w:tcW w:w="922" w:type="pct"/>
            <w:noWrap w:val="0"/>
            <w:vAlign w:val="center"/>
          </w:tcPr>
          <w:p w14:paraId="20CEF383">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3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III</w:t>
            </w:r>
            <w:r>
              <w:rPr>
                <w:rFonts w:hint="default" w:ascii="Times New Roman" w:hAnsi="Times New Roman" w:eastAsia="宋体" w:cs="Times New Roman"/>
                <w:color w:val="auto"/>
                <w:kern w:val="2"/>
                <w:sz w:val="21"/>
                <w:szCs w:val="21"/>
              </w:rPr>
              <w:fldChar w:fldCharType="end"/>
            </w:r>
          </w:p>
        </w:tc>
        <w:tc>
          <w:tcPr>
            <w:tcW w:w="909" w:type="pct"/>
            <w:noWrap w:val="0"/>
            <w:vAlign w:val="center"/>
          </w:tcPr>
          <w:p w14:paraId="589D56D9">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3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III</w:t>
            </w:r>
            <w:r>
              <w:rPr>
                <w:rFonts w:hint="default" w:ascii="Times New Roman" w:hAnsi="Times New Roman" w:eastAsia="宋体" w:cs="Times New Roman"/>
                <w:color w:val="auto"/>
                <w:kern w:val="2"/>
                <w:sz w:val="21"/>
                <w:szCs w:val="21"/>
              </w:rPr>
              <w:fldChar w:fldCharType="end"/>
            </w:r>
          </w:p>
        </w:tc>
        <w:tc>
          <w:tcPr>
            <w:tcW w:w="951" w:type="pct"/>
            <w:noWrap w:val="0"/>
            <w:vAlign w:val="center"/>
          </w:tcPr>
          <w:p w14:paraId="2C98A4F3">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2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II</w:t>
            </w:r>
            <w:r>
              <w:rPr>
                <w:rFonts w:hint="default" w:ascii="Times New Roman" w:hAnsi="Times New Roman" w:eastAsia="宋体" w:cs="Times New Roman"/>
                <w:color w:val="auto"/>
                <w:kern w:val="2"/>
                <w:sz w:val="21"/>
                <w:szCs w:val="21"/>
              </w:rPr>
              <w:fldChar w:fldCharType="end"/>
            </w:r>
          </w:p>
        </w:tc>
        <w:tc>
          <w:tcPr>
            <w:tcW w:w="941" w:type="pct"/>
            <w:noWrap w:val="0"/>
            <w:vAlign w:val="center"/>
          </w:tcPr>
          <w:p w14:paraId="24CC9DFA">
            <w:pPr>
              <w:snapToGrid w:val="0"/>
              <w:spacing w:line="276" w:lineRule="auto"/>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fldChar w:fldCharType="begin"/>
            </w:r>
            <w:r>
              <w:rPr>
                <w:rFonts w:hint="default" w:ascii="Times New Roman" w:hAnsi="Times New Roman" w:eastAsia="宋体" w:cs="Times New Roman"/>
                <w:color w:val="auto"/>
                <w:kern w:val="2"/>
                <w:sz w:val="21"/>
                <w:szCs w:val="21"/>
              </w:rPr>
              <w:instrText xml:space="preserve">= 1 \* ROMAN</w:instrText>
            </w:r>
            <w:r>
              <w:rPr>
                <w:rFonts w:hint="default" w:ascii="Times New Roman" w:hAnsi="Times New Roman" w:eastAsia="宋体" w:cs="Times New Roman"/>
                <w:color w:val="auto"/>
                <w:kern w:val="2"/>
                <w:sz w:val="21"/>
                <w:szCs w:val="21"/>
              </w:rPr>
              <w:fldChar w:fldCharType="separate"/>
            </w:r>
            <w:r>
              <w:rPr>
                <w:rFonts w:hint="default" w:ascii="Times New Roman" w:hAnsi="Times New Roman" w:eastAsia="宋体" w:cs="Times New Roman"/>
                <w:color w:val="auto"/>
                <w:kern w:val="2"/>
                <w:sz w:val="21"/>
                <w:szCs w:val="21"/>
              </w:rPr>
              <w:t>I</w:t>
            </w:r>
            <w:r>
              <w:rPr>
                <w:rFonts w:hint="default" w:ascii="Times New Roman" w:hAnsi="Times New Roman" w:eastAsia="宋体" w:cs="Times New Roman"/>
                <w:color w:val="auto"/>
                <w:kern w:val="2"/>
                <w:sz w:val="21"/>
                <w:szCs w:val="21"/>
              </w:rPr>
              <w:fldChar w:fldCharType="end"/>
            </w:r>
          </w:p>
        </w:tc>
      </w:tr>
    </w:tbl>
    <w:p w14:paraId="236CFBDA">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pacing w:val="0"/>
          <w:kern w:val="2"/>
          <w:sz w:val="24"/>
          <w:szCs w:val="24"/>
          <w:lang w:val="en-US" w:eastAsia="zh-CN"/>
        </w:rPr>
      </w:pPr>
      <w:r>
        <w:rPr>
          <w:rFonts w:hint="default" w:ascii="Times New Roman" w:hAnsi="Times New Roman" w:eastAsia="宋体" w:cs="Times New Roman"/>
          <w:color w:val="auto"/>
          <w:kern w:val="2"/>
          <w:sz w:val="24"/>
          <w:szCs w:val="24"/>
          <w:lang w:val="en-US" w:eastAsia="zh-CN"/>
        </w:rPr>
        <w:t>本项目危险</w:t>
      </w:r>
      <w:r>
        <w:rPr>
          <w:rFonts w:hint="default" w:ascii="Times New Roman" w:hAnsi="Times New Roman" w:eastAsia="宋体" w:cs="Times New Roman"/>
          <w:color w:val="auto"/>
          <w:kern w:val="2"/>
          <w:sz w:val="24"/>
          <w:szCs w:val="24"/>
        </w:rPr>
        <w:t>物质及工艺系统危险性P值判定结果为P</w:t>
      </w:r>
      <w:r>
        <w:rPr>
          <w:rFonts w:hint="eastAsia" w:cs="Times New Roman"/>
          <w:color w:val="auto"/>
          <w:kern w:val="2"/>
          <w:sz w:val="24"/>
          <w:szCs w:val="24"/>
          <w:lang w:val="en-US" w:eastAsia="zh-CN"/>
        </w:rPr>
        <w:t>3</w:t>
      </w:r>
      <w:r>
        <w:rPr>
          <w:rFonts w:hint="default" w:ascii="Times New Roman" w:hAnsi="Times New Roman" w:eastAsia="宋体" w:cs="Times New Roman"/>
          <w:color w:val="auto"/>
          <w:kern w:val="2"/>
          <w:sz w:val="24"/>
          <w:szCs w:val="24"/>
        </w:rPr>
        <w:t>；大气环境敏感程度</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地表水敏感程度</w:t>
      </w:r>
      <w:r>
        <w:rPr>
          <w:rFonts w:hint="default" w:ascii="Times New Roman" w:hAnsi="Times New Roman" w:eastAsia="宋体" w:cs="Times New Roman"/>
          <w:color w:val="auto"/>
          <w:kern w:val="2"/>
          <w:sz w:val="24"/>
          <w:szCs w:val="24"/>
        </w:rPr>
        <w:t>均为E3，大气环境</w:t>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lang w:val="en-US" w:eastAsia="zh-CN"/>
        </w:rPr>
        <w:t>地表水</w:t>
      </w:r>
      <w:r>
        <w:rPr>
          <w:rFonts w:hint="default" w:ascii="Times New Roman" w:hAnsi="Times New Roman" w:eastAsia="宋体" w:cs="Times New Roman"/>
          <w:color w:val="auto"/>
          <w:kern w:val="2"/>
          <w:sz w:val="24"/>
          <w:szCs w:val="24"/>
        </w:rPr>
        <w:t>风险潜势为</w:t>
      </w:r>
      <w:r>
        <w:rPr>
          <w:rFonts w:hint="default" w:ascii="Times New Roman" w:hAnsi="Times New Roman" w:eastAsia="宋体" w:cs="Times New Roman"/>
          <w:color w:val="auto"/>
          <w:kern w:val="2"/>
          <w:sz w:val="24"/>
          <w:szCs w:val="24"/>
        </w:rPr>
        <w:fldChar w:fldCharType="begin"/>
      </w:r>
      <w:r>
        <w:rPr>
          <w:rFonts w:hint="default" w:ascii="Times New Roman" w:hAnsi="Times New Roman" w:eastAsia="宋体" w:cs="Times New Roman"/>
          <w:color w:val="auto"/>
          <w:kern w:val="2"/>
          <w:sz w:val="24"/>
          <w:szCs w:val="24"/>
        </w:rPr>
        <w:instrText xml:space="preserve">= 2 \* ROMAN</w:instrText>
      </w:r>
      <w:r>
        <w:rPr>
          <w:rFonts w:hint="default" w:ascii="Times New Roman" w:hAnsi="Times New Roman" w:eastAsia="宋体" w:cs="Times New Roman"/>
          <w:color w:val="auto"/>
          <w:kern w:val="2"/>
          <w:sz w:val="24"/>
          <w:szCs w:val="24"/>
        </w:rPr>
        <w:fldChar w:fldCharType="separate"/>
      </w:r>
      <w:r>
        <w:rPr>
          <w:rFonts w:hint="default" w:ascii="Times New Roman" w:hAnsi="Times New Roman" w:eastAsia="宋体" w:cs="Times New Roman"/>
          <w:color w:val="auto"/>
          <w:kern w:val="2"/>
          <w:sz w:val="24"/>
          <w:szCs w:val="24"/>
        </w:rPr>
        <w:t>II</w:t>
      </w:r>
      <w:r>
        <w:rPr>
          <w:rFonts w:hint="default" w:ascii="Times New Roman" w:hAnsi="Times New Roman" w:eastAsia="宋体" w:cs="Times New Roman"/>
          <w:color w:val="auto"/>
          <w:kern w:val="2"/>
          <w:sz w:val="24"/>
          <w:szCs w:val="24"/>
        </w:rPr>
        <w:fldChar w:fldCharType="end"/>
      </w:r>
      <w:r>
        <w:rPr>
          <w:rFonts w:hint="default" w:ascii="Times New Roman" w:hAnsi="Times New Roman" w:eastAsia="宋体" w:cs="Times New Roman"/>
          <w:color w:val="auto"/>
          <w:kern w:val="2"/>
          <w:sz w:val="24"/>
          <w:szCs w:val="24"/>
          <w:lang w:eastAsia="zh-CN"/>
        </w:rPr>
        <w:t>；</w:t>
      </w:r>
      <w:r>
        <w:rPr>
          <w:rFonts w:hint="default" w:ascii="Times New Roman" w:hAnsi="Times New Roman" w:eastAsia="宋体" w:cs="Times New Roman"/>
          <w:color w:val="auto"/>
          <w:kern w:val="2"/>
          <w:sz w:val="24"/>
          <w:szCs w:val="24"/>
        </w:rPr>
        <w:t>地下水环境敏感程度为E</w:t>
      </w:r>
      <w:r>
        <w:rPr>
          <w:rFonts w:hint="default" w:ascii="Times New Roman" w:hAnsi="Times New Roman" w:eastAsia="宋体" w:cs="Times New Roman"/>
          <w:color w:val="auto"/>
          <w:kern w:val="2"/>
          <w:sz w:val="24"/>
          <w:szCs w:val="24"/>
          <w:lang w:val="en-US" w:eastAsia="zh-CN"/>
        </w:rPr>
        <w:t>2，地下水</w:t>
      </w:r>
      <w:r>
        <w:rPr>
          <w:rFonts w:hint="default" w:ascii="Times New Roman" w:hAnsi="Times New Roman" w:eastAsia="宋体" w:cs="Times New Roman"/>
          <w:color w:val="auto"/>
          <w:kern w:val="2"/>
          <w:sz w:val="24"/>
          <w:szCs w:val="24"/>
        </w:rPr>
        <w:t>环境风险潜势为</w:t>
      </w:r>
      <w:r>
        <w:rPr>
          <w:rFonts w:hint="default" w:ascii="Times New Roman" w:hAnsi="Times New Roman" w:eastAsia="宋体" w:cs="Times New Roman"/>
          <w:color w:val="auto"/>
          <w:kern w:val="2"/>
          <w:sz w:val="24"/>
          <w:szCs w:val="24"/>
        </w:rPr>
        <w:fldChar w:fldCharType="begin"/>
      </w:r>
      <w:r>
        <w:rPr>
          <w:rFonts w:hint="default" w:ascii="Times New Roman" w:hAnsi="Times New Roman" w:eastAsia="宋体" w:cs="Times New Roman"/>
          <w:color w:val="auto"/>
          <w:kern w:val="2"/>
          <w:sz w:val="24"/>
          <w:szCs w:val="24"/>
        </w:rPr>
        <w:instrText xml:space="preserve">= 3 \* ROMAN</w:instrText>
      </w:r>
      <w:r>
        <w:rPr>
          <w:rFonts w:hint="default" w:ascii="Times New Roman" w:hAnsi="Times New Roman" w:eastAsia="宋体" w:cs="Times New Roman"/>
          <w:color w:val="auto"/>
          <w:kern w:val="2"/>
          <w:sz w:val="24"/>
          <w:szCs w:val="24"/>
        </w:rPr>
        <w:fldChar w:fldCharType="separate"/>
      </w:r>
      <w:r>
        <w:rPr>
          <w:rFonts w:hint="default" w:ascii="Times New Roman" w:hAnsi="Times New Roman" w:eastAsia="宋体" w:cs="Times New Roman"/>
          <w:color w:val="auto"/>
          <w:kern w:val="2"/>
          <w:sz w:val="24"/>
          <w:szCs w:val="24"/>
        </w:rPr>
        <w:t>III</w:t>
      </w:r>
      <w:r>
        <w:rPr>
          <w:rFonts w:hint="default" w:ascii="Times New Roman" w:hAnsi="Times New Roman" w:eastAsia="宋体" w:cs="Times New Roman"/>
          <w:color w:val="auto"/>
          <w:kern w:val="2"/>
          <w:sz w:val="24"/>
          <w:szCs w:val="24"/>
        </w:rPr>
        <w:fldChar w:fldCharType="end"/>
      </w:r>
      <w:r>
        <w:rPr>
          <w:rFonts w:hint="default" w:ascii="Times New Roman" w:hAnsi="Times New Roman" w:eastAsia="宋体" w:cs="Times New Roman"/>
          <w:color w:val="auto"/>
          <w:kern w:val="2"/>
          <w:sz w:val="24"/>
          <w:szCs w:val="24"/>
          <w:lang w:val="en-US" w:eastAsia="zh-CN"/>
        </w:rPr>
        <w:t>。</w:t>
      </w:r>
    </w:p>
    <w:p w14:paraId="45FA62AC">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8"/>
          <w:szCs w:val="24"/>
          <w:lang w:val="en-US" w:eastAsia="zh-CN" w:bidi="ar-SA"/>
        </w:rPr>
      </w:pPr>
      <w:r>
        <w:rPr>
          <w:rFonts w:hint="default" w:ascii="Times New Roman" w:hAnsi="Times New Roman" w:eastAsia="宋体" w:cs="Times New Roman"/>
          <w:b w:val="0"/>
          <w:color w:val="auto"/>
          <w:kern w:val="2"/>
          <w:sz w:val="28"/>
          <w:szCs w:val="24"/>
          <w:lang w:val="en-US" w:eastAsia="zh-CN" w:bidi="ar-SA"/>
        </w:rPr>
        <w:t>风险评价等级</w:t>
      </w:r>
    </w:p>
    <w:p w14:paraId="574F1C45">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rPr>
      </w:pPr>
      <w:r>
        <w:rPr>
          <w:rFonts w:hint="default" w:ascii="Times New Roman" w:hAnsi="Times New Roman" w:eastAsia="宋体" w:cs="Times New Roman"/>
          <w:color w:val="auto"/>
          <w:kern w:val="2"/>
          <w:sz w:val="24"/>
          <w:szCs w:val="24"/>
          <w:lang w:val="en-US" w:eastAsia="zh-CN"/>
        </w:rPr>
        <w:t>根据《建设项目环境风险评价技术导则》（HJ169-2018），环境风险评价工作等级划分为一级、二级、三级、简单分析。环境风险评价工作等级划分依据见表2.4-9。</w:t>
      </w:r>
    </w:p>
    <w:p w14:paraId="203F620C">
      <w:pPr>
        <w:keepNext w:val="0"/>
        <w:keepLines w:val="0"/>
        <w:pageBreakBefore w:val="0"/>
        <w:widowControl w:val="0"/>
        <w:tabs>
          <w:tab w:val="left" w:pos="0"/>
        </w:tabs>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kern w:val="2"/>
          <w:sz w:val="24"/>
          <w:szCs w:val="24"/>
        </w:rPr>
      </w:pPr>
      <w:r>
        <w:rPr>
          <w:rFonts w:hint="default" w:ascii="Times New Roman" w:hAnsi="Times New Roman" w:eastAsia="宋体" w:cs="Times New Roman"/>
          <w:b/>
          <w:bCs/>
          <w:color w:val="auto"/>
          <w:kern w:val="2"/>
          <w:sz w:val="21"/>
          <w:szCs w:val="21"/>
        </w:rPr>
        <w:t>表</w:t>
      </w:r>
      <w:r>
        <w:rPr>
          <w:rFonts w:hint="default" w:ascii="Times New Roman" w:hAnsi="Times New Roman" w:eastAsia="宋体" w:cs="Times New Roman"/>
          <w:b/>
          <w:bCs/>
          <w:color w:val="auto"/>
          <w:kern w:val="2"/>
          <w:sz w:val="21"/>
          <w:szCs w:val="21"/>
          <w:lang w:val="en-US" w:eastAsia="zh-CN"/>
        </w:rPr>
        <w:t>2.4-9</w:t>
      </w:r>
      <w:r>
        <w:rPr>
          <w:rFonts w:hint="default" w:ascii="Times New Roman" w:hAnsi="Times New Roman" w:eastAsia="宋体" w:cs="Times New Roman"/>
          <w:b/>
          <w:bCs/>
          <w:color w:val="auto"/>
          <w:kern w:val="2"/>
          <w:sz w:val="21"/>
          <w:szCs w:val="21"/>
        </w:rPr>
        <w:t xml:space="preserve"> </w:t>
      </w:r>
      <w:r>
        <w:rPr>
          <w:rFonts w:hint="default" w:ascii="Times New Roman" w:hAnsi="Times New Roman" w:eastAsia="宋体" w:cs="Times New Roman"/>
          <w:b/>
          <w:bCs/>
          <w:color w:val="auto"/>
          <w:kern w:val="2"/>
          <w:sz w:val="21"/>
          <w:szCs w:val="21"/>
          <w:lang w:val="en-US" w:eastAsia="zh-CN"/>
        </w:rPr>
        <w:t xml:space="preserve">  </w:t>
      </w:r>
      <w:r>
        <w:rPr>
          <w:rFonts w:hint="default" w:ascii="Times New Roman" w:hAnsi="Times New Roman" w:eastAsia="宋体" w:cs="Times New Roman"/>
          <w:b/>
          <w:bCs/>
          <w:color w:val="auto"/>
          <w:kern w:val="2"/>
          <w:sz w:val="21"/>
          <w:szCs w:val="21"/>
        </w:rPr>
        <w:t>环境风险评价工作等级划分依据表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463"/>
        <w:gridCol w:w="1441"/>
        <w:gridCol w:w="1806"/>
        <w:gridCol w:w="2065"/>
        <w:gridCol w:w="1538"/>
      </w:tblGrid>
      <w:tr w14:paraId="47A40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3" w:hRule="atLeast"/>
        </w:trPr>
        <w:tc>
          <w:tcPr>
            <w:tcW w:w="880" w:type="pct"/>
            <w:noWrap w:val="0"/>
            <w:vAlign w:val="center"/>
          </w:tcPr>
          <w:p w14:paraId="5118F211">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b/>
                <w:bCs/>
                <w:color w:val="auto"/>
                <w:kern w:val="2"/>
                <w:sz w:val="21"/>
                <w:szCs w:val="21"/>
              </w:rPr>
              <w:t>环境风险潜势</w:t>
            </w:r>
          </w:p>
        </w:tc>
        <w:tc>
          <w:tcPr>
            <w:tcW w:w="867" w:type="pct"/>
            <w:noWrap w:val="0"/>
            <w:vAlign w:val="center"/>
          </w:tcPr>
          <w:p w14:paraId="261CF6CC">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Ⅳ、Ⅳ</w:t>
            </w:r>
            <w:r>
              <w:rPr>
                <w:rFonts w:hint="default" w:ascii="Times New Roman" w:hAnsi="Times New Roman" w:eastAsia="宋体" w:cs="Times New Roman"/>
                <w:color w:val="auto"/>
                <w:kern w:val="2"/>
                <w:sz w:val="21"/>
                <w:szCs w:val="21"/>
                <w:vertAlign w:val="superscript"/>
              </w:rPr>
              <w:t>+</w:t>
            </w:r>
          </w:p>
        </w:tc>
        <w:tc>
          <w:tcPr>
            <w:tcW w:w="1086" w:type="pct"/>
            <w:noWrap w:val="0"/>
            <w:vAlign w:val="center"/>
          </w:tcPr>
          <w:p w14:paraId="445F1F20">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Ⅲ</w:t>
            </w:r>
          </w:p>
        </w:tc>
        <w:tc>
          <w:tcPr>
            <w:tcW w:w="1242" w:type="pct"/>
            <w:noWrap w:val="0"/>
            <w:vAlign w:val="center"/>
          </w:tcPr>
          <w:p w14:paraId="63617D87">
            <w:pPr>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val="0"/>
                <w:bCs w:val="0"/>
                <w:color w:val="auto"/>
                <w:kern w:val="2"/>
                <w:sz w:val="21"/>
                <w:szCs w:val="21"/>
              </w:rPr>
              <w:t>Ⅱ</w:t>
            </w:r>
          </w:p>
        </w:tc>
        <w:tc>
          <w:tcPr>
            <w:tcW w:w="921" w:type="pct"/>
            <w:noWrap w:val="0"/>
            <w:vAlign w:val="center"/>
          </w:tcPr>
          <w:p w14:paraId="17CD389C">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Ⅰ</w:t>
            </w:r>
          </w:p>
        </w:tc>
      </w:tr>
      <w:tr w14:paraId="0961C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6" w:hRule="atLeast"/>
        </w:trPr>
        <w:tc>
          <w:tcPr>
            <w:tcW w:w="880" w:type="pct"/>
            <w:noWrap w:val="0"/>
            <w:vAlign w:val="center"/>
          </w:tcPr>
          <w:p w14:paraId="15A5C100">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评价工作等级</w:t>
            </w:r>
          </w:p>
        </w:tc>
        <w:tc>
          <w:tcPr>
            <w:tcW w:w="867" w:type="pct"/>
            <w:noWrap w:val="0"/>
            <w:vAlign w:val="center"/>
          </w:tcPr>
          <w:p w14:paraId="6D605E98">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一</w:t>
            </w:r>
          </w:p>
        </w:tc>
        <w:tc>
          <w:tcPr>
            <w:tcW w:w="1086" w:type="pct"/>
            <w:noWrap w:val="0"/>
            <w:vAlign w:val="center"/>
          </w:tcPr>
          <w:p w14:paraId="7B64DC18">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二</w:t>
            </w:r>
          </w:p>
        </w:tc>
        <w:tc>
          <w:tcPr>
            <w:tcW w:w="1242" w:type="pct"/>
            <w:noWrap w:val="0"/>
            <w:vAlign w:val="center"/>
          </w:tcPr>
          <w:p w14:paraId="3BBC9CDF">
            <w:pPr>
              <w:jc w:val="center"/>
              <w:rPr>
                <w:rFonts w:hint="default" w:ascii="Times New Roman" w:hAnsi="Times New Roman" w:eastAsia="宋体" w:cs="Times New Roman"/>
                <w:b/>
                <w:bCs/>
                <w:color w:val="auto"/>
                <w:kern w:val="2"/>
                <w:sz w:val="21"/>
                <w:szCs w:val="21"/>
              </w:rPr>
            </w:pPr>
            <w:r>
              <w:rPr>
                <w:rFonts w:hint="default" w:ascii="Times New Roman" w:hAnsi="Times New Roman" w:eastAsia="宋体" w:cs="Times New Roman"/>
                <w:b/>
                <w:bCs/>
                <w:color w:val="auto"/>
                <w:kern w:val="2"/>
                <w:sz w:val="21"/>
                <w:szCs w:val="21"/>
                <w:shd w:val="clear" w:color="auto" w:fill="auto"/>
              </w:rPr>
              <w:t>三</w:t>
            </w:r>
          </w:p>
        </w:tc>
        <w:tc>
          <w:tcPr>
            <w:tcW w:w="921" w:type="pct"/>
            <w:noWrap w:val="0"/>
            <w:vAlign w:val="center"/>
          </w:tcPr>
          <w:p w14:paraId="5240FBFC">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简单分析</w:t>
            </w:r>
            <w:r>
              <w:rPr>
                <w:rFonts w:hint="default" w:ascii="Times New Roman" w:hAnsi="Times New Roman" w:eastAsia="宋体" w:cs="Times New Roman"/>
                <w:color w:val="auto"/>
                <w:kern w:val="2"/>
                <w:sz w:val="21"/>
                <w:szCs w:val="21"/>
                <w:vertAlign w:val="superscript"/>
              </w:rPr>
              <w:t>a</w:t>
            </w:r>
          </w:p>
        </w:tc>
      </w:tr>
      <w:tr w14:paraId="2C4B9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5" w:hRule="atLeast"/>
        </w:trPr>
        <w:tc>
          <w:tcPr>
            <w:tcW w:w="5000" w:type="pct"/>
            <w:gridSpan w:val="5"/>
            <w:noWrap w:val="0"/>
            <w:vAlign w:val="center"/>
          </w:tcPr>
          <w:p w14:paraId="27AF7D1E">
            <w:pPr>
              <w:jc w:val="center"/>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vertAlign w:val="superscript"/>
              </w:rPr>
              <w:t>a</w:t>
            </w:r>
            <w:r>
              <w:rPr>
                <w:rFonts w:hint="default" w:ascii="Times New Roman" w:hAnsi="Times New Roman" w:eastAsia="宋体" w:cs="Times New Roman"/>
                <w:color w:val="auto"/>
                <w:kern w:val="2"/>
                <w:sz w:val="21"/>
                <w:szCs w:val="21"/>
              </w:rPr>
              <w:t xml:space="preserve"> 是相对于详细评价工作内容而言，在描述危险物质、环境影响途径、环境危害后果、风险防范措施等方面给出定性的说明</w:t>
            </w:r>
          </w:p>
        </w:tc>
      </w:tr>
    </w:tbl>
    <w:p w14:paraId="7AFFB43F">
      <w:pPr>
        <w:pStyle w:val="2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cs="Times New Roman"/>
          <w:i w:val="0"/>
          <w:iCs w:val="0"/>
          <w:color w:val="auto"/>
          <w:sz w:val="24"/>
          <w:lang w:val="en-US" w:eastAsia="zh-CN"/>
        </w:rPr>
      </w:pPr>
      <w:r>
        <w:rPr>
          <w:rFonts w:hint="default" w:ascii="Times New Roman" w:hAnsi="Times New Roman" w:cs="Times New Roman"/>
          <w:i w:val="0"/>
          <w:iCs w:val="0"/>
          <w:color w:val="auto"/>
          <w:sz w:val="24"/>
          <w:lang w:eastAsia="zh-CN"/>
        </w:rPr>
        <w:t>根据《建设项目环境风险评价技术导则》（</w:t>
      </w:r>
      <w:r>
        <w:rPr>
          <w:rFonts w:hint="default" w:ascii="Times New Roman" w:hAnsi="Times New Roman" w:cs="Times New Roman"/>
          <w:i w:val="0"/>
          <w:iCs w:val="0"/>
          <w:color w:val="auto"/>
          <w:sz w:val="24"/>
          <w:lang w:val="en-US" w:eastAsia="zh-CN"/>
        </w:rPr>
        <w:t>HJ169-2018</w:t>
      </w:r>
      <w:r>
        <w:rPr>
          <w:rFonts w:hint="default" w:ascii="Times New Roman" w:hAnsi="Times New Roman" w:cs="Times New Roman"/>
          <w:i w:val="0"/>
          <w:iCs w:val="0"/>
          <w:color w:val="auto"/>
          <w:sz w:val="24"/>
          <w:lang w:eastAsia="zh-CN"/>
        </w:rPr>
        <w:t>）中要求，大气、</w:t>
      </w:r>
      <w:r>
        <w:rPr>
          <w:rFonts w:hint="default" w:ascii="Times New Roman" w:hAnsi="Times New Roman" w:cs="Times New Roman"/>
          <w:i w:val="0"/>
          <w:iCs w:val="0"/>
          <w:color w:val="auto"/>
          <w:sz w:val="24"/>
          <w:lang w:val="en-US" w:eastAsia="zh-CN"/>
        </w:rPr>
        <w:t>地表水</w:t>
      </w:r>
      <w:r>
        <w:rPr>
          <w:rFonts w:hint="default" w:ascii="Times New Roman" w:hAnsi="Times New Roman" w:cs="Times New Roman"/>
          <w:i w:val="0"/>
          <w:iCs w:val="0"/>
          <w:color w:val="auto"/>
          <w:sz w:val="24"/>
          <w:lang w:eastAsia="zh-CN"/>
        </w:rPr>
        <w:t>环境风险评价等级为</w:t>
      </w:r>
      <w:r>
        <w:rPr>
          <w:rFonts w:hint="eastAsia" w:cs="Times New Roman"/>
          <w:i w:val="0"/>
          <w:iCs w:val="0"/>
          <w:color w:val="auto"/>
          <w:sz w:val="24"/>
          <w:lang w:val="en-US" w:eastAsia="zh-CN"/>
        </w:rPr>
        <w:t>三级，</w:t>
      </w:r>
      <w:r>
        <w:rPr>
          <w:rFonts w:hint="default" w:ascii="Times New Roman" w:hAnsi="Times New Roman" w:cs="Times New Roman"/>
          <w:i w:val="0"/>
          <w:iCs w:val="0"/>
          <w:color w:val="auto"/>
          <w:sz w:val="24"/>
          <w:lang w:eastAsia="zh-CN"/>
        </w:rPr>
        <w:t>地下水环境风险评价等级为</w:t>
      </w:r>
      <w:r>
        <w:rPr>
          <w:rFonts w:hint="eastAsia" w:cs="Times New Roman"/>
          <w:i w:val="0"/>
          <w:iCs w:val="0"/>
          <w:color w:val="auto"/>
          <w:sz w:val="24"/>
          <w:lang w:val="en-US" w:eastAsia="zh-CN"/>
        </w:rPr>
        <w:t>二级，</w:t>
      </w:r>
      <w:r>
        <w:rPr>
          <w:rFonts w:hint="default" w:ascii="Times New Roman" w:hAnsi="Times New Roman" w:cs="Times New Roman"/>
          <w:i w:val="0"/>
          <w:iCs w:val="0"/>
          <w:color w:val="auto"/>
          <w:sz w:val="24"/>
          <w:lang w:eastAsia="zh-CN"/>
        </w:rPr>
        <w:t>评价内容按照</w:t>
      </w:r>
      <w:r>
        <w:rPr>
          <w:rFonts w:hint="default" w:ascii="Times New Roman" w:hAnsi="Times New Roman" w:cs="Times New Roman"/>
          <w:i w:val="0"/>
          <w:iCs w:val="0"/>
          <w:color w:val="auto"/>
          <w:sz w:val="24"/>
          <w:lang w:val="en-US" w:eastAsia="zh-CN"/>
        </w:rPr>
        <w:t>HJ610进行。</w:t>
      </w:r>
    </w:p>
    <w:p w14:paraId="2CE2E73F">
      <w:pPr>
        <w:pStyle w:val="25"/>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i w:val="0"/>
          <w:iCs w:val="0"/>
          <w:color w:val="auto"/>
          <w:sz w:val="24"/>
          <w:lang w:eastAsia="zh-CN"/>
        </w:rPr>
      </w:pPr>
      <w:r>
        <w:rPr>
          <w:rFonts w:hint="default" w:ascii="Times New Roman" w:hAnsi="Times New Roman" w:eastAsia="宋体" w:cs="Times New Roman"/>
          <w:i w:val="0"/>
          <w:iCs w:val="0"/>
          <w:color w:val="auto"/>
          <w:sz w:val="24"/>
          <w:lang w:eastAsia="zh-CN"/>
        </w:rPr>
        <w:t>根据（HJ169－2018）要求“建设项目环境风险潜势综合等级取各要素等级的相对高值”要求，故本项目综合环境风险浅势为</w:t>
      </w:r>
      <w:r>
        <w:rPr>
          <w:rFonts w:hint="default" w:ascii="Times New Roman" w:hAnsi="Times New Roman" w:eastAsia="宋体" w:cs="Times New Roman"/>
          <w:i w:val="0"/>
          <w:iCs w:val="0"/>
          <w:color w:val="auto"/>
          <w:sz w:val="24"/>
          <w:lang w:eastAsia="zh-CN"/>
        </w:rPr>
        <w:fldChar w:fldCharType="begin"/>
      </w:r>
      <w:r>
        <w:rPr>
          <w:rFonts w:hint="default" w:ascii="Times New Roman" w:hAnsi="Times New Roman" w:eastAsia="宋体" w:cs="Times New Roman"/>
          <w:i w:val="0"/>
          <w:iCs w:val="0"/>
          <w:color w:val="auto"/>
          <w:sz w:val="24"/>
          <w:lang w:eastAsia="zh-CN"/>
        </w:rPr>
        <w:instrText xml:space="preserve">= 3 \* ROMAN</w:instrText>
      </w:r>
      <w:r>
        <w:rPr>
          <w:rFonts w:hint="default" w:ascii="Times New Roman" w:hAnsi="Times New Roman" w:eastAsia="宋体" w:cs="Times New Roman"/>
          <w:i w:val="0"/>
          <w:iCs w:val="0"/>
          <w:color w:val="auto"/>
          <w:sz w:val="24"/>
          <w:lang w:eastAsia="zh-CN"/>
        </w:rPr>
        <w:fldChar w:fldCharType="separate"/>
      </w:r>
      <w:r>
        <w:rPr>
          <w:rFonts w:hint="default" w:ascii="Times New Roman" w:hAnsi="Times New Roman" w:eastAsia="宋体" w:cs="Times New Roman"/>
          <w:i w:val="0"/>
          <w:iCs w:val="0"/>
          <w:color w:val="auto"/>
          <w:sz w:val="24"/>
          <w:lang w:eastAsia="zh-CN"/>
        </w:rPr>
        <w:t>III</w:t>
      </w:r>
      <w:r>
        <w:rPr>
          <w:rFonts w:hint="default" w:ascii="Times New Roman" w:hAnsi="Times New Roman" w:eastAsia="宋体" w:cs="Times New Roman"/>
          <w:i w:val="0"/>
          <w:iCs w:val="0"/>
          <w:color w:val="auto"/>
          <w:sz w:val="24"/>
          <w:lang w:eastAsia="zh-CN"/>
        </w:rPr>
        <w:fldChar w:fldCharType="end"/>
      </w:r>
      <w:r>
        <w:rPr>
          <w:rFonts w:hint="default" w:ascii="Times New Roman" w:hAnsi="Times New Roman" w:eastAsia="宋体" w:cs="Times New Roman"/>
          <w:i w:val="0"/>
          <w:iCs w:val="0"/>
          <w:color w:val="auto"/>
          <w:sz w:val="24"/>
          <w:lang w:eastAsia="zh-CN"/>
        </w:rPr>
        <w:t>，根据表</w:t>
      </w:r>
      <w:r>
        <w:rPr>
          <w:rFonts w:hint="default" w:ascii="Times New Roman" w:hAnsi="Times New Roman" w:eastAsia="宋体" w:cs="Times New Roman"/>
          <w:i w:val="0"/>
          <w:iCs w:val="0"/>
          <w:color w:val="auto"/>
          <w:sz w:val="24"/>
          <w:lang w:val="en-US" w:eastAsia="zh-CN"/>
        </w:rPr>
        <w:t>2</w:t>
      </w:r>
      <w:r>
        <w:rPr>
          <w:rFonts w:hint="eastAsia" w:ascii="Times New Roman" w:hAnsi="Times New Roman" w:eastAsia="宋体" w:cs="Times New Roman"/>
          <w:i w:val="0"/>
          <w:iCs w:val="0"/>
          <w:color w:val="auto"/>
          <w:sz w:val="24"/>
          <w:lang w:val="en-US" w:eastAsia="zh-CN"/>
        </w:rPr>
        <w:t>.4</w:t>
      </w:r>
      <w:r>
        <w:rPr>
          <w:rFonts w:hint="default" w:ascii="Times New Roman" w:hAnsi="Times New Roman" w:eastAsia="宋体" w:cs="Times New Roman"/>
          <w:i w:val="0"/>
          <w:iCs w:val="0"/>
          <w:color w:val="auto"/>
          <w:sz w:val="24"/>
          <w:lang w:val="en-US" w:eastAsia="zh-CN"/>
        </w:rPr>
        <w:t>-9，本项目风险评价等级为</w:t>
      </w:r>
      <w:r>
        <w:rPr>
          <w:rFonts w:hint="eastAsia" w:ascii="Times New Roman" w:hAnsi="Times New Roman" w:eastAsia="宋体" w:cs="Times New Roman"/>
          <w:i w:val="0"/>
          <w:iCs w:val="0"/>
          <w:color w:val="auto"/>
          <w:sz w:val="24"/>
          <w:lang w:val="en-US" w:eastAsia="zh-CN"/>
        </w:rPr>
        <w:t>二</w:t>
      </w:r>
      <w:r>
        <w:rPr>
          <w:rFonts w:hint="default" w:ascii="Times New Roman" w:hAnsi="Times New Roman" w:eastAsia="宋体" w:cs="Times New Roman"/>
          <w:i w:val="0"/>
          <w:iCs w:val="0"/>
          <w:color w:val="auto"/>
          <w:sz w:val="24"/>
          <w:lang w:val="en-US" w:eastAsia="zh-CN"/>
        </w:rPr>
        <w:t>级</w:t>
      </w:r>
      <w:r>
        <w:rPr>
          <w:rFonts w:hint="default" w:ascii="Times New Roman" w:hAnsi="Times New Roman" w:eastAsia="宋体" w:cs="Times New Roman"/>
          <w:i w:val="0"/>
          <w:iCs w:val="0"/>
          <w:color w:val="auto"/>
          <w:sz w:val="24"/>
          <w:lang w:eastAsia="zh-CN"/>
        </w:rPr>
        <w:t>。</w:t>
      </w:r>
    </w:p>
    <w:p w14:paraId="2C05DA67">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环境风险评价范围及敏感目标</w:t>
      </w:r>
    </w:p>
    <w:p w14:paraId="1A56ABBF">
      <w:pPr>
        <w:widowControl w:val="0"/>
        <w:adjustRightInd/>
        <w:snapToGrid/>
        <w:spacing w:line="360" w:lineRule="auto"/>
        <w:ind w:firstLine="480" w:firstLineChars="200"/>
        <w:jc w:val="both"/>
        <w:rPr>
          <w:rFonts w:cs="Times New Roman"/>
          <w:color w:val="auto"/>
          <w:kern w:val="2"/>
          <w:sz w:val="24"/>
          <w:szCs w:val="24"/>
        </w:rPr>
      </w:pPr>
      <w:r>
        <w:rPr>
          <w:rFonts w:hint="eastAsia" w:cs="Times New Roman"/>
          <w:color w:val="auto"/>
          <w:kern w:val="2"/>
          <w:sz w:val="24"/>
          <w:szCs w:val="24"/>
          <w:lang w:val="en-US" w:eastAsia="zh-CN"/>
        </w:rPr>
        <w:t>1.5.1</w:t>
      </w:r>
      <w:r>
        <w:rPr>
          <w:rFonts w:cs="Times New Roman"/>
          <w:color w:val="auto"/>
          <w:kern w:val="2"/>
          <w:sz w:val="24"/>
          <w:szCs w:val="24"/>
        </w:rPr>
        <w:t>评价范围</w:t>
      </w:r>
    </w:p>
    <w:p w14:paraId="41716B83">
      <w:pPr>
        <w:widowControl w:val="0"/>
        <w:adjustRightInd/>
        <w:snapToGrid/>
        <w:spacing w:line="360" w:lineRule="auto"/>
        <w:ind w:firstLine="480" w:firstLineChars="200"/>
        <w:jc w:val="both"/>
        <w:rPr>
          <w:rFonts w:cs="Times New Roman"/>
          <w:color w:val="auto"/>
          <w:kern w:val="2"/>
          <w:sz w:val="24"/>
          <w:szCs w:val="24"/>
        </w:rPr>
      </w:pPr>
      <w:r>
        <w:rPr>
          <w:rFonts w:cs="Times New Roman"/>
          <w:color w:val="auto"/>
          <w:kern w:val="2"/>
          <w:sz w:val="24"/>
          <w:szCs w:val="24"/>
        </w:rPr>
        <w:t>根据《建设项目环境风险评价技术导则》（HJ169-2018）的规定确定各环境要素的评价范围，具体如下：</w:t>
      </w:r>
    </w:p>
    <w:p w14:paraId="4766E62E">
      <w:pPr>
        <w:widowControl w:val="0"/>
        <w:adjustRightInd/>
        <w:snapToGrid/>
        <w:spacing w:line="360" w:lineRule="auto"/>
        <w:ind w:firstLine="480" w:firstLineChars="200"/>
        <w:jc w:val="both"/>
        <w:rPr>
          <w:rFonts w:cs="Times New Roman"/>
          <w:color w:val="auto"/>
          <w:kern w:val="2"/>
          <w:sz w:val="24"/>
          <w:szCs w:val="24"/>
        </w:rPr>
      </w:pPr>
      <w:r>
        <w:rPr>
          <w:rFonts w:hint="eastAsia" w:cs="Times New Roman"/>
          <w:color w:val="auto"/>
          <w:kern w:val="2"/>
          <w:sz w:val="24"/>
          <w:szCs w:val="24"/>
          <w:lang w:eastAsia="zh-CN"/>
        </w:rPr>
        <w:t>（</w:t>
      </w:r>
      <w:r>
        <w:rPr>
          <w:rFonts w:hint="eastAsia" w:cs="Times New Roman"/>
          <w:color w:val="auto"/>
          <w:kern w:val="2"/>
          <w:sz w:val="24"/>
          <w:szCs w:val="24"/>
          <w:lang w:val="en-US" w:eastAsia="zh-CN"/>
        </w:rPr>
        <w:t>1</w:t>
      </w:r>
      <w:r>
        <w:rPr>
          <w:rFonts w:hint="eastAsia" w:cs="Times New Roman"/>
          <w:color w:val="auto"/>
          <w:kern w:val="2"/>
          <w:sz w:val="24"/>
          <w:szCs w:val="24"/>
          <w:lang w:eastAsia="zh-CN"/>
        </w:rPr>
        <w:t>）</w:t>
      </w:r>
      <w:r>
        <w:rPr>
          <w:rFonts w:cs="Times New Roman"/>
          <w:color w:val="auto"/>
          <w:kern w:val="2"/>
          <w:sz w:val="24"/>
          <w:szCs w:val="24"/>
        </w:rPr>
        <w:t>环境空气风险评价范围：</w:t>
      </w:r>
      <w:r>
        <w:rPr>
          <w:rFonts w:hint="eastAsia" w:cs="Times New Roman"/>
          <w:color w:val="auto"/>
          <w:kern w:val="2"/>
          <w:sz w:val="24"/>
          <w:szCs w:val="24"/>
          <w:lang w:val="en-US" w:eastAsia="zh-CN"/>
        </w:rPr>
        <w:t>环境空气风险评价等级为三级</w:t>
      </w:r>
      <w:r>
        <w:rPr>
          <w:rFonts w:hint="eastAsia" w:cs="Times New Roman"/>
          <w:color w:val="auto"/>
          <w:kern w:val="2"/>
          <w:sz w:val="24"/>
          <w:szCs w:val="24"/>
          <w:lang w:eastAsia="zh-CN"/>
        </w:rPr>
        <w:t>，</w:t>
      </w:r>
      <w:r>
        <w:rPr>
          <w:rFonts w:hint="eastAsia" w:cs="Times New Roman"/>
          <w:color w:val="auto"/>
          <w:kern w:val="2"/>
          <w:sz w:val="24"/>
          <w:szCs w:val="24"/>
          <w:lang w:val="en-US" w:eastAsia="zh-CN"/>
        </w:rPr>
        <w:t>环境风险敏感性调查范围</w:t>
      </w:r>
      <w:r>
        <w:rPr>
          <w:rFonts w:hint="eastAsia" w:cs="Times New Roman"/>
          <w:color w:val="auto"/>
          <w:kern w:val="2"/>
          <w:sz w:val="24"/>
          <w:szCs w:val="24"/>
          <w:lang w:eastAsia="zh-CN"/>
        </w:rPr>
        <w:t>为距项目边界5km的范围</w:t>
      </w:r>
      <w:r>
        <w:rPr>
          <w:rFonts w:hint="eastAsia" w:cs="Times New Roman"/>
          <w:color w:val="auto"/>
          <w:kern w:val="2"/>
          <w:sz w:val="24"/>
          <w:szCs w:val="24"/>
        </w:rPr>
        <w:t>；</w:t>
      </w:r>
    </w:p>
    <w:p w14:paraId="33457609">
      <w:pPr>
        <w:widowControl w:val="0"/>
        <w:adjustRightInd/>
        <w:snapToGrid/>
        <w:spacing w:line="360" w:lineRule="auto"/>
        <w:ind w:firstLine="480" w:firstLineChars="200"/>
        <w:jc w:val="both"/>
        <w:rPr>
          <w:rFonts w:cs="Times New Roman"/>
          <w:color w:val="auto"/>
          <w:kern w:val="2"/>
          <w:sz w:val="24"/>
          <w:szCs w:val="24"/>
        </w:rPr>
      </w:pPr>
      <w:r>
        <w:rPr>
          <w:rFonts w:hint="eastAsia" w:cs="Times New Roman"/>
          <w:color w:val="auto"/>
          <w:kern w:val="0"/>
          <w:sz w:val="24"/>
          <w:szCs w:val="24"/>
          <w:lang w:eastAsia="zh-CN"/>
        </w:rPr>
        <w:t>（</w:t>
      </w:r>
      <w:r>
        <w:rPr>
          <w:rFonts w:hint="eastAsia" w:cs="Times New Roman"/>
          <w:color w:val="auto"/>
          <w:kern w:val="0"/>
          <w:sz w:val="24"/>
          <w:szCs w:val="24"/>
          <w:lang w:val="en-US" w:eastAsia="zh-CN"/>
        </w:rPr>
        <w:t>2</w:t>
      </w:r>
      <w:r>
        <w:rPr>
          <w:rFonts w:hint="eastAsia" w:cs="Times New Roman"/>
          <w:color w:val="auto"/>
          <w:kern w:val="0"/>
          <w:sz w:val="24"/>
          <w:szCs w:val="24"/>
          <w:lang w:eastAsia="zh-CN"/>
        </w:rPr>
        <w:t>）</w:t>
      </w:r>
      <w:r>
        <w:rPr>
          <w:rFonts w:hint="eastAsia" w:cs="Times New Roman"/>
          <w:color w:val="auto"/>
          <w:kern w:val="0"/>
          <w:sz w:val="24"/>
          <w:szCs w:val="24"/>
        </w:rPr>
        <w:t>地表水环境风险评价范围：</w:t>
      </w:r>
      <w:r>
        <w:rPr>
          <w:rFonts w:hint="eastAsia" w:cs="Times New Roman"/>
          <w:color w:val="auto"/>
          <w:kern w:val="0"/>
          <w:sz w:val="24"/>
          <w:szCs w:val="24"/>
          <w:lang w:val="en-US" w:eastAsia="zh-CN"/>
        </w:rPr>
        <w:t>本项目对地表水环境风险</w:t>
      </w:r>
      <w:r>
        <w:rPr>
          <w:rFonts w:hint="eastAsia" w:cs="Times New Roman"/>
          <w:color w:val="auto"/>
          <w:kern w:val="0"/>
          <w:sz w:val="24"/>
          <w:szCs w:val="24"/>
        </w:rPr>
        <w:t>不设定评价范围；</w:t>
      </w:r>
    </w:p>
    <w:p w14:paraId="66F021FB">
      <w:pPr>
        <w:keepNext w:val="0"/>
        <w:keepLines w:val="0"/>
        <w:pageBreakBefore w:val="0"/>
        <w:widowControl/>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cs="Times New Roman"/>
          <w:color w:val="auto"/>
          <w:kern w:val="0"/>
          <w:sz w:val="24"/>
          <w:szCs w:val="24"/>
        </w:rPr>
      </w:pPr>
      <w:r>
        <w:rPr>
          <w:rFonts w:hint="eastAsia" w:cs="Times New Roman"/>
          <w:color w:val="auto"/>
          <w:sz w:val="24"/>
          <w:szCs w:val="24"/>
          <w:lang w:val="en-US" w:eastAsia="zh-CN" w:bidi="ar-SA"/>
        </w:rPr>
        <w:t>（3）</w:t>
      </w:r>
      <w:r>
        <w:rPr>
          <w:rFonts w:ascii="Times New Roman" w:hAnsi="Times New Roman" w:eastAsia="宋体" w:cs="Times New Roman"/>
          <w:color w:val="auto"/>
          <w:sz w:val="24"/>
          <w:szCs w:val="24"/>
          <w:lang w:val="en-US" w:eastAsia="zh-CN" w:bidi="ar-SA"/>
        </w:rPr>
        <w:t>地下水环境风险评价范围：</w:t>
      </w:r>
      <w:r>
        <w:rPr>
          <w:rFonts w:hint="default" w:ascii="Times New Roman" w:hAnsi="Times New Roman" w:eastAsia="宋体" w:cs="Times New Roman"/>
          <w:color w:val="auto"/>
          <w:kern w:val="2"/>
          <w:sz w:val="24"/>
          <w:szCs w:val="22"/>
          <w:lang w:val="en-US" w:eastAsia="zh-CN"/>
        </w:rPr>
        <w:t>地下水环境风险评价范围参照</w:t>
      </w:r>
      <w:r>
        <w:rPr>
          <w:rFonts w:hint="default" w:ascii="Times New Roman" w:hAnsi="Times New Roman" w:eastAsia="宋体" w:cs="Times New Roman"/>
          <w:color w:val="auto"/>
          <w:kern w:val="2"/>
          <w:sz w:val="24"/>
          <w:szCs w:val="22"/>
        </w:rPr>
        <w:t>《环境影响评价技术导则地下水环境》（HJ610-2016）</w:t>
      </w:r>
      <w:r>
        <w:rPr>
          <w:rFonts w:hint="default" w:ascii="Times New Roman" w:hAnsi="Times New Roman" w:eastAsia="宋体" w:cs="Times New Roman"/>
          <w:color w:val="auto"/>
          <w:kern w:val="2"/>
          <w:sz w:val="24"/>
          <w:szCs w:val="22"/>
          <w:lang w:eastAsia="zh-CN"/>
        </w:rPr>
        <w:t>确定</w:t>
      </w:r>
      <w:r>
        <w:rPr>
          <w:rFonts w:hint="default" w:ascii="Times New Roman" w:hAnsi="Times New Roman" w:eastAsia="宋体" w:cs="Times New Roman"/>
          <w:color w:val="auto"/>
          <w:kern w:val="2"/>
          <w:sz w:val="24"/>
          <w:szCs w:val="22"/>
        </w:rPr>
        <w:t>，</w:t>
      </w:r>
      <w:r>
        <w:rPr>
          <w:rFonts w:hint="default" w:ascii="Times New Roman" w:hAnsi="Times New Roman" w:eastAsia="宋体" w:cs="Times New Roman"/>
          <w:color w:val="auto"/>
          <w:kern w:val="2"/>
          <w:sz w:val="24"/>
          <w:szCs w:val="22"/>
          <w:lang w:val="en-US" w:eastAsia="zh-CN"/>
        </w:rPr>
        <w:t>本次评价等级采用导则推荐的“公式计算法”确定评价范围，本项目水文地质参照《内蒙古光威碳纤有限公司大丝束碳纤维产业化项目》，该项目位于项目区北侧，距离项目区209m，属于同一水文地质单元，根据水文地质资料显示，项目区地下水流向为西北到东南，</w:t>
      </w:r>
      <w:r>
        <w:rPr>
          <w:rFonts w:hint="default" w:ascii="Times New Roman" w:hAnsi="Times New Roman" w:cs="Times New Roman"/>
          <w:color w:val="auto"/>
          <w:kern w:val="0"/>
          <w:sz w:val="24"/>
          <w:szCs w:val="24"/>
        </w:rPr>
        <w:t>本项目所在地水文地质条件相对简单，且掌握的资料能够满足公式计算法要求，</w:t>
      </w:r>
    </w:p>
    <w:p w14:paraId="7C2186C7">
      <w:pPr>
        <w:keepNext w:val="0"/>
        <w:keepLines w:val="0"/>
        <w:pageBreakBefore w:val="0"/>
        <w:widowControl/>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公式：L=α×K×I×T/ne</w:t>
      </w:r>
    </w:p>
    <w:p w14:paraId="32607F61">
      <w:pPr>
        <w:keepNext w:val="0"/>
        <w:keepLines w:val="0"/>
        <w:pageBreakBefore w:val="0"/>
        <w:widowControl/>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式中：L—下游迁移距离，m；</w:t>
      </w:r>
    </w:p>
    <w:p w14:paraId="7863326A">
      <w:pPr>
        <w:keepNext w:val="0"/>
        <w:keepLines w:val="0"/>
        <w:pageBreakBefore w:val="0"/>
        <w:widowControl/>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 xml:space="preserve">      α—变化系数，α≥1，一般取2；</w:t>
      </w:r>
    </w:p>
    <w:p w14:paraId="6127A82A">
      <w:pPr>
        <w:keepNext w:val="0"/>
        <w:keepLines w:val="0"/>
        <w:pageBreakBefore w:val="0"/>
        <w:widowControl/>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 xml:space="preserve">      K—渗透系数，m/d，</w:t>
      </w:r>
    </w:p>
    <w:p w14:paraId="123B0EDE">
      <w:pPr>
        <w:keepNext w:val="0"/>
        <w:keepLines w:val="0"/>
        <w:pageBreakBefore w:val="0"/>
        <w:widowControl/>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 xml:space="preserve">      I—水力坡度，无量纲，根据计算区域水力坡度约为0.002；</w:t>
      </w:r>
    </w:p>
    <w:p w14:paraId="4F20E5AD">
      <w:pPr>
        <w:keepNext w:val="0"/>
        <w:keepLines w:val="0"/>
        <w:pageBreakBefore w:val="0"/>
        <w:widowControl/>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 xml:space="preserve">      T—质点迁移天数，取值不小于5000d；本次以</w:t>
      </w:r>
      <w:r>
        <w:rPr>
          <w:rFonts w:hint="default" w:ascii="Times New Roman" w:hAnsi="Times New Roman" w:cs="Times New Roman"/>
          <w:color w:val="auto"/>
          <w:kern w:val="0"/>
          <w:sz w:val="24"/>
          <w:szCs w:val="24"/>
          <w:lang w:val="en-US" w:eastAsia="zh-CN"/>
        </w:rPr>
        <w:t>5000</w:t>
      </w:r>
      <w:r>
        <w:rPr>
          <w:rFonts w:hint="default" w:ascii="Times New Roman" w:hAnsi="Times New Roman" w:cs="Times New Roman"/>
          <w:color w:val="auto"/>
          <w:kern w:val="0"/>
          <w:sz w:val="24"/>
          <w:szCs w:val="24"/>
        </w:rPr>
        <w:t>d计，</w:t>
      </w:r>
    </w:p>
    <w:p w14:paraId="7DDD9AD8">
      <w:pPr>
        <w:keepNext w:val="0"/>
        <w:keepLines w:val="0"/>
        <w:pageBreakBefore w:val="0"/>
        <w:widowControl/>
        <w:kinsoku/>
        <w:wordWrap/>
        <w:overflowPunct/>
        <w:topLinePunct w:val="0"/>
        <w:autoSpaceDE/>
        <w:autoSpaceDN/>
        <w:bidi w:val="0"/>
        <w:adjustRightInd w:val="0"/>
        <w:snapToGrid w:val="0"/>
        <w:spacing w:line="336" w:lineRule="auto"/>
        <w:ind w:firstLine="480" w:firstLineChars="200"/>
        <w:jc w:val="left"/>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 xml:space="preserve">      ne—有效孔隙度，无量纲，选取经验值0.2。</w:t>
      </w:r>
    </w:p>
    <w:p w14:paraId="56EAEA26">
      <w:pPr>
        <w:keepNext w:val="0"/>
        <w:keepLines w:val="0"/>
        <w:pageBreakBefore w:val="0"/>
        <w:widowControl w:val="0"/>
        <w:kinsoku/>
        <w:wordWrap/>
        <w:overflowPunct/>
        <w:topLinePunct w:val="0"/>
        <w:autoSpaceDE/>
        <w:autoSpaceDN/>
        <w:bidi w:val="0"/>
        <w:adjustRightInd/>
        <w:snapToGrid w:val="0"/>
        <w:spacing w:line="360" w:lineRule="auto"/>
        <w:ind w:firstLine="510"/>
        <w:textAlignment w:val="auto"/>
        <w:rPr>
          <w:rFonts w:hint="default" w:ascii="Times New Roman" w:hAnsi="Times New Roman" w:eastAsia="宋体" w:cs="Times New Roman"/>
          <w:color w:val="auto"/>
          <w:kern w:val="2"/>
          <w:sz w:val="24"/>
          <w:szCs w:val="22"/>
        </w:rPr>
      </w:pPr>
      <w:r>
        <w:rPr>
          <w:rFonts w:hint="default" w:ascii="Times New Roman" w:hAnsi="Times New Roman" w:cs="Times New Roman"/>
          <w:color w:val="auto"/>
          <w:kern w:val="0"/>
          <w:sz w:val="24"/>
          <w:szCs w:val="24"/>
          <w:lang w:val="en-US" w:eastAsia="zh-CN"/>
        </w:rPr>
        <w:t>根据</w:t>
      </w:r>
      <w:r>
        <w:rPr>
          <w:rFonts w:hint="default" w:ascii="Times New Roman" w:hAnsi="Times New Roman" w:eastAsia="宋体" w:cs="Times New Roman"/>
          <w:color w:val="auto"/>
          <w:kern w:val="2"/>
          <w:sz w:val="24"/>
          <w:szCs w:val="22"/>
          <w:lang w:val="en-US" w:eastAsia="zh-CN"/>
        </w:rPr>
        <w:t>《内蒙古光威碳纤有限公司大丝束碳纤维产业化项目》，</w:t>
      </w:r>
      <w:r>
        <w:rPr>
          <w:rFonts w:hint="default" w:ascii="Times New Roman" w:hAnsi="Times New Roman" w:eastAsia="宋体" w:cs="Times New Roman"/>
          <w:color w:val="auto"/>
          <w:sz w:val="24"/>
          <w:szCs w:val="24"/>
          <w:lang w:val="en-US" w:eastAsia="zh-CN"/>
        </w:rPr>
        <w:t>项目区域</w:t>
      </w:r>
      <w:r>
        <w:rPr>
          <w:rFonts w:hint="default" w:ascii="Times New Roman" w:hAnsi="Times New Roman" w:eastAsia="宋体" w:cs="Times New Roman"/>
          <w:color w:val="auto"/>
          <w:sz w:val="24"/>
          <w:szCs w:val="24"/>
        </w:rPr>
        <w:t>处于昆扇的中下部，包气带岩性以粉土为主。评价区包气带土体颗粒细，但厚度薄，大部分地区包气带厚度小于5m，岩性为粉土，渗透性能较强</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K＝0.43</w:t>
      </w:r>
      <w:r>
        <w:rPr>
          <w:rFonts w:hint="default"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rPr>
        <w:t>12.83m/d</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lang w:val="en-US" w:eastAsia="zh-CN"/>
        </w:rPr>
        <w:t>本次取12.83</w:t>
      </w:r>
      <w:r>
        <w:rPr>
          <w:rFonts w:hint="default" w:ascii="Times New Roman" w:hAnsi="Times New Roman" w:eastAsia="宋体" w:cs="Times New Roman"/>
          <w:color w:val="auto"/>
          <w:sz w:val="24"/>
          <w:szCs w:val="24"/>
        </w:rPr>
        <w:t>。</w:t>
      </w:r>
    </w:p>
    <w:p w14:paraId="62EA049F">
      <w:pPr>
        <w:keepNext w:val="0"/>
        <w:keepLines w:val="0"/>
        <w:pageBreakBefore w:val="0"/>
        <w:widowControl w:val="0"/>
        <w:kinsoku/>
        <w:wordWrap/>
        <w:overflowPunct/>
        <w:topLinePunct w:val="0"/>
        <w:autoSpaceDE/>
        <w:autoSpaceDN/>
        <w:bidi w:val="0"/>
        <w:adjustRightInd/>
        <w:snapToGrid w:val="0"/>
        <w:spacing w:line="360" w:lineRule="auto"/>
        <w:ind w:firstLine="510"/>
        <w:textAlignment w:val="auto"/>
        <w:rPr>
          <w:rFonts w:hint="default" w:ascii="Times New Roman" w:hAnsi="Times New Roman" w:eastAsia="宋体" w:cs="Times New Roman"/>
          <w:color w:val="auto"/>
          <w:kern w:val="2"/>
          <w:sz w:val="24"/>
          <w:szCs w:val="22"/>
          <w:lang w:val="en-US" w:eastAsia="zh-CN"/>
        </w:rPr>
      </w:pPr>
      <w:r>
        <w:rPr>
          <w:rFonts w:hint="default" w:ascii="Times New Roman" w:hAnsi="Times New Roman" w:eastAsia="宋体" w:cs="Times New Roman"/>
          <w:color w:val="auto"/>
          <w:kern w:val="2"/>
          <w:sz w:val="24"/>
          <w:szCs w:val="22"/>
        </w:rPr>
        <w:t>根据上式计算得出L=</w:t>
      </w:r>
      <w:r>
        <w:rPr>
          <w:rFonts w:hint="default" w:ascii="Times New Roman" w:hAnsi="Times New Roman" w:eastAsia="宋体" w:cs="Times New Roman"/>
          <w:color w:val="auto"/>
          <w:kern w:val="2"/>
          <w:sz w:val="24"/>
          <w:szCs w:val="22"/>
          <w:lang w:val="en-US" w:eastAsia="zh-CN"/>
        </w:rPr>
        <w:t>1283</w:t>
      </w:r>
      <w:r>
        <w:rPr>
          <w:rFonts w:hint="default" w:ascii="Times New Roman" w:hAnsi="Times New Roman" w:eastAsia="宋体" w:cs="Times New Roman"/>
          <w:color w:val="auto"/>
          <w:kern w:val="2"/>
          <w:sz w:val="24"/>
          <w:szCs w:val="22"/>
        </w:rPr>
        <w:t>m</w:t>
      </w:r>
      <w:r>
        <w:rPr>
          <w:rFonts w:hint="default" w:ascii="Times New Roman" w:hAnsi="Times New Roman" w:eastAsia="宋体" w:cs="Times New Roman"/>
          <w:color w:val="auto"/>
          <w:kern w:val="2"/>
          <w:sz w:val="24"/>
          <w:szCs w:val="22"/>
          <w:lang w:eastAsia="zh-CN"/>
        </w:rPr>
        <w:t>，</w:t>
      </w:r>
      <w:r>
        <w:rPr>
          <w:rFonts w:hint="default" w:ascii="Times New Roman" w:hAnsi="Times New Roman" w:eastAsia="宋体" w:cs="Times New Roman"/>
          <w:color w:val="auto"/>
          <w:kern w:val="2"/>
          <w:sz w:val="24"/>
          <w:szCs w:val="22"/>
          <w:lang w:val="en-US" w:eastAsia="zh-CN"/>
        </w:rPr>
        <w:t>进一步计算得出评价范围为3.4km</w:t>
      </w:r>
      <w:r>
        <w:rPr>
          <w:rFonts w:hint="default" w:ascii="Times New Roman" w:hAnsi="Times New Roman" w:eastAsia="宋体" w:cs="Times New Roman"/>
          <w:color w:val="auto"/>
          <w:kern w:val="2"/>
          <w:sz w:val="24"/>
          <w:szCs w:val="22"/>
          <w:vertAlign w:val="superscript"/>
          <w:lang w:val="en-US" w:eastAsia="zh-CN"/>
        </w:rPr>
        <w:t>2</w:t>
      </w:r>
      <w:r>
        <w:rPr>
          <w:rFonts w:hint="default" w:ascii="Times New Roman" w:hAnsi="Times New Roman" w:eastAsia="宋体" w:cs="Times New Roman"/>
          <w:color w:val="auto"/>
          <w:kern w:val="2"/>
          <w:sz w:val="24"/>
          <w:szCs w:val="22"/>
          <w:lang w:val="en-US" w:eastAsia="zh-CN"/>
        </w:rPr>
        <w:t>，根据《内蒙古包头九原工业园区总体规划环境影响报告书》结合对现场调查，评价范围内不存在</w:t>
      </w:r>
      <w:r>
        <w:rPr>
          <w:rFonts w:hint="default" w:ascii="Times New Roman" w:hAnsi="Times New Roman" w:eastAsia="宋体" w:cs="Times New Roman"/>
          <w:color w:val="auto"/>
          <w:spacing w:val="0"/>
          <w:kern w:val="2"/>
          <w:sz w:val="24"/>
          <w:szCs w:val="24"/>
        </w:rPr>
        <w:t>地下水功能敏感</w:t>
      </w:r>
      <w:r>
        <w:rPr>
          <w:rFonts w:hint="default" w:ascii="Times New Roman" w:hAnsi="Times New Roman" w:eastAsia="宋体" w:cs="Times New Roman"/>
          <w:color w:val="auto"/>
          <w:spacing w:val="0"/>
          <w:kern w:val="2"/>
          <w:sz w:val="24"/>
          <w:szCs w:val="24"/>
          <w:lang w:val="en-US" w:eastAsia="zh-CN"/>
        </w:rPr>
        <w:t>区及较敏感区，因此无地下水保护目标</w:t>
      </w:r>
      <w:r>
        <w:rPr>
          <w:rFonts w:hint="default" w:ascii="Times New Roman" w:hAnsi="Times New Roman" w:cs="Times New Roman"/>
          <w:color w:val="auto"/>
          <w:kern w:val="0"/>
          <w:sz w:val="24"/>
          <w:szCs w:val="24"/>
          <w:vertAlign w:val="baseline"/>
          <w:lang w:val="en-US" w:eastAsia="zh-CN"/>
        </w:rPr>
        <w:t>。</w:t>
      </w:r>
      <w:r>
        <w:rPr>
          <w:rFonts w:hint="default" w:ascii="Times New Roman" w:hAnsi="Times New Roman" w:eastAsia="宋体" w:cs="Times New Roman"/>
          <w:color w:val="auto"/>
          <w:kern w:val="2"/>
          <w:sz w:val="24"/>
          <w:szCs w:val="22"/>
        </w:rPr>
        <w:t>项目各要素风险评价范围见表</w:t>
      </w:r>
      <w:r>
        <w:rPr>
          <w:rFonts w:hint="default" w:ascii="Times New Roman" w:hAnsi="Times New Roman" w:eastAsia="宋体" w:cs="Times New Roman"/>
          <w:color w:val="auto"/>
          <w:kern w:val="2"/>
          <w:sz w:val="24"/>
          <w:szCs w:val="22"/>
          <w:lang w:val="en-US" w:eastAsia="zh-CN"/>
        </w:rPr>
        <w:t>2.5-1，评价范围内的保护目标见表2.5-2，评价范围及保护目标见图2-1。</w:t>
      </w:r>
    </w:p>
    <w:p w14:paraId="56A0D6AF">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bCs/>
          <w:color w:val="auto"/>
          <w:kern w:val="2"/>
          <w:sz w:val="21"/>
          <w:szCs w:val="21"/>
        </w:rPr>
      </w:pPr>
    </w:p>
    <w:p w14:paraId="12129086">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b/>
          <w:bCs/>
          <w:color w:val="auto"/>
          <w:kern w:val="2"/>
          <w:sz w:val="21"/>
          <w:szCs w:val="21"/>
        </w:rPr>
        <w:t>表</w:t>
      </w:r>
      <w:r>
        <w:rPr>
          <w:rFonts w:hint="default" w:ascii="Times New Roman" w:hAnsi="Times New Roman" w:eastAsia="宋体" w:cs="Times New Roman"/>
          <w:b/>
          <w:bCs/>
          <w:color w:val="auto"/>
          <w:kern w:val="2"/>
          <w:sz w:val="21"/>
          <w:szCs w:val="21"/>
          <w:lang w:val="en-US" w:eastAsia="zh-CN"/>
        </w:rPr>
        <w:t>2.5-1</w:t>
      </w:r>
      <w:r>
        <w:rPr>
          <w:rFonts w:hint="default" w:ascii="Times New Roman" w:hAnsi="Times New Roman" w:eastAsia="宋体" w:cs="Times New Roman"/>
          <w:b/>
          <w:bCs/>
          <w:color w:val="auto"/>
          <w:kern w:val="2"/>
          <w:sz w:val="21"/>
          <w:szCs w:val="21"/>
        </w:rPr>
        <w:t xml:space="preserve">   风险评价范围表</w:t>
      </w:r>
    </w:p>
    <w:p w14:paraId="3AD82D64">
      <w:pPr>
        <w:spacing w:line="64" w:lineRule="exact"/>
        <w:rPr>
          <w:rFonts w:hint="default" w:ascii="Times New Roman" w:hAnsi="Times New Roman" w:cs="Times New Roman"/>
          <w:color w:val="auto"/>
        </w:rPr>
      </w:pPr>
    </w:p>
    <w:tbl>
      <w:tblPr>
        <w:tblStyle w:val="84"/>
        <w:tblW w:w="5030" w:type="pct"/>
        <w:tblInd w:w="0" w:type="dxa"/>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Layout w:type="autofit"/>
        <w:tblCellMar>
          <w:top w:w="0" w:type="dxa"/>
          <w:left w:w="0" w:type="dxa"/>
          <w:bottom w:w="0" w:type="dxa"/>
          <w:right w:w="0" w:type="dxa"/>
        </w:tblCellMar>
      </w:tblPr>
      <w:tblGrid>
        <w:gridCol w:w="911"/>
        <w:gridCol w:w="2796"/>
        <w:gridCol w:w="736"/>
        <w:gridCol w:w="773"/>
        <w:gridCol w:w="3146"/>
      </w:tblGrid>
      <w:tr w14:paraId="52C7F1F6">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45" w:type="pct"/>
            <w:vMerge w:val="restart"/>
            <w:tcBorders>
              <w:tl2br w:val="nil"/>
              <w:tr2bl w:val="nil"/>
            </w:tcBorders>
            <w:noWrap w:val="0"/>
            <w:vAlign w:val="center"/>
          </w:tcPr>
          <w:p w14:paraId="3C6AE96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环境要素</w:t>
            </w:r>
          </w:p>
        </w:tc>
        <w:tc>
          <w:tcPr>
            <w:tcW w:w="1672" w:type="pct"/>
            <w:vMerge w:val="restart"/>
            <w:tcBorders>
              <w:tl2br w:val="nil"/>
              <w:tr2bl w:val="nil"/>
            </w:tcBorders>
            <w:noWrap w:val="0"/>
            <w:vAlign w:val="center"/>
          </w:tcPr>
          <w:p w14:paraId="5CE2C88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1"/>
                <w:sz w:val="21"/>
                <w:szCs w:val="21"/>
              </w:rPr>
              <w:t>风险导则中</w:t>
            </w:r>
            <w:r>
              <w:rPr>
                <w:rFonts w:hint="default" w:ascii="Times New Roman" w:hAnsi="Times New Roman" w:eastAsia="Times New Roman" w:cs="Times New Roman"/>
                <w:color w:val="auto"/>
                <w:spacing w:val="-1"/>
                <w:sz w:val="21"/>
                <w:szCs w:val="21"/>
              </w:rPr>
              <w:t>—</w:t>
            </w:r>
            <w:r>
              <w:rPr>
                <w:rFonts w:hint="default" w:ascii="Times New Roman" w:hAnsi="Times New Roman" w:eastAsia="宋体" w:cs="Times New Roman"/>
                <w:color w:val="auto"/>
                <w:spacing w:val="-1"/>
                <w:sz w:val="21"/>
                <w:szCs w:val="21"/>
              </w:rPr>
              <w:t>评价范围确定依据</w:t>
            </w:r>
          </w:p>
        </w:tc>
        <w:tc>
          <w:tcPr>
            <w:tcW w:w="902" w:type="pct"/>
            <w:gridSpan w:val="2"/>
            <w:tcBorders>
              <w:tl2br w:val="nil"/>
              <w:tr2bl w:val="nil"/>
            </w:tcBorders>
            <w:noWrap w:val="0"/>
            <w:vAlign w:val="center"/>
          </w:tcPr>
          <w:p w14:paraId="57A67EE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本项目风险评价</w:t>
            </w:r>
          </w:p>
        </w:tc>
        <w:tc>
          <w:tcPr>
            <w:tcW w:w="1879" w:type="pct"/>
            <w:vMerge w:val="restart"/>
            <w:tcBorders>
              <w:tl2br w:val="nil"/>
              <w:tr2bl w:val="nil"/>
            </w:tcBorders>
            <w:noWrap w:val="0"/>
            <w:vAlign w:val="center"/>
          </w:tcPr>
          <w:p w14:paraId="7D0FC9A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2"/>
                <w:sz w:val="21"/>
                <w:szCs w:val="21"/>
                <w:lang w:val="en-US" w:eastAsia="zh-CN"/>
              </w:rPr>
            </w:pPr>
            <w:r>
              <w:rPr>
                <w:rFonts w:hint="default" w:ascii="Times New Roman" w:hAnsi="Times New Roman" w:eastAsia="宋体" w:cs="Times New Roman"/>
                <w:color w:val="auto"/>
                <w:spacing w:val="-2"/>
                <w:sz w:val="21"/>
                <w:szCs w:val="21"/>
                <w:lang w:val="en-US" w:eastAsia="zh-CN"/>
              </w:rPr>
              <w:t>评价内容</w:t>
            </w:r>
          </w:p>
        </w:tc>
      </w:tr>
      <w:tr w14:paraId="1E49655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45" w:type="pct"/>
            <w:vMerge w:val="continue"/>
            <w:tcBorders>
              <w:tl2br w:val="nil"/>
              <w:tr2bl w:val="nil"/>
            </w:tcBorders>
            <w:noWrap w:val="0"/>
            <w:vAlign w:val="center"/>
          </w:tcPr>
          <w:p w14:paraId="6377686B">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z w:val="21"/>
                <w:szCs w:val="21"/>
              </w:rPr>
            </w:pPr>
          </w:p>
        </w:tc>
        <w:tc>
          <w:tcPr>
            <w:tcW w:w="1672" w:type="pct"/>
            <w:vMerge w:val="continue"/>
            <w:tcBorders>
              <w:tl2br w:val="nil"/>
              <w:tr2bl w:val="nil"/>
            </w:tcBorders>
            <w:noWrap w:val="0"/>
            <w:vAlign w:val="center"/>
          </w:tcPr>
          <w:p w14:paraId="22A3A10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cs="Times New Roman"/>
                <w:color w:val="auto"/>
                <w:sz w:val="21"/>
                <w:szCs w:val="21"/>
              </w:rPr>
            </w:pPr>
          </w:p>
        </w:tc>
        <w:tc>
          <w:tcPr>
            <w:tcW w:w="440" w:type="pct"/>
            <w:tcBorders>
              <w:tl2br w:val="nil"/>
              <w:tr2bl w:val="nil"/>
            </w:tcBorders>
            <w:noWrap w:val="0"/>
            <w:vAlign w:val="center"/>
          </w:tcPr>
          <w:p w14:paraId="29722E1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6"/>
                <w:sz w:val="21"/>
                <w:szCs w:val="21"/>
              </w:rPr>
              <w:t>等级</w:t>
            </w:r>
          </w:p>
        </w:tc>
        <w:tc>
          <w:tcPr>
            <w:tcW w:w="461" w:type="pct"/>
            <w:tcBorders>
              <w:tl2br w:val="nil"/>
              <w:tr2bl w:val="nil"/>
            </w:tcBorders>
            <w:noWrap w:val="0"/>
            <w:vAlign w:val="center"/>
          </w:tcPr>
          <w:p w14:paraId="0DA300B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范围</w:t>
            </w:r>
          </w:p>
        </w:tc>
        <w:tc>
          <w:tcPr>
            <w:tcW w:w="1879" w:type="pct"/>
            <w:vMerge w:val="continue"/>
            <w:tcBorders>
              <w:tl2br w:val="nil"/>
              <w:tr2bl w:val="nil"/>
            </w:tcBorders>
            <w:noWrap w:val="0"/>
            <w:vAlign w:val="center"/>
          </w:tcPr>
          <w:p w14:paraId="24C37F7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pacing w:val="-8"/>
                <w:sz w:val="21"/>
                <w:szCs w:val="21"/>
              </w:rPr>
            </w:pPr>
          </w:p>
        </w:tc>
      </w:tr>
      <w:tr w14:paraId="34FF723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45" w:type="pct"/>
            <w:tcBorders>
              <w:tl2br w:val="nil"/>
              <w:tr2bl w:val="nil"/>
            </w:tcBorders>
            <w:noWrap w:val="0"/>
            <w:vAlign w:val="center"/>
          </w:tcPr>
          <w:p w14:paraId="2EA4E4D8">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大气环境</w:t>
            </w:r>
          </w:p>
        </w:tc>
        <w:tc>
          <w:tcPr>
            <w:tcW w:w="1672" w:type="pct"/>
            <w:tcBorders>
              <w:tl2br w:val="nil"/>
              <w:tr2bl w:val="nil"/>
            </w:tcBorders>
            <w:noWrap w:val="0"/>
            <w:vAlign w:val="center"/>
          </w:tcPr>
          <w:p w14:paraId="2DE69DE6">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8"/>
                <w:sz w:val="21"/>
                <w:szCs w:val="21"/>
              </w:rPr>
              <w:t>大气环境风险评价范围：一级、二级评价距建设项</w:t>
            </w:r>
            <w:r>
              <w:rPr>
                <w:rFonts w:hint="default" w:ascii="Times New Roman" w:hAnsi="Times New Roman" w:eastAsia="宋体" w:cs="Times New Roman"/>
                <w:color w:val="auto"/>
                <w:spacing w:val="-4"/>
                <w:sz w:val="21"/>
                <w:szCs w:val="21"/>
              </w:rPr>
              <w:t>目边界一般不低于</w:t>
            </w:r>
            <w:r>
              <w:rPr>
                <w:rFonts w:hint="default" w:ascii="Times New Roman" w:hAnsi="Times New Roman" w:eastAsia="宋体" w:cs="Times New Roman"/>
                <w:color w:val="auto"/>
                <w:spacing w:val="-41"/>
                <w:sz w:val="21"/>
                <w:szCs w:val="21"/>
              </w:rPr>
              <w:t xml:space="preserve"> </w:t>
            </w:r>
            <w:r>
              <w:rPr>
                <w:rFonts w:hint="default" w:ascii="Times New Roman" w:hAnsi="Times New Roman" w:eastAsia="Times New Roman" w:cs="Times New Roman"/>
                <w:color w:val="auto"/>
                <w:spacing w:val="-4"/>
                <w:sz w:val="21"/>
                <w:szCs w:val="21"/>
              </w:rPr>
              <w:t>5km</w:t>
            </w:r>
            <w:r>
              <w:rPr>
                <w:rFonts w:hint="default" w:ascii="Times New Roman" w:hAnsi="Times New Roman" w:eastAsia="Times New Roman" w:cs="Times New Roman"/>
                <w:color w:val="auto"/>
                <w:spacing w:val="-23"/>
                <w:sz w:val="21"/>
                <w:szCs w:val="21"/>
              </w:rPr>
              <w:t xml:space="preserve"> </w:t>
            </w:r>
            <w:r>
              <w:rPr>
                <w:rFonts w:hint="default" w:ascii="Times New Roman" w:hAnsi="Times New Roman" w:eastAsia="宋体" w:cs="Times New Roman"/>
                <w:color w:val="auto"/>
                <w:spacing w:val="-4"/>
                <w:sz w:val="21"/>
                <w:szCs w:val="21"/>
              </w:rPr>
              <w:t>；三级评价距建设项目边界</w:t>
            </w:r>
            <w:r>
              <w:rPr>
                <w:rFonts w:hint="default" w:ascii="Times New Roman" w:hAnsi="Times New Roman" w:eastAsia="宋体" w:cs="Times New Roman"/>
                <w:color w:val="auto"/>
                <w:spacing w:val="-7"/>
                <w:sz w:val="21"/>
                <w:szCs w:val="21"/>
              </w:rPr>
              <w:t>一般不低于</w:t>
            </w:r>
            <w:r>
              <w:rPr>
                <w:rFonts w:hint="default" w:ascii="Times New Roman" w:hAnsi="Times New Roman" w:eastAsia="宋体" w:cs="Times New Roman"/>
                <w:color w:val="auto"/>
                <w:spacing w:val="-27"/>
                <w:sz w:val="21"/>
                <w:szCs w:val="21"/>
              </w:rPr>
              <w:t xml:space="preserve"> </w:t>
            </w:r>
            <w:r>
              <w:rPr>
                <w:rFonts w:hint="default" w:ascii="Times New Roman" w:hAnsi="Times New Roman" w:eastAsia="Times New Roman" w:cs="Times New Roman"/>
                <w:color w:val="auto"/>
                <w:spacing w:val="-7"/>
                <w:sz w:val="21"/>
                <w:szCs w:val="21"/>
              </w:rPr>
              <w:t>3km</w:t>
            </w:r>
          </w:p>
        </w:tc>
        <w:tc>
          <w:tcPr>
            <w:tcW w:w="440" w:type="pct"/>
            <w:tcBorders>
              <w:tl2br w:val="nil"/>
              <w:tr2bl w:val="nil"/>
            </w:tcBorders>
            <w:noWrap w:val="0"/>
            <w:vAlign w:val="center"/>
          </w:tcPr>
          <w:p w14:paraId="24A5A00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三级</w:t>
            </w:r>
          </w:p>
        </w:tc>
        <w:tc>
          <w:tcPr>
            <w:tcW w:w="461" w:type="pct"/>
            <w:tcBorders>
              <w:tl2br w:val="nil"/>
              <w:tr2bl w:val="nil"/>
            </w:tcBorders>
            <w:noWrap w:val="0"/>
            <w:vAlign w:val="center"/>
          </w:tcPr>
          <w:p w14:paraId="73B2B8DF">
            <w:pPr>
              <w:keepNext w:val="0"/>
              <w:keepLines w:val="0"/>
              <w:pageBreakBefore w:val="0"/>
              <w:widowControl w:val="0"/>
              <w:kinsoku/>
              <w:wordWrap/>
              <w:overflowPunct/>
              <w:topLinePunct w:val="0"/>
              <w:autoSpaceDE/>
              <w:autoSpaceDN/>
              <w:bidi w:val="0"/>
              <w:adjustRightInd/>
              <w:snapToGrid/>
              <w:spacing w:line="240" w:lineRule="auto"/>
              <w:ind w:left="123" w:right="98" w:firstLine="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5km</w:t>
            </w:r>
          </w:p>
        </w:tc>
        <w:tc>
          <w:tcPr>
            <w:tcW w:w="1879" w:type="pct"/>
            <w:tcBorders>
              <w:tl2br w:val="nil"/>
              <w:tr2bl w:val="nil"/>
            </w:tcBorders>
            <w:noWrap w:val="0"/>
            <w:vAlign w:val="center"/>
          </w:tcPr>
          <w:p w14:paraId="69695A19">
            <w:pPr>
              <w:keepNext w:val="0"/>
              <w:keepLines w:val="0"/>
              <w:pageBreakBefore w:val="0"/>
              <w:widowControl w:val="0"/>
              <w:kinsoku/>
              <w:wordWrap/>
              <w:overflowPunct/>
              <w:topLinePunct w:val="0"/>
              <w:autoSpaceDE/>
              <w:autoSpaceDN/>
              <w:bidi w:val="0"/>
              <w:adjustRightInd/>
              <w:snapToGrid/>
              <w:spacing w:line="240" w:lineRule="auto"/>
              <w:ind w:left="123" w:right="98" w:firstLine="0"/>
              <w:jc w:val="center"/>
              <w:textAlignment w:val="auto"/>
              <w:rPr>
                <w:rFonts w:hint="default" w:ascii="Times New Roman" w:hAnsi="Times New Roman" w:eastAsia="宋体" w:cs="Times New Roman"/>
                <w:color w:val="auto"/>
                <w:spacing w:val="-8"/>
                <w:sz w:val="21"/>
                <w:szCs w:val="21"/>
                <w:lang w:val="en-US" w:eastAsia="zh-CN"/>
              </w:rPr>
            </w:pPr>
            <w:r>
              <w:rPr>
                <w:rFonts w:hint="default" w:ascii="Times New Roman" w:hAnsi="Times New Roman" w:eastAsia="宋体" w:cs="Times New Roman"/>
                <w:color w:val="auto"/>
                <w:spacing w:val="-8"/>
                <w:sz w:val="21"/>
                <w:szCs w:val="21"/>
                <w:lang w:val="en-US" w:eastAsia="zh-CN"/>
              </w:rPr>
              <w:t>/</w:t>
            </w:r>
          </w:p>
        </w:tc>
      </w:tr>
      <w:tr w14:paraId="4DF28055">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45" w:type="pct"/>
            <w:tcBorders>
              <w:tl2br w:val="nil"/>
              <w:tr2bl w:val="nil"/>
            </w:tcBorders>
            <w:noWrap w:val="0"/>
            <w:vAlign w:val="center"/>
          </w:tcPr>
          <w:p w14:paraId="109FD29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地下水环</w:t>
            </w:r>
            <w:r>
              <w:rPr>
                <w:rFonts w:hint="default" w:ascii="Times New Roman" w:hAnsi="Times New Roman" w:eastAsia="宋体" w:cs="Times New Roman"/>
                <w:color w:val="auto"/>
                <w:sz w:val="21"/>
                <w:szCs w:val="21"/>
              </w:rPr>
              <w:t>境</w:t>
            </w:r>
          </w:p>
        </w:tc>
        <w:tc>
          <w:tcPr>
            <w:tcW w:w="1672" w:type="pct"/>
            <w:tcBorders>
              <w:tl2br w:val="nil"/>
              <w:tr2bl w:val="nil"/>
            </w:tcBorders>
            <w:noWrap w:val="0"/>
            <w:vAlign w:val="center"/>
          </w:tcPr>
          <w:p w14:paraId="04F00FF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地下水环境风险评价范围参照</w:t>
            </w:r>
            <w:r>
              <w:rPr>
                <w:rFonts w:hint="default" w:ascii="Times New Roman" w:hAnsi="Times New Roman" w:eastAsia="宋体" w:cs="Times New Roman"/>
                <w:color w:val="auto"/>
                <w:spacing w:val="-38"/>
                <w:sz w:val="21"/>
                <w:szCs w:val="21"/>
              </w:rPr>
              <w:t xml:space="preserve"> </w:t>
            </w:r>
            <w:r>
              <w:rPr>
                <w:rFonts w:hint="default" w:ascii="Times New Roman" w:hAnsi="Times New Roman" w:eastAsia="Times New Roman" w:cs="Times New Roman"/>
                <w:color w:val="auto"/>
                <w:spacing w:val="-2"/>
                <w:sz w:val="21"/>
                <w:szCs w:val="21"/>
              </w:rPr>
              <w:t>HJ610</w:t>
            </w:r>
            <w:r>
              <w:rPr>
                <w:rFonts w:hint="default" w:ascii="Times New Roman" w:hAnsi="Times New Roman" w:eastAsia="宋体" w:cs="Times New Roman"/>
                <w:color w:val="auto"/>
                <w:spacing w:val="-2"/>
                <w:sz w:val="21"/>
                <w:szCs w:val="21"/>
              </w:rPr>
              <w:t>确定</w:t>
            </w:r>
          </w:p>
        </w:tc>
        <w:tc>
          <w:tcPr>
            <w:tcW w:w="440" w:type="pct"/>
            <w:tcBorders>
              <w:tl2br w:val="nil"/>
              <w:tr2bl w:val="nil"/>
            </w:tcBorders>
            <w:noWrap w:val="0"/>
            <w:vAlign w:val="center"/>
          </w:tcPr>
          <w:p w14:paraId="4F3186A1">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rPr>
            </w:pPr>
            <w:r>
              <w:rPr>
                <w:rFonts w:hint="eastAsia" w:cs="Times New Roman"/>
                <w:color w:val="auto"/>
                <w:spacing w:val="-7"/>
                <w:sz w:val="21"/>
                <w:szCs w:val="21"/>
                <w:lang w:val="en-US" w:eastAsia="zh-CN"/>
              </w:rPr>
              <w:t>二级</w:t>
            </w:r>
          </w:p>
        </w:tc>
        <w:tc>
          <w:tcPr>
            <w:tcW w:w="461" w:type="pct"/>
            <w:tcBorders>
              <w:tl2br w:val="nil"/>
              <w:tr2bl w:val="nil"/>
            </w:tcBorders>
            <w:noWrap w:val="0"/>
            <w:vAlign w:val="center"/>
          </w:tcPr>
          <w:p w14:paraId="008EDBA5">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3.4km</w:t>
            </w:r>
            <w:r>
              <w:rPr>
                <w:rFonts w:hint="default" w:ascii="Times New Roman" w:hAnsi="Times New Roman" w:eastAsia="宋体" w:cs="Times New Roman"/>
                <w:color w:val="auto"/>
                <w:sz w:val="21"/>
                <w:szCs w:val="21"/>
                <w:vertAlign w:val="superscript"/>
                <w:lang w:val="en-US" w:eastAsia="zh-CN"/>
              </w:rPr>
              <w:t>2</w:t>
            </w:r>
          </w:p>
        </w:tc>
        <w:tc>
          <w:tcPr>
            <w:tcW w:w="1879" w:type="pct"/>
            <w:tcBorders>
              <w:tl2br w:val="nil"/>
              <w:tr2bl w:val="nil"/>
            </w:tcBorders>
            <w:noWrap w:val="0"/>
            <w:vAlign w:val="center"/>
          </w:tcPr>
          <w:p w14:paraId="69FD85D4">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低于一级评价的，风险预测分析与评价要求参照HJ 610执行，根据HJ 610进行地下水环境影响分析与评价。</w:t>
            </w:r>
          </w:p>
        </w:tc>
      </w:tr>
      <w:tr w14:paraId="45641BC7">
        <w:tblPrEx>
          <w:tblBorders>
            <w:top w:val="single" w:color="000000" w:sz="2" w:space="0"/>
            <w:left w:val="single" w:color="000000" w:sz="2" w:space="0"/>
            <w:bottom w:val="single" w:color="000000" w:sz="2" w:space="0"/>
            <w:right w:val="single" w:color="000000" w:sz="2"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000" w:type="pct"/>
            <w:gridSpan w:val="5"/>
            <w:tcBorders>
              <w:tl2br w:val="nil"/>
              <w:tr2bl w:val="nil"/>
            </w:tcBorders>
            <w:noWrap w:val="0"/>
            <w:vAlign w:val="top"/>
          </w:tcPr>
          <w:p w14:paraId="5CB88A7A">
            <w:pPr>
              <w:keepNext w:val="0"/>
              <w:keepLines w:val="0"/>
              <w:pageBreakBefore w:val="0"/>
              <w:widowControl w:val="0"/>
              <w:kinsoku/>
              <w:wordWrap/>
              <w:overflowPunct/>
              <w:topLinePunct w:val="0"/>
              <w:autoSpaceDE/>
              <w:autoSpaceDN/>
              <w:bidi w:val="0"/>
              <w:adjustRightInd/>
              <w:snapToGrid/>
              <w:spacing w:line="240" w:lineRule="auto"/>
              <w:ind w:left="109" w:right="39" w:firstLine="0"/>
              <w:textAlignment w:val="auto"/>
              <w:rPr>
                <w:rFonts w:hint="default" w:ascii="Times New Roman" w:hAnsi="Times New Roman" w:eastAsia="宋体" w:cs="Times New Roman"/>
                <w:color w:val="auto"/>
                <w:spacing w:val="-6"/>
                <w:sz w:val="21"/>
                <w:szCs w:val="21"/>
              </w:rPr>
            </w:pPr>
            <w:r>
              <w:rPr>
                <w:rFonts w:hint="default" w:ascii="Times New Roman" w:hAnsi="Times New Roman" w:eastAsia="宋体" w:cs="Times New Roman"/>
                <w:color w:val="auto"/>
                <w:spacing w:val="-6"/>
                <w:sz w:val="21"/>
                <w:szCs w:val="21"/>
              </w:rPr>
              <w:t>注：环境风险评价范围应根据环境敏感目标分布情况、事故后果预测可能对环境产生危</w:t>
            </w:r>
            <w:r>
              <w:rPr>
                <w:rFonts w:hint="default" w:ascii="Times New Roman" w:hAnsi="Times New Roman" w:eastAsia="宋体" w:cs="Times New Roman"/>
                <w:color w:val="auto"/>
                <w:spacing w:val="-2"/>
                <w:sz w:val="21"/>
                <w:szCs w:val="21"/>
              </w:rPr>
              <w:t>害的范围等综合确定。项目周边所在区域，评价范围外存在需要特别关注的环境敏感目标，</w:t>
            </w:r>
            <w:r>
              <w:rPr>
                <w:rFonts w:hint="default" w:ascii="Times New Roman" w:hAnsi="Times New Roman" w:eastAsia="宋体" w:cs="Times New Roman"/>
                <w:color w:val="auto"/>
                <w:spacing w:val="-1"/>
                <w:sz w:val="21"/>
                <w:szCs w:val="21"/>
              </w:rPr>
              <w:t>评价范围需延伸至所关心的目标。</w:t>
            </w:r>
          </w:p>
        </w:tc>
      </w:tr>
    </w:tbl>
    <w:p w14:paraId="5C9D5E9D">
      <w:pPr>
        <w:pStyle w:val="43"/>
        <w:rPr>
          <w:rFonts w:hint="default" w:ascii="Times New Roman" w:hAnsi="Times New Roman" w:cs="Times New Roman"/>
          <w:color w:val="auto"/>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14:paraId="49DCAAC0">
      <w:pPr>
        <w:pStyle w:val="58"/>
        <w:bidi w:val="0"/>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rPr>
        <w:drawing>
          <wp:anchor distT="0" distB="0" distL="114300" distR="114300" simplePos="0" relativeHeight="251667456" behindDoc="0" locked="0" layoutInCell="1" allowOverlap="1">
            <wp:simplePos x="0" y="0"/>
            <wp:positionH relativeFrom="column">
              <wp:posOffset>8498840</wp:posOffset>
            </wp:positionH>
            <wp:positionV relativeFrom="paragraph">
              <wp:posOffset>201295</wp:posOffset>
            </wp:positionV>
            <wp:extent cx="331470" cy="473710"/>
            <wp:effectExtent l="0" t="0" r="11430" b="2540"/>
            <wp:wrapNone/>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52"/>
                    <a:stretch>
                      <a:fillRect/>
                    </a:stretch>
                  </pic:blipFill>
                  <pic:spPr>
                    <a:xfrm>
                      <a:off x="0" y="0"/>
                      <a:ext cx="331470" cy="473710"/>
                    </a:xfrm>
                    <a:prstGeom prst="rect">
                      <a:avLst/>
                    </a:prstGeom>
                    <a:noFill/>
                    <a:ln>
                      <a:noFill/>
                    </a:ln>
                  </pic:spPr>
                </pic:pic>
              </a:graphicData>
            </a:graphic>
          </wp:anchor>
        </w:drawing>
      </w:r>
      <w:r>
        <w:rPr>
          <w:rFonts w:hint="default" w:ascii="Times New Roman" w:hAnsi="Times New Roman" w:cs="Times New Roman"/>
          <w:color w:val="auto"/>
        </w:rPr>
        <w:drawing>
          <wp:anchor distT="0" distB="0" distL="114300" distR="114300" simplePos="0" relativeHeight="251663360" behindDoc="0" locked="0" layoutInCell="1" allowOverlap="1">
            <wp:simplePos x="0" y="0"/>
            <wp:positionH relativeFrom="column">
              <wp:posOffset>-280035</wp:posOffset>
            </wp:positionH>
            <wp:positionV relativeFrom="paragraph">
              <wp:posOffset>167640</wp:posOffset>
            </wp:positionV>
            <wp:extent cx="9140190" cy="4620895"/>
            <wp:effectExtent l="0" t="0" r="3810" b="8255"/>
            <wp:wrapNone/>
            <wp:docPr id="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
                    <pic:cNvPicPr>
                      <a:picLocks noChangeAspect="1"/>
                    </pic:cNvPicPr>
                  </pic:nvPicPr>
                  <pic:blipFill>
                    <a:blip r:embed="rId53"/>
                    <a:stretch>
                      <a:fillRect/>
                    </a:stretch>
                  </pic:blipFill>
                  <pic:spPr>
                    <a:xfrm>
                      <a:off x="0" y="0"/>
                      <a:ext cx="9140190" cy="4620895"/>
                    </a:xfrm>
                    <a:prstGeom prst="rect">
                      <a:avLst/>
                    </a:prstGeom>
                    <a:noFill/>
                    <a:ln>
                      <a:noFill/>
                    </a:ln>
                  </pic:spPr>
                </pic:pic>
              </a:graphicData>
            </a:graphic>
          </wp:anchor>
        </w:drawing>
      </w:r>
    </w:p>
    <w:p w14:paraId="198C89DB">
      <w:pPr>
        <w:pStyle w:val="60"/>
        <w:rPr>
          <w:rFonts w:hint="default" w:ascii="Times New Roman" w:hAnsi="Times New Roman" w:cs="Times New Roman"/>
          <w:color w:val="auto"/>
          <w:lang w:val="en-US" w:eastAsia="zh-CN"/>
        </w:rPr>
      </w:pPr>
    </w:p>
    <w:p w14:paraId="077D7D39">
      <w:pPr>
        <w:pStyle w:val="60"/>
        <w:rPr>
          <w:rFonts w:hint="default" w:ascii="Times New Roman" w:hAnsi="Times New Roman" w:cs="Times New Roman"/>
          <w:color w:val="auto"/>
          <w:lang w:val="en-US" w:eastAsia="zh-CN"/>
        </w:rPr>
      </w:pPr>
    </w:p>
    <w:p w14:paraId="3CBAC49F">
      <w:pPr>
        <w:pStyle w:val="60"/>
        <w:rPr>
          <w:rFonts w:hint="default" w:ascii="Times New Roman" w:hAnsi="Times New Roman" w:cs="Times New Roman"/>
          <w:color w:val="auto"/>
          <w:lang w:val="en-US" w:eastAsia="zh-CN"/>
        </w:rPr>
      </w:pPr>
    </w:p>
    <w:p w14:paraId="6D201FC7">
      <w:pPr>
        <w:pStyle w:val="60"/>
        <w:rPr>
          <w:rFonts w:hint="default" w:ascii="Times New Roman" w:hAnsi="Times New Roman" w:cs="Times New Roman"/>
          <w:color w:val="auto"/>
          <w:lang w:val="en-US" w:eastAsia="zh-CN"/>
        </w:rPr>
      </w:pPr>
    </w:p>
    <w:p w14:paraId="0BB7AABF">
      <w:pPr>
        <w:pStyle w:val="60"/>
        <w:rPr>
          <w:rFonts w:hint="default" w:ascii="Times New Roman" w:hAnsi="Times New Roman" w:cs="Times New Roman"/>
          <w:color w:val="auto"/>
          <w:lang w:val="en-US" w:eastAsia="zh-CN"/>
        </w:rPr>
      </w:pPr>
    </w:p>
    <w:p w14:paraId="4315C941">
      <w:pPr>
        <w:pStyle w:val="60"/>
        <w:rPr>
          <w:rFonts w:hint="default" w:ascii="Times New Roman" w:hAnsi="Times New Roman" w:cs="Times New Roman"/>
          <w:color w:val="auto"/>
          <w:lang w:val="en-US" w:eastAsia="zh-CN"/>
        </w:rPr>
      </w:pPr>
    </w:p>
    <w:p w14:paraId="3C4E0BFD">
      <w:pPr>
        <w:pStyle w:val="60"/>
        <w:rPr>
          <w:rFonts w:hint="default" w:ascii="Times New Roman" w:hAnsi="Times New Roman" w:cs="Times New Roman"/>
          <w:color w:val="auto"/>
          <w:lang w:val="en-US" w:eastAsia="zh-CN"/>
        </w:rPr>
      </w:pPr>
      <w:r>
        <w:rPr>
          <w:rFonts w:hint="default" w:ascii="Times New Roman" w:hAnsi="Times New Roman" w:cs="Times New Roman"/>
          <w:color w:val="auto"/>
          <w:sz w:val="24"/>
        </w:rPr>
        <mc:AlternateContent>
          <mc:Choice Requires="wps">
            <w:drawing>
              <wp:anchor distT="0" distB="0" distL="114300" distR="114300" simplePos="0" relativeHeight="251665408" behindDoc="0" locked="0" layoutInCell="1" allowOverlap="1">
                <wp:simplePos x="0" y="0"/>
                <wp:positionH relativeFrom="column">
                  <wp:posOffset>1547495</wp:posOffset>
                </wp:positionH>
                <wp:positionV relativeFrom="paragraph">
                  <wp:posOffset>12065</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rot="20100000">
                          <a:off x="0" y="0"/>
                          <a:ext cx="1828800" cy="1828800"/>
                        </a:xfrm>
                        <a:prstGeom prst="rect">
                          <a:avLst/>
                        </a:prstGeom>
                        <a:noFill/>
                        <a:ln w="6350">
                          <a:noFill/>
                        </a:ln>
                        <a:effectLst/>
                      </wps:spPr>
                      <wps:txbx>
                        <w:txbxContent>
                          <w:p w14:paraId="68AB3F07">
                            <w:pPr>
                              <w:rPr>
                                <w:rFonts w:hint="default" w:eastAsia="宋体"/>
                                <w:b/>
                                <w:bCs/>
                                <w:color w:val="4F81BD"/>
                                <w:sz w:val="24"/>
                                <w:szCs w:val="24"/>
                                <w:lang w:val="en-US" w:eastAsia="zh-CN"/>
                              </w:rPr>
                            </w:pPr>
                            <w:r>
                              <w:rPr>
                                <w:rFonts w:hint="eastAsia" w:ascii="Times New Roman" w:eastAsia="宋体"/>
                                <w:b/>
                                <w:bCs/>
                                <w:color w:val="4F81BD"/>
                                <w:sz w:val="24"/>
                                <w:szCs w:val="24"/>
                                <w:lang w:val="en-US" w:eastAsia="zh-CN"/>
                              </w:rPr>
                              <w:t>地下水流向</w:t>
                            </w:r>
                          </w:p>
                        </w:txbxContent>
                      </wps:txbx>
                      <wps:bodyPr wrap="none" anchor="t" upright="0">
                        <a:spAutoFit/>
                      </wps:bodyPr>
                    </wps:wsp>
                  </a:graphicData>
                </a:graphic>
              </wp:anchor>
            </w:drawing>
          </mc:Choice>
          <mc:Fallback>
            <w:pict>
              <v:shape id="_x0000_s1026" o:spid="_x0000_s1026" o:spt="202" type="#_x0000_t202" style="position:absolute;left:0pt;margin-left:121.85pt;margin-top:0.95pt;height:144pt;width:144pt;mso-wrap-style:none;rotation:-1638400f;z-index:251665408;mso-width-relative:page;mso-height-relative:page;" filled="f" stroked="f" coordsize="21600,21600" o:gfxdata="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JSfoHYAAAACQEAAA8AAAAAAAAA&#10;AQAgAAAAIgAAAGRycy9kb3ducmV2LnhtbFBLAQIUABQAAAAIAIdO4kAm6Xfz2AEAAKgDAAAOAAAA&#10;AAAAAAEAIAAAACcBAABkcnMvZTJvRG9jLnhtbFBLBQYAAAAABgAGAFkBAABxBQAAAAA=&#10;">
                <v:fill on="f" focussize="0,0"/>
                <v:stroke on="f" weight="0.5pt"/>
                <v:imagedata o:title=""/>
                <o:lock v:ext="edit" aspectratio="f"/>
                <v:textbox style="mso-fit-shape-to-text:t;">
                  <w:txbxContent>
                    <w:p w14:paraId="68AB3F07">
                      <w:pPr>
                        <w:rPr>
                          <w:rFonts w:hint="default" w:eastAsia="宋体"/>
                          <w:b/>
                          <w:bCs/>
                          <w:color w:val="4F81BD"/>
                          <w:sz w:val="24"/>
                          <w:szCs w:val="24"/>
                          <w:lang w:val="en-US" w:eastAsia="zh-CN"/>
                        </w:rPr>
                      </w:pPr>
                      <w:r>
                        <w:rPr>
                          <w:rFonts w:hint="eastAsia" w:ascii="Times New Roman" w:eastAsia="宋体"/>
                          <w:b/>
                          <w:bCs/>
                          <w:color w:val="4F81BD"/>
                          <w:sz w:val="24"/>
                          <w:szCs w:val="24"/>
                          <w:lang w:val="en-US" w:eastAsia="zh-CN"/>
                        </w:rPr>
                        <w:t>地下水流向</w:t>
                      </w:r>
                    </w:p>
                  </w:txbxContent>
                </v:textbox>
              </v:shap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64384" behindDoc="0" locked="0" layoutInCell="1" allowOverlap="1">
                <wp:simplePos x="0" y="0"/>
                <wp:positionH relativeFrom="column">
                  <wp:posOffset>1485900</wp:posOffset>
                </wp:positionH>
                <wp:positionV relativeFrom="paragraph">
                  <wp:posOffset>82550</wp:posOffset>
                </wp:positionV>
                <wp:extent cx="939800" cy="254000"/>
                <wp:effectExtent l="0" t="114300" r="0" b="88900"/>
                <wp:wrapNone/>
                <wp:docPr id="67" name="左箭头 67"/>
                <wp:cNvGraphicFramePr/>
                <a:graphic xmlns:a="http://schemas.openxmlformats.org/drawingml/2006/main">
                  <a:graphicData uri="http://schemas.microsoft.com/office/word/2010/wordprocessingShape">
                    <wps:wsp>
                      <wps:cNvSpPr/>
                      <wps:spPr>
                        <a:xfrm rot="-1320000">
                          <a:off x="0" y="0"/>
                          <a:ext cx="939800" cy="254000"/>
                        </a:xfrm>
                        <a:prstGeom prst="leftArrow">
                          <a:avLst>
                            <a:gd name="adj1" fmla="val 50000"/>
                            <a:gd name="adj2" fmla="val 92500"/>
                          </a:avLst>
                        </a:prstGeom>
                        <a:solidFill>
                          <a:srgbClr val="FFC000"/>
                        </a:solidFill>
                        <a:ln w="9525" cap="flat" cmpd="sng">
                          <a:solidFill>
                            <a:srgbClr val="000000"/>
                          </a:solidFill>
                          <a:prstDash val="solid"/>
                          <a:miter/>
                          <a:headEnd type="triangle" w="sm" len="lg"/>
                          <a:tailEnd type="none" w="med" len="med"/>
                        </a:ln>
                      </wps:spPr>
                      <wps:bodyPr upright="1"/>
                    </wps:wsp>
                  </a:graphicData>
                </a:graphic>
              </wp:anchor>
            </w:drawing>
          </mc:Choice>
          <mc:Fallback>
            <w:pict>
              <v:shape id="_x0000_s1026" o:spid="_x0000_s1026" o:spt="66" type="#_x0000_t66" style="position:absolute;left:0pt;margin-left:117pt;margin-top:6.5pt;height:20pt;width:74pt;rotation:-1441792f;z-index:251664384;mso-width-relative:page;mso-height-relative:page;" fillcolor="#FFC000" filled="t" stroked="t" coordsize="21600,21600" o:gfxdata="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vZ9jF9UAAAAJAQAADwAAAAAAAAABACAAAAAiAAAAZHJzL2Rvd25y&#10;ZXYueG1sUEsBAhQAFAAAAAgAh07iQBeyHKo6AgAAiQQAAA4AAAAAAAAAAQAgAAAAJAEAAGRycy9l&#10;Mm9Eb2MueG1sUEsFBgAAAAAGAAYAWQEAANAFAAAAAA==&#10;" adj="5400,5400">
                <v:fill on="t" focussize="0,0"/>
                <v:stroke color="#000000" joinstyle="miter" startarrow="block" startarrowwidth="narrow" startarrowlength="long"/>
                <v:imagedata o:title=""/>
                <o:lock v:ext="edit" aspectratio="f"/>
              </v:shape>
            </w:pict>
          </mc:Fallback>
        </mc:AlternateContent>
      </w:r>
    </w:p>
    <w:p w14:paraId="6C50D11F">
      <w:pPr>
        <w:pStyle w:val="60"/>
        <w:rPr>
          <w:rFonts w:hint="default" w:ascii="Times New Roman" w:hAnsi="Times New Roman" w:cs="Times New Roman"/>
          <w:color w:val="auto"/>
          <w:lang w:val="en-US" w:eastAsia="zh-CN"/>
        </w:rPr>
      </w:pPr>
    </w:p>
    <w:p w14:paraId="29F818D7">
      <w:pPr>
        <w:pStyle w:val="60"/>
        <w:rPr>
          <w:rFonts w:hint="default" w:ascii="Times New Roman" w:hAnsi="Times New Roman" w:cs="Times New Roman"/>
          <w:color w:val="auto"/>
          <w:lang w:val="en-US" w:eastAsia="zh-CN"/>
        </w:rPr>
      </w:pPr>
    </w:p>
    <w:p w14:paraId="089279C3">
      <w:pPr>
        <w:pStyle w:val="60"/>
        <w:rPr>
          <w:rFonts w:hint="default" w:ascii="Times New Roman" w:hAnsi="Times New Roman" w:cs="Times New Roman"/>
          <w:color w:val="auto"/>
          <w:lang w:val="en-US" w:eastAsia="zh-CN"/>
        </w:rPr>
      </w:pPr>
    </w:p>
    <w:p w14:paraId="50402C8A">
      <w:pPr>
        <w:pStyle w:val="60"/>
        <w:rPr>
          <w:rFonts w:hint="default" w:ascii="Times New Roman" w:hAnsi="Times New Roman" w:cs="Times New Roman"/>
          <w:color w:val="auto"/>
          <w:lang w:val="en-US" w:eastAsia="zh-CN"/>
        </w:rPr>
      </w:pPr>
    </w:p>
    <w:p w14:paraId="0580B45F">
      <w:pPr>
        <w:pStyle w:val="60"/>
        <w:rPr>
          <w:rFonts w:hint="default" w:ascii="Times New Roman" w:hAnsi="Times New Roman" w:cs="Times New Roman"/>
          <w:color w:val="auto"/>
          <w:lang w:val="en-US" w:eastAsia="zh-CN"/>
        </w:rPr>
      </w:pPr>
    </w:p>
    <w:p w14:paraId="3D8581CB">
      <w:pPr>
        <w:pStyle w:val="60"/>
        <w:rPr>
          <w:rFonts w:hint="default" w:ascii="Times New Roman" w:hAnsi="Times New Roman" w:cs="Times New Roman"/>
          <w:color w:val="auto"/>
          <w:lang w:val="en-US" w:eastAsia="zh-CN"/>
        </w:rPr>
      </w:pPr>
    </w:p>
    <w:p w14:paraId="1F8FAB56">
      <w:pPr>
        <w:pStyle w:val="60"/>
        <w:rPr>
          <w:rFonts w:hint="default" w:ascii="Times New Roman" w:hAnsi="Times New Roman" w:cs="Times New Roman"/>
          <w:color w:val="auto"/>
          <w:lang w:val="en-US" w:eastAsia="zh-CN"/>
        </w:rPr>
      </w:pPr>
    </w:p>
    <w:p w14:paraId="235F2310">
      <w:pPr>
        <w:pStyle w:val="60"/>
        <w:ind w:left="0" w:leftChars="0" w:firstLine="0" w:firstLineChars="0"/>
        <w:rPr>
          <w:rFonts w:hint="default" w:ascii="Times New Roman" w:hAnsi="Times New Roman" w:cs="Times New Roman"/>
          <w:color w:val="auto"/>
          <w:lang w:val="en-US" w:eastAsia="zh-CN"/>
        </w:rPr>
      </w:pPr>
    </w:p>
    <w:p w14:paraId="6A2E81CF">
      <w:pPr>
        <w:pStyle w:val="60"/>
        <w:ind w:left="0" w:leftChars="0" w:firstLine="0" w:firstLineChars="0"/>
        <w:rPr>
          <w:rFonts w:hint="default" w:ascii="Times New Roman" w:hAnsi="Times New Roman" w:cs="Times New Roman"/>
          <w:color w:val="auto"/>
          <w:lang w:val="en-US" w:eastAsia="zh-CN"/>
        </w:rPr>
      </w:pPr>
    </w:p>
    <w:p w14:paraId="1ACB16BC">
      <w:pPr>
        <w:pStyle w:val="58"/>
        <w:bidi w:val="0"/>
        <w:ind w:left="0" w:leftChars="0" w:firstLine="0" w:firstLineChars="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图2-2  地下水环境风险评价范围</w:t>
      </w:r>
      <w:r>
        <w:rPr>
          <w:rFonts w:hint="default" w:ascii="Times New Roman" w:hAnsi="Times New Roman" w:cs="Times New Roman"/>
          <w:b/>
          <w:bCs/>
          <w:color w:val="auto"/>
          <w:lang w:val="en-US" w:eastAsia="zh-CN"/>
        </w:rPr>
        <w:tab/>
      </w:r>
    </w:p>
    <w:p w14:paraId="3920F10C">
      <w:pPr>
        <w:pStyle w:val="58"/>
        <w:bidi w:val="0"/>
        <w:ind w:left="0" w:leftChars="0" w:firstLine="0" w:firstLineChars="0"/>
        <w:jc w:val="center"/>
        <w:rPr>
          <w:rFonts w:hint="default" w:ascii="Times New Roman" w:hAnsi="Times New Roman" w:cs="Times New Roman"/>
          <w:b/>
          <w:bCs/>
          <w:color w:val="auto"/>
          <w:lang w:val="en-US" w:eastAsia="zh-CN"/>
        </w:rPr>
        <w:sectPr>
          <w:pgSz w:w="16838" w:h="11906" w:orient="landscape"/>
          <w:pgMar w:top="1440" w:right="1800" w:bottom="1440" w:left="1800" w:header="851" w:footer="992" w:gutter="0"/>
          <w:pgBorders w:offsetFrom="page">
            <w:top w:val="none" w:sz="0" w:space="0"/>
            <w:left w:val="none" w:sz="0" w:space="0"/>
            <w:bottom w:val="none" w:sz="0" w:space="0"/>
            <w:right w:val="none" w:sz="0" w:space="0"/>
          </w:pgBorders>
          <w:pgNumType w:fmt="decimal"/>
          <w:cols w:space="720" w:num="1"/>
          <w:rtlGutter w:val="0"/>
          <w:docGrid w:type="lines" w:linePitch="335" w:charSpace="0"/>
        </w:sectPr>
      </w:pPr>
    </w:p>
    <w:p w14:paraId="7F07C044">
      <w:pPr>
        <w:keepNext w:val="0"/>
        <w:keepLines w:val="0"/>
        <w:pageBreakBefore w:val="0"/>
        <w:widowControl w:val="0"/>
        <w:numPr>
          <w:ilvl w:val="0"/>
          <w:numId w:val="3"/>
        </w:numPr>
        <w:tabs>
          <w:tab w:val="left" w:pos="942"/>
        </w:tabs>
        <w:kinsoku/>
        <w:wordWrap/>
        <w:overflowPunct/>
        <w:topLinePunct w:val="0"/>
        <w:autoSpaceDE/>
        <w:autoSpaceDN/>
        <w:bidi w:val="0"/>
        <w:adjustRightInd/>
        <w:snapToGrid w:val="0"/>
        <w:spacing w:before="50" w:beforeLines="50" w:after="50" w:afterLines="50" w:line="360" w:lineRule="auto"/>
        <w:ind w:left="941" w:leftChars="0" w:hanging="431" w:firstLineChars="0"/>
        <w:jc w:val="both"/>
        <w:textAlignment w:val="auto"/>
        <w:outlineLvl w:val="0"/>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环境风险识别</w:t>
      </w:r>
    </w:p>
    <w:p w14:paraId="2013A361">
      <w:pPr>
        <w:pStyle w:val="58"/>
        <w:bidi w:val="0"/>
        <w:rPr>
          <w:rFonts w:hint="default" w:ascii="Times New Roman" w:hAnsi="Times New Roman" w:cs="Times New Roman"/>
          <w:color w:val="auto"/>
        </w:rPr>
      </w:pPr>
      <w:r>
        <w:rPr>
          <w:rFonts w:hint="default" w:ascii="Times New Roman" w:hAnsi="Times New Roman" w:cs="Times New Roman"/>
          <w:color w:val="auto"/>
        </w:rPr>
        <w:t>根据《建设项目环境风险评价技术导则》(HJ/T169-2018)，环境风险识别内容包括物质危险性识别、生产系统危险性识别以及危险物质向环境转移的途径识别。物质危险性识别主要包括原辅材料、燃料、中间产品、副产品、最终产品、污染物、火灾和爆炸半生/次生物等；生产系统危险性识别主要包括生产装置、储运设施、公用工程和辅助生产设施，以及环境保护设施等。</w:t>
      </w:r>
    </w:p>
    <w:p w14:paraId="1ED82130">
      <w:pPr>
        <w:widowControl w:val="0"/>
        <w:numPr>
          <w:ilvl w:val="1"/>
          <w:numId w:val="3"/>
        </w:numPr>
        <w:tabs>
          <w:tab w:val="left" w:pos="1086"/>
        </w:tabs>
        <w:bidi w:val="0"/>
        <w:snapToGrid w:val="0"/>
        <w:spacing w:before="50" w:beforeLines="50" w:after="50" w:afterLines="50" w:line="360" w:lineRule="auto"/>
        <w:ind w:left="1086" w:leftChars="0" w:hanging="576" w:firstLineChars="0"/>
        <w:jc w:val="both"/>
        <w:outlineLvl w:val="1"/>
        <w:rPr>
          <w:rFonts w:hint="default" w:ascii="Times New Roman" w:hAnsi="Times New Roman" w:eastAsia="黑体" w:cs="Times New Roman"/>
          <w:b/>
          <w:kern w:val="2"/>
          <w:sz w:val="28"/>
          <w:szCs w:val="24"/>
          <w:lang w:val="en-US" w:eastAsia="zh-CN" w:bidi="ar-SA"/>
        </w:rPr>
      </w:pPr>
      <w:r>
        <w:rPr>
          <w:rFonts w:hint="default" w:ascii="Times New Roman" w:hAnsi="Times New Roman" w:eastAsia="黑体" w:cs="Times New Roman"/>
          <w:b/>
          <w:kern w:val="2"/>
          <w:sz w:val="28"/>
          <w:szCs w:val="24"/>
          <w:lang w:val="en-US" w:eastAsia="zh-CN" w:bidi="ar-SA"/>
        </w:rPr>
        <w:t>物质风险识别</w:t>
      </w:r>
    </w:p>
    <w:p w14:paraId="59F0B8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2"/>
        </w:rPr>
      </w:pPr>
      <w:r>
        <w:rPr>
          <w:rFonts w:hint="default" w:ascii="Times New Roman" w:hAnsi="Times New Roman" w:eastAsia="宋体" w:cs="Times New Roman"/>
          <w:color w:val="auto"/>
          <w:kern w:val="2"/>
          <w:sz w:val="24"/>
          <w:szCs w:val="22"/>
        </w:rPr>
        <w:t>根据《建设项目环境风险评价技术导则》（HJ169-2018）附录B、GB3000.18、GB30000.28，</w:t>
      </w:r>
      <w:r>
        <w:rPr>
          <w:rFonts w:hint="default" w:ascii="Times New Roman" w:hAnsi="Times New Roman" w:cs="Times New Roman"/>
          <w:color w:val="auto"/>
          <w:sz w:val="24"/>
        </w:rPr>
        <w:t>本项目存在危险性的主要物质有</w:t>
      </w:r>
      <w:r>
        <w:rPr>
          <w:rFonts w:hint="default" w:ascii="Times New Roman" w:hAnsi="Times New Roman" w:eastAsia="宋体" w:cs="Times New Roman"/>
          <w:color w:val="auto"/>
          <w:spacing w:val="6"/>
          <w:kern w:val="0"/>
          <w:sz w:val="24"/>
          <w:szCs w:val="24"/>
          <w:lang w:val="en-US" w:eastAsia="zh-CN" w:bidi="ar-SA"/>
        </w:rPr>
        <w:t>液化石油气、丙烷、丙烷增效剂、</w:t>
      </w:r>
      <w:r>
        <w:rPr>
          <w:rFonts w:hint="eastAsia" w:cs="Times New Roman"/>
          <w:color w:val="auto"/>
          <w:spacing w:val="6"/>
          <w:kern w:val="0"/>
          <w:sz w:val="24"/>
          <w:szCs w:val="24"/>
          <w:lang w:val="en-US" w:eastAsia="zh-CN" w:bidi="ar-SA"/>
        </w:rPr>
        <w:t>LPG</w:t>
      </w:r>
      <w:r>
        <w:rPr>
          <w:rFonts w:hint="default" w:ascii="Times New Roman" w:hAnsi="Times New Roman" w:eastAsia="宋体" w:cs="Times New Roman"/>
          <w:color w:val="auto"/>
          <w:spacing w:val="6"/>
          <w:kern w:val="0"/>
          <w:sz w:val="24"/>
          <w:szCs w:val="24"/>
          <w:lang w:val="en-US" w:eastAsia="zh-CN" w:bidi="ar-SA"/>
        </w:rPr>
        <w:t>残液、油墨（</w:t>
      </w:r>
      <w:r>
        <w:rPr>
          <w:rFonts w:hint="default" w:ascii="Times New Roman" w:hAnsi="Times New Roman" w:cs="Times New Roman"/>
          <w:color w:val="auto"/>
          <w:spacing w:val="6"/>
          <w:kern w:val="0"/>
          <w:sz w:val="24"/>
          <w:szCs w:val="24"/>
          <w:lang w:val="en-US" w:eastAsia="zh-CN" w:bidi="ar-SA"/>
        </w:rPr>
        <w:t>65%</w:t>
      </w:r>
      <w:r>
        <w:rPr>
          <w:rFonts w:hint="default" w:ascii="Times New Roman" w:hAnsi="Times New Roman" w:eastAsia="宋体" w:cs="Times New Roman"/>
          <w:color w:val="auto"/>
          <w:spacing w:val="6"/>
          <w:kern w:val="0"/>
          <w:sz w:val="24"/>
          <w:szCs w:val="24"/>
          <w:lang w:val="en-US" w:eastAsia="zh-CN" w:bidi="ar-SA"/>
        </w:rPr>
        <w:t>环己酮）、废矿物油等</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kern w:val="2"/>
          <w:sz w:val="24"/>
          <w:szCs w:val="22"/>
        </w:rPr>
        <w:t>危险物质的理化特性一览表见表</w:t>
      </w:r>
      <w:r>
        <w:rPr>
          <w:rFonts w:hint="default" w:ascii="Times New Roman" w:hAnsi="Times New Roman" w:eastAsia="宋体" w:cs="Times New Roman"/>
          <w:color w:val="auto"/>
          <w:kern w:val="2"/>
          <w:sz w:val="24"/>
          <w:szCs w:val="22"/>
          <w:lang w:val="en-US" w:eastAsia="zh-CN"/>
        </w:rPr>
        <w:t>2.1-1~2.1-</w:t>
      </w:r>
      <w:r>
        <w:rPr>
          <w:rFonts w:hint="default" w:ascii="Times New Roman" w:hAnsi="Times New Roman" w:cs="Times New Roman"/>
          <w:color w:val="auto"/>
          <w:kern w:val="2"/>
          <w:sz w:val="24"/>
          <w:szCs w:val="22"/>
          <w:lang w:val="en-US" w:eastAsia="zh-CN"/>
        </w:rPr>
        <w:t>6</w:t>
      </w:r>
      <w:r>
        <w:rPr>
          <w:rFonts w:hint="default" w:ascii="Times New Roman" w:hAnsi="Times New Roman" w:eastAsia="宋体" w:cs="Times New Roman"/>
          <w:color w:val="auto"/>
          <w:kern w:val="2"/>
          <w:sz w:val="24"/>
          <w:szCs w:val="22"/>
        </w:rPr>
        <w:t>。</w:t>
      </w:r>
    </w:p>
    <w:p w14:paraId="5B99FCE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kern w:val="2"/>
          <w:sz w:val="21"/>
          <w:szCs w:val="21"/>
          <w:lang w:val="en-US" w:eastAsia="zh-CN"/>
        </w:rPr>
      </w:pPr>
      <w:r>
        <w:rPr>
          <w:rFonts w:hint="default" w:ascii="Times New Roman" w:hAnsi="Times New Roman" w:eastAsia="宋体" w:cs="Times New Roman"/>
          <w:b/>
          <w:color w:val="auto"/>
          <w:kern w:val="2"/>
          <w:sz w:val="21"/>
          <w:szCs w:val="21"/>
          <w:lang w:val="en-US" w:eastAsia="zh-CN"/>
        </w:rPr>
        <w:t>表2.1-1   液化石油气危险特性及防范措施一览表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584"/>
        <w:gridCol w:w="1608"/>
        <w:gridCol w:w="1911"/>
        <w:gridCol w:w="869"/>
        <w:gridCol w:w="2786"/>
      </w:tblGrid>
      <w:tr w14:paraId="5EDACC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restart"/>
            <w:noWrap w:val="0"/>
            <w:vAlign w:val="center"/>
          </w:tcPr>
          <w:p w14:paraId="759E4D61">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标识</w:t>
            </w:r>
          </w:p>
        </w:tc>
        <w:tc>
          <w:tcPr>
            <w:tcW w:w="4198" w:type="dxa"/>
            <w:gridSpan w:val="3"/>
            <w:noWrap w:val="0"/>
            <w:vAlign w:val="center"/>
          </w:tcPr>
          <w:p w14:paraId="2CC5B158">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中文名：液化石油气</w:t>
            </w:r>
          </w:p>
        </w:tc>
        <w:tc>
          <w:tcPr>
            <w:tcW w:w="3740" w:type="dxa"/>
            <w:gridSpan w:val="2"/>
            <w:noWrap w:val="0"/>
            <w:vAlign w:val="center"/>
          </w:tcPr>
          <w:p w14:paraId="1CA70129">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英文名：Liquefied petroleum gas</w:t>
            </w:r>
          </w:p>
        </w:tc>
      </w:tr>
      <w:tr w14:paraId="223D4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continue"/>
            <w:noWrap w:val="0"/>
            <w:vAlign w:val="center"/>
          </w:tcPr>
          <w:p w14:paraId="7CE45CED">
            <w:pPr>
              <w:pStyle w:val="102"/>
              <w:rPr>
                <w:rFonts w:hint="default" w:ascii="Times New Roman" w:hAnsi="Times New Roman" w:cs="Times New Roman"/>
                <w:color w:val="auto"/>
                <w:sz w:val="21"/>
                <w:szCs w:val="21"/>
              </w:rPr>
            </w:pPr>
          </w:p>
        </w:tc>
        <w:tc>
          <w:tcPr>
            <w:tcW w:w="7938" w:type="dxa"/>
            <w:gridSpan w:val="5"/>
            <w:noWrap w:val="0"/>
            <w:vAlign w:val="center"/>
          </w:tcPr>
          <w:p w14:paraId="5332EE9D">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主要组成：丙烷、丁烷等</w:t>
            </w:r>
          </w:p>
        </w:tc>
      </w:tr>
      <w:tr w14:paraId="1D757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restart"/>
            <w:noWrap w:val="0"/>
            <w:vAlign w:val="center"/>
          </w:tcPr>
          <w:p w14:paraId="1077D7FE">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理化性质</w:t>
            </w:r>
          </w:p>
        </w:tc>
        <w:tc>
          <w:tcPr>
            <w:tcW w:w="7938" w:type="dxa"/>
            <w:gridSpan w:val="5"/>
            <w:noWrap w:val="0"/>
            <w:vAlign w:val="center"/>
          </w:tcPr>
          <w:p w14:paraId="7C82F86A">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性状与用途：无色气体或黄棕色油状液体，有特殊臭味，能溶解水，用作石油化工的原料，也可用作燃料</w:t>
            </w:r>
          </w:p>
        </w:tc>
      </w:tr>
      <w:tr w14:paraId="439DD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continue"/>
            <w:noWrap w:val="0"/>
            <w:vAlign w:val="center"/>
          </w:tcPr>
          <w:p w14:paraId="03BA90C9">
            <w:pPr>
              <w:pStyle w:val="102"/>
              <w:rPr>
                <w:rFonts w:hint="default" w:ascii="Times New Roman" w:hAnsi="Times New Roman" w:cs="Times New Roman"/>
                <w:color w:val="auto"/>
                <w:sz w:val="21"/>
                <w:szCs w:val="21"/>
              </w:rPr>
            </w:pPr>
          </w:p>
        </w:tc>
        <w:tc>
          <w:tcPr>
            <w:tcW w:w="2243" w:type="dxa"/>
            <w:gridSpan w:val="2"/>
            <w:noWrap w:val="0"/>
            <w:vAlign w:val="center"/>
          </w:tcPr>
          <w:p w14:paraId="1DDF6D9D">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溶解性：不能溶于水</w:t>
            </w:r>
          </w:p>
        </w:tc>
        <w:tc>
          <w:tcPr>
            <w:tcW w:w="2844" w:type="dxa"/>
            <w:gridSpan w:val="2"/>
            <w:noWrap w:val="0"/>
            <w:vAlign w:val="center"/>
          </w:tcPr>
          <w:p w14:paraId="2AE1A7F5">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饱和蒸气压（kPa）：1.4（50℃）</w:t>
            </w:r>
          </w:p>
        </w:tc>
        <w:tc>
          <w:tcPr>
            <w:tcW w:w="2851" w:type="dxa"/>
            <w:noWrap w:val="0"/>
            <w:vAlign w:val="center"/>
          </w:tcPr>
          <w:p w14:paraId="118F04DD">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相对密度（空气=1）：0.58（常压）</w:t>
            </w:r>
          </w:p>
        </w:tc>
      </w:tr>
      <w:tr w14:paraId="49CD7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continue"/>
            <w:noWrap w:val="0"/>
            <w:vAlign w:val="center"/>
          </w:tcPr>
          <w:p w14:paraId="30352CE5">
            <w:pPr>
              <w:pStyle w:val="102"/>
              <w:rPr>
                <w:rFonts w:hint="default" w:ascii="Times New Roman" w:hAnsi="Times New Roman" w:cs="Times New Roman"/>
                <w:color w:val="auto"/>
                <w:sz w:val="21"/>
                <w:szCs w:val="21"/>
              </w:rPr>
            </w:pPr>
          </w:p>
        </w:tc>
        <w:tc>
          <w:tcPr>
            <w:tcW w:w="2243" w:type="dxa"/>
            <w:gridSpan w:val="2"/>
            <w:noWrap w:val="0"/>
            <w:vAlign w:val="center"/>
          </w:tcPr>
          <w:p w14:paraId="6A96FEA3">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闪点（℃）：-74</w:t>
            </w:r>
          </w:p>
        </w:tc>
        <w:tc>
          <w:tcPr>
            <w:tcW w:w="2844" w:type="dxa"/>
            <w:gridSpan w:val="2"/>
            <w:noWrap w:val="0"/>
            <w:vAlign w:val="center"/>
          </w:tcPr>
          <w:p w14:paraId="62A5243D">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引燃温度（℃）：426~537</w:t>
            </w:r>
          </w:p>
        </w:tc>
        <w:tc>
          <w:tcPr>
            <w:tcW w:w="2851" w:type="dxa"/>
            <w:noWrap w:val="0"/>
            <w:vAlign w:val="center"/>
          </w:tcPr>
          <w:p w14:paraId="212E2E09">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爆炸下限[%(V/V)]：1.5</w:t>
            </w:r>
          </w:p>
        </w:tc>
      </w:tr>
      <w:tr w14:paraId="49845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continue"/>
            <w:noWrap w:val="0"/>
            <w:vAlign w:val="center"/>
          </w:tcPr>
          <w:p w14:paraId="5F2B7E2C">
            <w:pPr>
              <w:pStyle w:val="102"/>
              <w:rPr>
                <w:rFonts w:hint="default" w:ascii="Times New Roman" w:hAnsi="Times New Roman" w:cs="Times New Roman"/>
                <w:color w:val="auto"/>
                <w:sz w:val="21"/>
                <w:szCs w:val="21"/>
              </w:rPr>
            </w:pPr>
          </w:p>
        </w:tc>
        <w:tc>
          <w:tcPr>
            <w:tcW w:w="2243" w:type="dxa"/>
            <w:gridSpan w:val="2"/>
            <w:noWrap w:val="0"/>
            <w:vAlign w:val="center"/>
          </w:tcPr>
          <w:p w14:paraId="46B422E1">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聚合危害：不聚合</w:t>
            </w:r>
          </w:p>
        </w:tc>
        <w:tc>
          <w:tcPr>
            <w:tcW w:w="2844" w:type="dxa"/>
            <w:gridSpan w:val="2"/>
            <w:noWrap w:val="0"/>
            <w:vAlign w:val="center"/>
          </w:tcPr>
          <w:p w14:paraId="6A3AF9B4">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稳定性：稳定</w:t>
            </w:r>
          </w:p>
        </w:tc>
        <w:tc>
          <w:tcPr>
            <w:tcW w:w="2851" w:type="dxa"/>
            <w:noWrap w:val="0"/>
            <w:vAlign w:val="center"/>
          </w:tcPr>
          <w:p w14:paraId="2206A957">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爆炸上限[%(V/V)]：9.5</w:t>
            </w:r>
          </w:p>
        </w:tc>
      </w:tr>
      <w:tr w14:paraId="42AEC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noWrap w:val="0"/>
            <w:vAlign w:val="center"/>
          </w:tcPr>
          <w:p w14:paraId="60AF3774">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危险特性</w:t>
            </w:r>
          </w:p>
        </w:tc>
        <w:tc>
          <w:tcPr>
            <w:tcW w:w="7938" w:type="dxa"/>
            <w:gridSpan w:val="5"/>
            <w:noWrap w:val="0"/>
            <w:vAlign w:val="center"/>
          </w:tcPr>
          <w:p w14:paraId="6E916FB7">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危险特性：极易燃，与空气混合能形成爆炸性混合物，遇热源和明火有燃烧爆炸的危险。与氟、氯等接触会发生剧烈的化学反应。其蒸汽比空气重，能在较低处扩散到相当远的地方，遇火源会着火回燃。</w:t>
            </w:r>
          </w:p>
          <w:p w14:paraId="4361A238">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燃烧分解产物：一氧化碳、二氧化碳。</w:t>
            </w:r>
          </w:p>
        </w:tc>
      </w:tr>
      <w:tr w14:paraId="0DD10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noWrap w:val="0"/>
            <w:vAlign w:val="center"/>
          </w:tcPr>
          <w:p w14:paraId="5F75CC9D">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灭火方法</w:t>
            </w:r>
          </w:p>
        </w:tc>
        <w:tc>
          <w:tcPr>
            <w:tcW w:w="7938" w:type="dxa"/>
            <w:gridSpan w:val="5"/>
            <w:noWrap w:val="0"/>
            <w:vAlign w:val="center"/>
          </w:tcPr>
          <w:p w14:paraId="3DBA9868">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灭火方法：切断气源。若不能切断气源，则不允许熄灭泄漏处的火焰。喷水冷却容器，可能的话将容器从火场移至空旷处。</w:t>
            </w:r>
          </w:p>
          <w:p w14:paraId="2DF6D571">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灭火剂：雾状水、泡沫、二氧化碳。</w:t>
            </w:r>
          </w:p>
        </w:tc>
      </w:tr>
      <w:tr w14:paraId="0007F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noWrap w:val="0"/>
            <w:vAlign w:val="center"/>
          </w:tcPr>
          <w:p w14:paraId="260EFCDE">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毒性</w:t>
            </w:r>
          </w:p>
        </w:tc>
        <w:tc>
          <w:tcPr>
            <w:tcW w:w="7938" w:type="dxa"/>
            <w:gridSpan w:val="5"/>
            <w:noWrap w:val="0"/>
            <w:vAlign w:val="center"/>
          </w:tcPr>
          <w:p w14:paraId="2E8DFC02">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急性毒性：LD50</w:t>
            </w:r>
          </w:p>
        </w:tc>
      </w:tr>
      <w:tr w14:paraId="3AC08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noWrap w:val="0"/>
            <w:vAlign w:val="center"/>
          </w:tcPr>
          <w:p w14:paraId="5903C207">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对人体危害</w:t>
            </w:r>
          </w:p>
        </w:tc>
        <w:tc>
          <w:tcPr>
            <w:tcW w:w="7938" w:type="dxa"/>
            <w:gridSpan w:val="5"/>
            <w:noWrap w:val="0"/>
            <w:vAlign w:val="center"/>
          </w:tcPr>
          <w:p w14:paraId="3D7A882A">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急性中毒：有头晕、头痛、兴奋或嗜睡、恶心、呕吐、脉缓等；重症可突然倒下，尿失禁，意识丧失，甚至呼吸停止。可致皮肤冻伤。</w:t>
            </w:r>
          </w:p>
        </w:tc>
      </w:tr>
      <w:tr w14:paraId="48916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restart"/>
            <w:noWrap w:val="0"/>
            <w:vAlign w:val="center"/>
          </w:tcPr>
          <w:p w14:paraId="733CAB34">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应急处理处置方法</w:t>
            </w:r>
          </w:p>
        </w:tc>
        <w:tc>
          <w:tcPr>
            <w:tcW w:w="598" w:type="dxa"/>
            <w:noWrap w:val="0"/>
            <w:vAlign w:val="center"/>
          </w:tcPr>
          <w:p w14:paraId="4B39F409">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防护</w:t>
            </w:r>
          </w:p>
        </w:tc>
        <w:tc>
          <w:tcPr>
            <w:tcW w:w="7340" w:type="dxa"/>
            <w:gridSpan w:val="4"/>
            <w:noWrap w:val="0"/>
            <w:vAlign w:val="center"/>
          </w:tcPr>
          <w:p w14:paraId="4997F7D4">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控制：生产过程密闭，全面通风；呼吸系统防护：高浓度环境中，佩戴过滤式防毒面具（半面罩）；眼睛防护：一般不需要特殊防护，高浓度接触时可戴安全防护眼镜；身体防护：穿防静电工作服；手防护：戴一般作业防护手套；其他防护：工作现场严禁吸烟。避免高浓度吸入。进入罐、限制性空间或其它高浓度区作业，须有人监护。</w:t>
            </w:r>
          </w:p>
        </w:tc>
      </w:tr>
      <w:tr w14:paraId="2D75D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continue"/>
            <w:noWrap w:val="0"/>
            <w:vAlign w:val="center"/>
          </w:tcPr>
          <w:p w14:paraId="73F723D9">
            <w:pPr>
              <w:pStyle w:val="102"/>
              <w:rPr>
                <w:rFonts w:hint="default" w:ascii="Times New Roman" w:hAnsi="Times New Roman" w:cs="Times New Roman"/>
                <w:color w:val="auto"/>
                <w:sz w:val="21"/>
                <w:szCs w:val="21"/>
              </w:rPr>
            </w:pPr>
          </w:p>
        </w:tc>
        <w:tc>
          <w:tcPr>
            <w:tcW w:w="598" w:type="dxa"/>
            <w:noWrap w:val="0"/>
            <w:vAlign w:val="center"/>
          </w:tcPr>
          <w:p w14:paraId="3FDAF7E2">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泄漏处置</w:t>
            </w:r>
          </w:p>
        </w:tc>
        <w:tc>
          <w:tcPr>
            <w:tcW w:w="7340" w:type="dxa"/>
            <w:gridSpan w:val="4"/>
            <w:noWrap w:val="0"/>
            <w:vAlign w:val="center"/>
          </w:tcPr>
          <w:p w14:paraId="5562B38C">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消除所有点火源。根据气体的影响区域划定警戒区，无关人员从侧风、上风向撤离至安全区。建议应急处理人员戴正压自给式呼吸器，穿防静电服。作业时使用的所有设备应接地。禁止接触或跨越泄漏物。尽可能切断泄漏源。喷雾状水稀释。防止气体通过下水道，合理通风，加速扩散。</w:t>
            </w:r>
          </w:p>
        </w:tc>
      </w:tr>
      <w:tr w14:paraId="7F2CD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vMerge w:val="continue"/>
            <w:noWrap w:val="0"/>
            <w:vAlign w:val="center"/>
          </w:tcPr>
          <w:p w14:paraId="54D604E1">
            <w:pPr>
              <w:pStyle w:val="102"/>
              <w:rPr>
                <w:rFonts w:hint="default" w:ascii="Times New Roman" w:hAnsi="Times New Roman" w:cs="Times New Roman"/>
                <w:color w:val="auto"/>
                <w:sz w:val="21"/>
                <w:szCs w:val="21"/>
              </w:rPr>
            </w:pPr>
          </w:p>
        </w:tc>
        <w:tc>
          <w:tcPr>
            <w:tcW w:w="598" w:type="dxa"/>
            <w:noWrap w:val="0"/>
            <w:vAlign w:val="center"/>
          </w:tcPr>
          <w:p w14:paraId="19D7B0E6">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应急措施</w:t>
            </w:r>
          </w:p>
        </w:tc>
        <w:tc>
          <w:tcPr>
            <w:tcW w:w="7340" w:type="dxa"/>
            <w:gridSpan w:val="4"/>
            <w:noWrap w:val="0"/>
            <w:vAlign w:val="center"/>
          </w:tcPr>
          <w:p w14:paraId="70A339B2">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皮肤接触：如果发生冻伤：将患部浸泡于保持在38～42℃的温水中复温。不要涂擦。不要使用热水或辐射热。使用清洁、干燥的敷料包扎。如有不适感，就医；眼睛接触：不会通过该途径接触；吸入：迅速脱离现场至空气新鲜处。保持呼吸道通畅。如呼吸困难，给输氧。呼吸、心跳停止，立即进行心肺复苏术。就医；食入：不会通过该途径接触。</w:t>
            </w:r>
          </w:p>
        </w:tc>
      </w:tr>
      <w:tr w14:paraId="36F45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noWrap w:val="0"/>
            <w:vAlign w:val="center"/>
          </w:tcPr>
          <w:p w14:paraId="14DDA014">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储存</w:t>
            </w:r>
          </w:p>
        </w:tc>
        <w:tc>
          <w:tcPr>
            <w:tcW w:w="7938" w:type="dxa"/>
            <w:gridSpan w:val="5"/>
            <w:noWrap w:val="0"/>
            <w:vAlign w:val="center"/>
          </w:tcPr>
          <w:p w14:paraId="1DEED80C">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储罐装本品储存于阴凉、通风处。远离火种、热源。不宜超过35℃。应与氧化剂等分开存放，切忌混储。采用防爆型照明、通风设施。禁止使用易产生火花的机械设备和工具。储区应备有泄漏应急处理设备。</w:t>
            </w:r>
          </w:p>
        </w:tc>
      </w:tr>
      <w:tr w14:paraId="26B35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noWrap w:val="0"/>
            <w:vAlign w:val="center"/>
          </w:tcPr>
          <w:p w14:paraId="60C93B89">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包装</w:t>
            </w:r>
          </w:p>
        </w:tc>
        <w:tc>
          <w:tcPr>
            <w:tcW w:w="7938" w:type="dxa"/>
            <w:gridSpan w:val="5"/>
            <w:noWrap w:val="0"/>
            <w:vAlign w:val="center"/>
          </w:tcPr>
          <w:p w14:paraId="07811205">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钢瓶、储罐</w:t>
            </w:r>
          </w:p>
        </w:tc>
      </w:tr>
      <w:tr w14:paraId="71548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2" w:type="dxa"/>
            <w:noWrap w:val="0"/>
            <w:vAlign w:val="center"/>
          </w:tcPr>
          <w:p w14:paraId="2A37A395">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运输</w:t>
            </w:r>
          </w:p>
        </w:tc>
        <w:tc>
          <w:tcPr>
            <w:tcW w:w="7938" w:type="dxa"/>
            <w:gridSpan w:val="5"/>
            <w:noWrap w:val="0"/>
            <w:vAlign w:val="center"/>
          </w:tcPr>
          <w:p w14:paraId="5643CB9C">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采用钢瓶运输时必须戴好钢瓶上的安全帽。钢瓶一般平放，并应将瓶口朝同一方向，不可交叉；高度不得超过车辆的防护栏板，并用三角木垫卡牢，防止滚动。运输时运输车辆应配备相应品种和数量的消防器材。装运该物品的车辆排气管必须配备阻火装置，禁止使用易产生火花的机械设备和工具装卸。严禁与氧化剂、等混装混运。夏季应早晚运输，防止日光曝晒。</w:t>
            </w:r>
          </w:p>
          <w:p w14:paraId="1EAAFCD4">
            <w:pPr>
              <w:pStyle w:val="102"/>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中途停留时应远离火种、热源。公路运输时要按规定路线行驶，勿在居民区和人口稠密区停留。铁路运输时要禁止溜放。</w:t>
            </w:r>
          </w:p>
        </w:tc>
      </w:tr>
    </w:tbl>
    <w:p w14:paraId="3DEC83C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kern w:val="2"/>
          <w:sz w:val="21"/>
          <w:szCs w:val="21"/>
          <w:lang w:val="en-US" w:eastAsia="zh-CN"/>
        </w:rPr>
      </w:pPr>
      <w:r>
        <w:rPr>
          <w:rFonts w:hint="default" w:ascii="Times New Roman" w:hAnsi="Times New Roman" w:eastAsia="宋体" w:cs="Times New Roman"/>
          <w:b/>
          <w:color w:val="auto"/>
          <w:kern w:val="2"/>
          <w:sz w:val="21"/>
          <w:szCs w:val="21"/>
          <w:lang w:val="en-US" w:eastAsia="zh-CN"/>
        </w:rPr>
        <w:t xml:space="preserve">表2.1-2  </w:t>
      </w:r>
      <w:r>
        <w:rPr>
          <w:rFonts w:hint="default" w:ascii="Times New Roman" w:hAnsi="Times New Roman" w:cs="Times New Roman"/>
          <w:b/>
          <w:bCs w:val="0"/>
          <w:color w:val="auto"/>
          <w:sz w:val="21"/>
          <w:szCs w:val="21"/>
          <w:lang w:val="en-US" w:eastAsia="zh-CN"/>
        </w:rPr>
        <w:t>丙烷</w:t>
      </w:r>
      <w:r>
        <w:rPr>
          <w:rFonts w:hint="default" w:ascii="Times New Roman" w:hAnsi="Times New Roman" w:cs="Times New Roman"/>
          <w:b/>
          <w:bCs w:val="0"/>
          <w:color w:val="auto"/>
          <w:sz w:val="21"/>
          <w:szCs w:val="21"/>
        </w:rPr>
        <w:t>主要理化性质及危险特性表</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2556"/>
        <w:gridCol w:w="390"/>
        <w:gridCol w:w="495"/>
        <w:gridCol w:w="1703"/>
        <w:gridCol w:w="442"/>
        <w:gridCol w:w="2508"/>
      </w:tblGrid>
      <w:tr w14:paraId="665A2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14CEDEE6">
            <w:pPr>
              <w:spacing w:line="480" w:lineRule="exact"/>
              <w:jc w:val="center"/>
              <w:rPr>
                <w:rFonts w:hint="default" w:ascii="Times New Roman" w:hAnsi="Times New Roman" w:cs="Times New Roman"/>
                <w:color w:val="auto"/>
              </w:rPr>
            </w:pPr>
            <w:r>
              <w:rPr>
                <w:rFonts w:hint="default" w:ascii="Times New Roman" w:hAnsi="Times New Roman" w:cs="Times New Roman"/>
                <w:color w:val="auto"/>
              </w:rPr>
              <w:t>标识</w:t>
            </w:r>
          </w:p>
        </w:tc>
        <w:tc>
          <w:tcPr>
            <w:tcW w:w="2026" w:type="pct"/>
            <w:gridSpan w:val="3"/>
            <w:tcBorders>
              <w:top w:val="single" w:color="auto" w:sz="4" w:space="0"/>
              <w:left w:val="single" w:color="auto" w:sz="4" w:space="0"/>
              <w:bottom w:val="single" w:color="auto" w:sz="4" w:space="0"/>
              <w:right w:val="single" w:color="auto" w:sz="4" w:space="0"/>
            </w:tcBorders>
            <w:noWrap w:val="0"/>
            <w:vAlign w:val="top"/>
          </w:tcPr>
          <w:p w14:paraId="4830B0CA">
            <w:pPr>
              <w:spacing w:line="320" w:lineRule="exact"/>
              <w:rPr>
                <w:rFonts w:hint="default" w:ascii="Times New Roman" w:hAnsi="Times New Roman" w:eastAsia="宋体" w:cs="Times New Roman"/>
                <w:color w:val="auto"/>
                <w:lang w:eastAsia="zh-CN"/>
              </w:rPr>
            </w:pPr>
            <w:r>
              <w:rPr>
                <w:rFonts w:hint="default" w:ascii="Times New Roman" w:hAnsi="Times New Roman" w:cs="Times New Roman"/>
                <w:color w:val="auto"/>
              </w:rPr>
              <w:t>中文名：</w:t>
            </w:r>
            <w:r>
              <w:rPr>
                <w:rFonts w:hint="default" w:ascii="Times New Roman" w:hAnsi="Times New Roman" w:cs="Times New Roman"/>
                <w:color w:val="auto"/>
                <w:lang w:val="en-US" w:eastAsia="zh-CN"/>
              </w:rPr>
              <w:t>丙烷</w:t>
            </w:r>
          </w:p>
        </w:tc>
        <w:tc>
          <w:tcPr>
            <w:tcW w:w="2734" w:type="pct"/>
            <w:gridSpan w:val="3"/>
            <w:tcBorders>
              <w:top w:val="single" w:color="auto" w:sz="4" w:space="0"/>
              <w:left w:val="single" w:color="auto" w:sz="4" w:space="0"/>
              <w:bottom w:val="single" w:color="auto" w:sz="4" w:space="0"/>
              <w:right w:val="single" w:color="auto" w:sz="4" w:space="0"/>
            </w:tcBorders>
            <w:noWrap w:val="0"/>
            <w:vAlign w:val="top"/>
          </w:tcPr>
          <w:p w14:paraId="753C6CFF">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英文名：</w:t>
            </w:r>
            <w:r>
              <w:rPr>
                <w:rFonts w:hint="default" w:ascii="Times New Roman" w:hAnsi="Times New Roman" w:cs="Times New Roman"/>
                <w:color w:val="auto"/>
                <w:lang w:val="en-US" w:eastAsia="zh-CN"/>
              </w:rPr>
              <w:t>propane</w:t>
            </w:r>
          </w:p>
        </w:tc>
      </w:tr>
      <w:tr w14:paraId="07C76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6804E383">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4433092C">
            <w:pPr>
              <w:spacing w:line="320" w:lineRule="exact"/>
              <w:rPr>
                <w:rFonts w:hint="default" w:ascii="Times New Roman" w:hAnsi="Times New Roman" w:cs="Times New Roman"/>
                <w:color w:val="auto"/>
                <w:vertAlign w:val="subscript"/>
              </w:rPr>
            </w:pPr>
            <w:r>
              <w:rPr>
                <w:rFonts w:hint="default" w:ascii="Times New Roman" w:hAnsi="Times New Roman" w:cs="Times New Roman"/>
                <w:color w:val="auto"/>
              </w:rPr>
              <w:t>分子式：C</w:t>
            </w:r>
            <w:r>
              <w:rPr>
                <w:rFonts w:hint="default" w:ascii="Times New Roman" w:hAnsi="Times New Roman" w:cs="Times New Roman"/>
                <w:color w:val="auto"/>
                <w:vertAlign w:val="subscript"/>
                <w:lang w:val="en-US" w:eastAsia="zh-CN"/>
              </w:rPr>
              <w:t>3</w:t>
            </w:r>
            <w:r>
              <w:rPr>
                <w:rFonts w:hint="default" w:ascii="Times New Roman" w:hAnsi="Times New Roman" w:cs="Times New Roman"/>
                <w:color w:val="auto"/>
              </w:rPr>
              <w:t>H</w:t>
            </w:r>
            <w:r>
              <w:rPr>
                <w:rFonts w:hint="default" w:ascii="Times New Roman" w:hAnsi="Times New Roman" w:cs="Times New Roman"/>
                <w:color w:val="auto"/>
                <w:vertAlign w:val="subscript"/>
              </w:rPr>
              <w:t>8</w:t>
            </w:r>
          </w:p>
        </w:tc>
        <w:tc>
          <w:tcPr>
            <w:tcW w:w="1555" w:type="pct"/>
            <w:gridSpan w:val="3"/>
            <w:tcBorders>
              <w:top w:val="single" w:color="auto" w:sz="4" w:space="0"/>
              <w:left w:val="single" w:color="auto" w:sz="4" w:space="0"/>
              <w:bottom w:val="single" w:color="auto" w:sz="4" w:space="0"/>
              <w:right w:val="single" w:color="auto" w:sz="4" w:space="0"/>
            </w:tcBorders>
            <w:noWrap w:val="0"/>
            <w:vAlign w:val="top"/>
          </w:tcPr>
          <w:p w14:paraId="58A11247">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分子量：</w:t>
            </w:r>
            <w:r>
              <w:rPr>
                <w:rFonts w:hint="default" w:ascii="Times New Roman" w:hAnsi="Times New Roman" w:cs="Times New Roman"/>
                <w:color w:val="auto"/>
                <w:lang w:val="en-US" w:eastAsia="zh-CN"/>
              </w:rPr>
              <w:t>44.10</w:t>
            </w:r>
          </w:p>
        </w:tc>
        <w:tc>
          <w:tcPr>
            <w:tcW w:w="1472" w:type="pct"/>
            <w:tcBorders>
              <w:top w:val="single" w:color="auto" w:sz="4" w:space="0"/>
              <w:left w:val="single" w:color="auto" w:sz="4" w:space="0"/>
              <w:bottom w:val="single" w:color="auto" w:sz="4" w:space="0"/>
              <w:right w:val="single" w:color="auto" w:sz="4" w:space="0"/>
            </w:tcBorders>
            <w:noWrap w:val="0"/>
            <w:vAlign w:val="top"/>
          </w:tcPr>
          <w:p w14:paraId="078AF2E4">
            <w:pPr>
              <w:spacing w:line="320" w:lineRule="exact"/>
              <w:rPr>
                <w:rFonts w:hint="default" w:ascii="Times New Roman" w:hAnsi="Times New Roman" w:eastAsia="宋体" w:cs="Times New Roman"/>
                <w:color w:val="auto"/>
                <w:lang w:eastAsia="zh-CN"/>
              </w:rPr>
            </w:pPr>
            <w:r>
              <w:rPr>
                <w:rFonts w:hint="default" w:ascii="Times New Roman" w:hAnsi="Times New Roman" w:cs="Times New Roman"/>
                <w:color w:val="auto"/>
              </w:rPr>
              <w:t>CAS号：</w:t>
            </w:r>
            <w:r>
              <w:rPr>
                <w:rFonts w:hint="default" w:ascii="Times New Roman" w:hAnsi="Times New Roman" w:cs="Times New Roman"/>
                <w:color w:val="auto"/>
                <w:lang w:val="en-US" w:eastAsia="zh-CN"/>
              </w:rPr>
              <w:t>74</w:t>
            </w:r>
            <w:r>
              <w:rPr>
                <w:rFonts w:hint="default" w:ascii="Times New Roman" w:hAnsi="Times New Roman" w:cs="Times New Roman"/>
                <w:color w:val="auto"/>
              </w:rPr>
              <w:t>－</w:t>
            </w:r>
            <w:r>
              <w:rPr>
                <w:rFonts w:hint="default" w:ascii="Times New Roman" w:hAnsi="Times New Roman" w:cs="Times New Roman"/>
                <w:color w:val="auto"/>
                <w:lang w:val="en-US" w:eastAsia="zh-CN"/>
              </w:rPr>
              <w:t>98</w:t>
            </w:r>
            <w:r>
              <w:rPr>
                <w:rFonts w:hint="default" w:ascii="Times New Roman" w:hAnsi="Times New Roman" w:cs="Times New Roman"/>
                <w:color w:val="auto"/>
              </w:rPr>
              <w:t>－</w:t>
            </w:r>
            <w:r>
              <w:rPr>
                <w:rFonts w:hint="default" w:ascii="Times New Roman" w:hAnsi="Times New Roman" w:cs="Times New Roman"/>
                <w:color w:val="auto"/>
                <w:lang w:val="en-US" w:eastAsia="zh-CN"/>
              </w:rPr>
              <w:t>6</w:t>
            </w:r>
          </w:p>
        </w:tc>
      </w:tr>
      <w:tr w14:paraId="5C146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14D2B2AF">
            <w:pPr>
              <w:widowControl/>
              <w:jc w:val="left"/>
              <w:rPr>
                <w:rFonts w:hint="default" w:ascii="Times New Roman" w:hAnsi="Times New Roman" w:cs="Times New Roman"/>
                <w:color w:val="auto"/>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37269FE6">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危规号：</w:t>
            </w:r>
            <w:r>
              <w:rPr>
                <w:rFonts w:hint="default" w:ascii="Times New Roman" w:hAnsi="Times New Roman" w:cs="Times New Roman"/>
                <w:color w:val="auto"/>
                <w:lang w:val="en-US" w:eastAsia="zh-CN"/>
              </w:rPr>
              <w:t>21011</w:t>
            </w:r>
          </w:p>
        </w:tc>
      </w:tr>
      <w:tr w14:paraId="15AB9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4FA735E8">
            <w:pPr>
              <w:spacing w:line="380" w:lineRule="exact"/>
              <w:jc w:val="center"/>
              <w:rPr>
                <w:rFonts w:hint="default" w:ascii="Times New Roman" w:hAnsi="Times New Roman" w:cs="Times New Roman"/>
                <w:color w:val="auto"/>
              </w:rPr>
            </w:pPr>
            <w:r>
              <w:rPr>
                <w:rFonts w:hint="default" w:ascii="Times New Roman" w:hAnsi="Times New Roman" w:cs="Times New Roman"/>
                <w:color w:val="auto"/>
              </w:rPr>
              <w:t>理化性质</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165C3495">
            <w:pPr>
              <w:spacing w:line="320" w:lineRule="exact"/>
              <w:rPr>
                <w:rFonts w:hint="default" w:ascii="Times New Roman" w:hAnsi="Times New Roman" w:cs="Times New Roman"/>
                <w:color w:val="auto"/>
              </w:rPr>
            </w:pPr>
            <w:r>
              <w:rPr>
                <w:rFonts w:hint="default" w:ascii="Times New Roman" w:hAnsi="Times New Roman" w:cs="Times New Roman"/>
                <w:color w:val="auto"/>
              </w:rPr>
              <w:t>性状： 无色</w:t>
            </w:r>
            <w:r>
              <w:rPr>
                <w:rFonts w:hint="default" w:ascii="Times New Roman" w:hAnsi="Times New Roman" w:cs="Times New Roman"/>
                <w:color w:val="auto"/>
                <w:lang w:val="en-US" w:eastAsia="zh-CN"/>
              </w:rPr>
              <w:t>气体</w:t>
            </w:r>
            <w:r>
              <w:rPr>
                <w:rFonts w:hint="default" w:ascii="Times New Roman" w:hAnsi="Times New Roman" w:cs="Times New Roman"/>
                <w:color w:val="auto"/>
              </w:rPr>
              <w:t>。</w:t>
            </w:r>
          </w:p>
        </w:tc>
      </w:tr>
      <w:tr w14:paraId="238BB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2EE46CEF">
            <w:pPr>
              <w:widowControl/>
              <w:jc w:val="left"/>
              <w:rPr>
                <w:rFonts w:hint="default" w:ascii="Times New Roman" w:hAnsi="Times New Roman" w:cs="Times New Roman"/>
                <w:color w:val="auto"/>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4E40DB6E">
            <w:pPr>
              <w:spacing w:line="320" w:lineRule="exact"/>
              <w:rPr>
                <w:rFonts w:hint="default" w:ascii="Times New Roman" w:hAnsi="Times New Roman" w:cs="Times New Roman"/>
                <w:color w:val="auto"/>
              </w:rPr>
            </w:pPr>
            <w:r>
              <w:rPr>
                <w:rFonts w:hint="default" w:ascii="Times New Roman" w:hAnsi="Times New Roman" w:cs="Times New Roman"/>
                <w:color w:val="auto"/>
              </w:rPr>
              <w:t>溶解性：</w:t>
            </w:r>
            <w:r>
              <w:rPr>
                <w:rFonts w:hint="default" w:ascii="Times New Roman" w:hAnsi="Times New Roman" w:cs="Times New Roman"/>
                <w:color w:val="auto"/>
                <w:lang w:val="en-US" w:eastAsia="zh-CN"/>
              </w:rPr>
              <w:t>微</w:t>
            </w:r>
            <w:r>
              <w:rPr>
                <w:rFonts w:hint="default" w:ascii="Times New Roman" w:hAnsi="Times New Roman" w:cs="Times New Roman"/>
                <w:color w:val="auto"/>
              </w:rPr>
              <w:t>溶于水，溶于乙醇、乙醚。</w:t>
            </w:r>
          </w:p>
        </w:tc>
      </w:tr>
      <w:tr w14:paraId="01C76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52AF50D6">
            <w:pPr>
              <w:widowControl/>
              <w:jc w:val="left"/>
              <w:rPr>
                <w:rFonts w:hint="default" w:ascii="Times New Roman" w:hAnsi="Times New Roman" w:cs="Times New Roman"/>
                <w:color w:val="auto"/>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64F87A30">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熔点（℃）：－</w:t>
            </w:r>
            <w:r>
              <w:rPr>
                <w:rFonts w:hint="default" w:ascii="Times New Roman" w:hAnsi="Times New Roman" w:cs="Times New Roman"/>
                <w:color w:val="auto"/>
                <w:lang w:val="en-US" w:eastAsia="zh-CN"/>
              </w:rPr>
              <w:t>187.6</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091CC01A">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沸点（℃）：</w:t>
            </w:r>
            <w:r>
              <w:rPr>
                <w:rFonts w:hint="default" w:ascii="Times New Roman" w:hAnsi="Times New Roman" w:cs="Times New Roman"/>
                <w:color w:val="auto"/>
                <w:lang w:val="en-US" w:eastAsia="zh-CN"/>
              </w:rPr>
              <w:t>-42.1</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64B25D45">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相对密度（水＝1）：</w:t>
            </w:r>
            <w:r>
              <w:rPr>
                <w:rFonts w:hint="default" w:ascii="Times New Roman" w:hAnsi="Times New Roman" w:cs="Times New Roman"/>
                <w:color w:val="auto"/>
                <w:lang w:val="en-US" w:eastAsia="zh-CN"/>
              </w:rPr>
              <w:t>0.58</w:t>
            </w:r>
          </w:p>
        </w:tc>
      </w:tr>
      <w:tr w14:paraId="045C9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4A91BBF0">
            <w:pPr>
              <w:widowControl/>
              <w:jc w:val="left"/>
              <w:rPr>
                <w:rFonts w:hint="default" w:ascii="Times New Roman" w:hAnsi="Times New Roman" w:cs="Times New Roman"/>
                <w:color w:val="auto"/>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192D74D2">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临界温度（℃）：</w:t>
            </w:r>
            <w:r>
              <w:rPr>
                <w:rFonts w:hint="default" w:ascii="Times New Roman" w:hAnsi="Times New Roman" w:cs="Times New Roman"/>
                <w:color w:val="auto"/>
                <w:lang w:val="en-US" w:eastAsia="zh-CN"/>
              </w:rPr>
              <w:t>96.8</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7317E527">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临界压力（MPa）：</w:t>
            </w:r>
            <w:r>
              <w:rPr>
                <w:rFonts w:hint="default" w:ascii="Times New Roman" w:hAnsi="Times New Roman" w:cs="Times New Roman"/>
                <w:color w:val="auto"/>
                <w:lang w:val="en-US" w:eastAsia="zh-CN"/>
              </w:rPr>
              <w:t>4.25</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69D44409">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相对密度（空气＝1）：</w:t>
            </w:r>
            <w:r>
              <w:rPr>
                <w:rFonts w:hint="default" w:ascii="Times New Roman" w:hAnsi="Times New Roman" w:cs="Times New Roman"/>
                <w:color w:val="auto"/>
                <w:lang w:val="en-US" w:eastAsia="zh-CN"/>
              </w:rPr>
              <w:t>1.56</w:t>
            </w:r>
          </w:p>
        </w:tc>
      </w:tr>
      <w:tr w14:paraId="1B6CA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67186DC2">
            <w:pPr>
              <w:widowControl/>
              <w:jc w:val="left"/>
              <w:rPr>
                <w:rFonts w:hint="default" w:ascii="Times New Roman" w:hAnsi="Times New Roman" w:cs="Times New Roman"/>
                <w:color w:val="auto"/>
              </w:rPr>
            </w:pPr>
          </w:p>
        </w:tc>
        <w:tc>
          <w:tcPr>
            <w:tcW w:w="1502" w:type="pct"/>
            <w:tcBorders>
              <w:top w:val="single" w:color="auto" w:sz="4" w:space="0"/>
              <w:left w:val="single" w:color="auto" w:sz="4" w:space="0"/>
              <w:bottom w:val="single" w:color="auto" w:sz="4" w:space="0"/>
              <w:right w:val="single" w:color="auto" w:sz="4" w:space="0"/>
            </w:tcBorders>
            <w:noWrap w:val="0"/>
            <w:vAlign w:val="top"/>
          </w:tcPr>
          <w:p w14:paraId="52A38860">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燃烧热（KJ/mol）：</w:t>
            </w:r>
            <w:r>
              <w:rPr>
                <w:rFonts w:hint="default" w:ascii="Times New Roman" w:hAnsi="Times New Roman" w:cs="Times New Roman"/>
                <w:color w:val="auto"/>
                <w:lang w:val="en-US" w:eastAsia="zh-CN"/>
              </w:rPr>
              <w:t>2217.8</w:t>
            </w:r>
          </w:p>
        </w:tc>
        <w:tc>
          <w:tcPr>
            <w:tcW w:w="1525" w:type="pct"/>
            <w:gridSpan w:val="3"/>
            <w:tcBorders>
              <w:top w:val="single" w:color="auto" w:sz="4" w:space="0"/>
              <w:left w:val="single" w:color="auto" w:sz="4" w:space="0"/>
              <w:bottom w:val="single" w:color="auto" w:sz="4" w:space="0"/>
              <w:right w:val="single" w:color="auto" w:sz="4" w:space="0"/>
            </w:tcBorders>
            <w:noWrap w:val="0"/>
            <w:vAlign w:val="top"/>
          </w:tcPr>
          <w:p w14:paraId="749E5115">
            <w:pPr>
              <w:spacing w:line="320" w:lineRule="exact"/>
              <w:rPr>
                <w:rFonts w:hint="default" w:ascii="Times New Roman" w:hAnsi="Times New Roman" w:cs="Times New Roman"/>
                <w:color w:val="auto"/>
              </w:rPr>
            </w:pPr>
            <w:r>
              <w:rPr>
                <w:rFonts w:hint="default" w:ascii="Times New Roman" w:hAnsi="Times New Roman" w:cs="Times New Roman"/>
                <w:color w:val="auto"/>
              </w:rPr>
              <w:t>最小点火能（mJ）：无资料</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4B941949">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饱和蒸汽压（KPa）：</w:t>
            </w:r>
            <w:r>
              <w:rPr>
                <w:rFonts w:hint="default" w:ascii="Times New Roman" w:hAnsi="Times New Roman" w:cs="Times New Roman"/>
                <w:color w:val="auto"/>
                <w:lang w:val="en-US" w:eastAsia="zh-CN"/>
              </w:rPr>
              <w:t>53.52</w:t>
            </w:r>
          </w:p>
        </w:tc>
      </w:tr>
      <w:tr w14:paraId="11A9F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38" w:type="pct"/>
            <w:vMerge w:val="restart"/>
            <w:tcBorders>
              <w:top w:val="single" w:color="auto" w:sz="4" w:space="0"/>
              <w:left w:val="single" w:color="auto" w:sz="4" w:space="0"/>
              <w:bottom w:val="single" w:color="auto" w:sz="4" w:space="0"/>
              <w:right w:val="single" w:color="auto" w:sz="4" w:space="0"/>
            </w:tcBorders>
            <w:noWrap w:val="0"/>
            <w:vAlign w:val="center"/>
          </w:tcPr>
          <w:p w14:paraId="402421D8">
            <w:pPr>
              <w:spacing w:line="280" w:lineRule="exact"/>
              <w:jc w:val="center"/>
              <w:rPr>
                <w:rFonts w:hint="default" w:ascii="Times New Roman" w:hAnsi="Times New Roman" w:cs="Times New Roman"/>
                <w:color w:val="auto"/>
              </w:rPr>
            </w:pPr>
            <w:r>
              <w:rPr>
                <w:rFonts w:hint="default" w:ascii="Times New Roman" w:hAnsi="Times New Roman" w:cs="Times New Roman"/>
                <w:color w:val="auto"/>
              </w:rPr>
              <w:t>燃烧爆炸危险性</w:t>
            </w: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75421CD7">
            <w:pPr>
              <w:spacing w:line="320" w:lineRule="exact"/>
              <w:rPr>
                <w:rFonts w:hint="default" w:ascii="Times New Roman" w:hAnsi="Times New Roman" w:cs="Times New Roman"/>
                <w:color w:val="auto"/>
              </w:rPr>
            </w:pPr>
            <w:r>
              <w:rPr>
                <w:rFonts w:hint="default" w:ascii="Times New Roman" w:hAnsi="Times New Roman" w:cs="Times New Roman"/>
                <w:color w:val="auto"/>
              </w:rPr>
              <w:t>燃烧性：易燃</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6FE7D8BD">
            <w:pPr>
              <w:spacing w:line="320" w:lineRule="exact"/>
              <w:rPr>
                <w:rFonts w:hint="default" w:ascii="Times New Roman" w:hAnsi="Times New Roman" w:cs="Times New Roman"/>
                <w:color w:val="auto"/>
              </w:rPr>
            </w:pPr>
            <w:r>
              <w:rPr>
                <w:rFonts w:hint="default" w:ascii="Times New Roman" w:hAnsi="Times New Roman" w:cs="Times New Roman"/>
                <w:color w:val="auto"/>
              </w:rPr>
              <w:t>燃烧分解产物：一氧化碳、二氧化碳。</w:t>
            </w:r>
          </w:p>
        </w:tc>
      </w:tr>
      <w:tr w14:paraId="11C3D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5B1B3233">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2E511F71">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闪点（℃）：</w:t>
            </w:r>
            <w:r>
              <w:rPr>
                <w:rFonts w:hint="default" w:ascii="Times New Roman" w:hAnsi="Times New Roman" w:cs="Times New Roman"/>
                <w:color w:val="auto"/>
                <w:lang w:val="en-US" w:eastAsia="zh-CN"/>
              </w:rPr>
              <w:t>-104</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5EA72E71">
            <w:pPr>
              <w:spacing w:line="320" w:lineRule="exact"/>
              <w:rPr>
                <w:rFonts w:hint="default" w:ascii="Times New Roman" w:hAnsi="Times New Roman" w:cs="Times New Roman"/>
                <w:color w:val="auto"/>
              </w:rPr>
            </w:pPr>
            <w:r>
              <w:rPr>
                <w:rFonts w:hint="default" w:ascii="Times New Roman" w:hAnsi="Times New Roman" w:cs="Times New Roman"/>
                <w:color w:val="auto"/>
              </w:rPr>
              <w:t>聚合危害：无资料</w:t>
            </w:r>
          </w:p>
        </w:tc>
      </w:tr>
      <w:tr w14:paraId="01CE27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69A9AB7D">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39021177">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爆炸下限（％）：</w:t>
            </w:r>
            <w:r>
              <w:rPr>
                <w:rFonts w:hint="default" w:ascii="Times New Roman" w:hAnsi="Times New Roman" w:cs="Times New Roman"/>
                <w:color w:val="auto"/>
                <w:lang w:val="en-US" w:eastAsia="zh-CN"/>
              </w:rPr>
              <w:t>2.1</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458E047F">
            <w:pPr>
              <w:spacing w:line="320" w:lineRule="exact"/>
              <w:rPr>
                <w:rFonts w:hint="default" w:ascii="Times New Roman" w:hAnsi="Times New Roman" w:cs="Times New Roman"/>
                <w:color w:val="auto"/>
              </w:rPr>
            </w:pPr>
            <w:r>
              <w:rPr>
                <w:rFonts w:hint="default" w:ascii="Times New Roman" w:hAnsi="Times New Roman" w:cs="Times New Roman"/>
                <w:color w:val="auto"/>
              </w:rPr>
              <w:t>稳定性：无资料</w:t>
            </w:r>
          </w:p>
        </w:tc>
      </w:tr>
      <w:tr w14:paraId="283D8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661BC182">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78A748EF">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爆炸上限（％）：</w:t>
            </w:r>
            <w:r>
              <w:rPr>
                <w:rFonts w:hint="default" w:ascii="Times New Roman" w:hAnsi="Times New Roman" w:cs="Times New Roman"/>
                <w:color w:val="auto"/>
                <w:lang w:val="en-US" w:eastAsia="zh-CN"/>
              </w:rPr>
              <w:t>9.5</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1B491989">
            <w:pPr>
              <w:spacing w:line="320" w:lineRule="exact"/>
              <w:rPr>
                <w:rFonts w:hint="default" w:ascii="Times New Roman" w:hAnsi="Times New Roman" w:cs="Times New Roman"/>
                <w:color w:val="auto"/>
              </w:rPr>
            </w:pPr>
            <w:r>
              <w:rPr>
                <w:rFonts w:hint="default" w:ascii="Times New Roman" w:hAnsi="Times New Roman" w:cs="Times New Roman"/>
                <w:color w:val="auto"/>
              </w:rPr>
              <w:t>最大爆炸压力（MPa）：无资料</w:t>
            </w:r>
          </w:p>
        </w:tc>
      </w:tr>
      <w:tr w14:paraId="2F9E2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03AAFC8F">
            <w:pPr>
              <w:widowControl/>
              <w:jc w:val="left"/>
              <w:rPr>
                <w:rFonts w:hint="default" w:ascii="Times New Roman" w:hAnsi="Times New Roman" w:cs="Times New Roman"/>
                <w:color w:val="auto"/>
              </w:rPr>
            </w:pPr>
          </w:p>
        </w:tc>
        <w:tc>
          <w:tcPr>
            <w:tcW w:w="1733" w:type="pct"/>
            <w:gridSpan w:val="2"/>
            <w:tcBorders>
              <w:top w:val="single" w:color="auto" w:sz="4" w:space="0"/>
              <w:left w:val="single" w:color="auto" w:sz="4" w:space="0"/>
              <w:bottom w:val="single" w:color="auto" w:sz="4" w:space="0"/>
              <w:right w:val="single" w:color="auto" w:sz="4" w:space="0"/>
            </w:tcBorders>
            <w:noWrap w:val="0"/>
            <w:vAlign w:val="top"/>
          </w:tcPr>
          <w:p w14:paraId="50335D6C">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引燃温度（℃）：</w:t>
            </w:r>
            <w:r>
              <w:rPr>
                <w:rFonts w:hint="default" w:ascii="Times New Roman" w:hAnsi="Times New Roman" w:cs="Times New Roman"/>
                <w:color w:val="auto"/>
                <w:lang w:val="en-US" w:eastAsia="zh-CN"/>
              </w:rPr>
              <w:t>450</w:t>
            </w:r>
          </w:p>
        </w:tc>
        <w:tc>
          <w:tcPr>
            <w:tcW w:w="3027" w:type="pct"/>
            <w:gridSpan w:val="4"/>
            <w:tcBorders>
              <w:top w:val="single" w:color="auto" w:sz="4" w:space="0"/>
              <w:left w:val="single" w:color="auto" w:sz="4" w:space="0"/>
              <w:bottom w:val="single" w:color="auto" w:sz="4" w:space="0"/>
              <w:right w:val="single" w:color="auto" w:sz="4" w:space="0"/>
            </w:tcBorders>
            <w:noWrap w:val="0"/>
            <w:vAlign w:val="top"/>
          </w:tcPr>
          <w:p w14:paraId="68FC1F35">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禁忌物：强氧化剂</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卤素。</w:t>
            </w:r>
          </w:p>
        </w:tc>
      </w:tr>
      <w:tr w14:paraId="4B855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7"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17AD60A1">
            <w:pPr>
              <w:widowControl/>
              <w:jc w:val="left"/>
              <w:rPr>
                <w:rFonts w:hint="default" w:ascii="Times New Roman" w:hAnsi="Times New Roman" w:cs="Times New Roman"/>
                <w:color w:val="auto"/>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05E91244">
            <w:pPr>
              <w:spacing w:line="320" w:lineRule="exact"/>
              <w:rPr>
                <w:rFonts w:hint="default" w:ascii="Times New Roman" w:hAnsi="Times New Roman" w:cs="Times New Roman"/>
                <w:color w:val="auto"/>
              </w:rPr>
            </w:pPr>
            <w:r>
              <w:rPr>
                <w:rFonts w:hint="default" w:ascii="Times New Roman" w:hAnsi="Times New Roman" w:cs="Times New Roman"/>
                <w:color w:val="auto"/>
              </w:rPr>
              <w:t>危险特性：易燃气体。与空气混合能形成爆炸性混合物，遇热源和明火有燃烧爆炸的危险。与氧化剂接触猛烈反应。气体比空气重，能在较低处扩散到相当远的地方，遇火源会着火回燃。</w:t>
            </w:r>
          </w:p>
        </w:tc>
      </w:tr>
      <w:tr w14:paraId="75386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2" w:hRule="atLeast"/>
        </w:trPr>
        <w:tc>
          <w:tcPr>
            <w:tcW w:w="238" w:type="pct"/>
            <w:vMerge w:val="continue"/>
            <w:tcBorders>
              <w:top w:val="single" w:color="auto" w:sz="4" w:space="0"/>
              <w:left w:val="single" w:color="auto" w:sz="4" w:space="0"/>
              <w:bottom w:val="single" w:color="auto" w:sz="4" w:space="0"/>
              <w:right w:val="single" w:color="auto" w:sz="4" w:space="0"/>
            </w:tcBorders>
            <w:noWrap w:val="0"/>
            <w:vAlign w:val="center"/>
          </w:tcPr>
          <w:p w14:paraId="630BA8BF">
            <w:pPr>
              <w:widowControl/>
              <w:jc w:val="left"/>
              <w:rPr>
                <w:rFonts w:hint="default" w:ascii="Times New Roman" w:hAnsi="Times New Roman" w:cs="Times New Roman"/>
                <w:color w:val="auto"/>
              </w:rPr>
            </w:pP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27541609">
            <w:pPr>
              <w:spacing w:line="320" w:lineRule="exact"/>
              <w:rPr>
                <w:rFonts w:hint="default" w:ascii="Times New Roman" w:hAnsi="Times New Roman" w:cs="Times New Roman"/>
                <w:color w:val="auto"/>
              </w:rPr>
            </w:pPr>
            <w:r>
              <w:rPr>
                <w:rFonts w:hint="default" w:ascii="Times New Roman" w:hAnsi="Times New Roman" w:cs="Times New Roman"/>
                <w:color w:val="auto"/>
              </w:rPr>
              <w:t>灭火剂：喷水冷却容器，可能的话将容器从火场移至空旷处。</w:t>
            </w:r>
            <w:r>
              <w:rPr>
                <w:rFonts w:hint="default" w:ascii="Times New Roman" w:hAnsi="Times New Roman" w:cs="Times New Roman"/>
                <w:color w:val="auto"/>
                <w:lang w:val="en-US" w:eastAsia="zh-CN"/>
              </w:rPr>
              <w:t>雾状水、</w:t>
            </w:r>
            <w:r>
              <w:rPr>
                <w:rFonts w:hint="default" w:ascii="Times New Roman" w:hAnsi="Times New Roman" w:cs="Times New Roman"/>
                <w:color w:val="auto"/>
              </w:rPr>
              <w:t>泡沫、二氧化碳、干粉。</w:t>
            </w:r>
          </w:p>
        </w:tc>
      </w:tr>
      <w:tr w14:paraId="6DFC6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2631E71B">
            <w:pPr>
              <w:jc w:val="center"/>
              <w:rPr>
                <w:rFonts w:hint="default" w:ascii="Times New Roman" w:hAnsi="Times New Roman" w:cs="Times New Roman"/>
                <w:color w:val="auto"/>
              </w:rPr>
            </w:pPr>
            <w:r>
              <w:rPr>
                <w:rFonts w:hint="default" w:ascii="Times New Roman" w:hAnsi="Times New Roman" w:cs="Times New Roman"/>
                <w:color w:val="auto"/>
              </w:rPr>
              <w:t>毒性</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6A16531E">
            <w:pPr>
              <w:spacing w:line="32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接触限值： 中国MAC（mg/m</w:t>
            </w:r>
            <w:r>
              <w:rPr>
                <w:rFonts w:hint="default" w:ascii="Times New Roman" w:hAnsi="Times New Roman" w:cs="Times New Roman"/>
                <w:color w:val="auto"/>
                <w:vertAlign w:val="superscript"/>
              </w:rPr>
              <w:t>3</w:t>
            </w:r>
            <w:r>
              <w:rPr>
                <w:rFonts w:hint="default" w:ascii="Times New Roman" w:hAnsi="Times New Roman" w:cs="Times New Roman"/>
                <w:color w:val="auto"/>
              </w:rPr>
              <w:t>） 未制定标准    前苏联 MAC（mg/m</w:t>
            </w:r>
            <w:r>
              <w:rPr>
                <w:rFonts w:hint="default" w:ascii="Times New Roman" w:hAnsi="Times New Roman" w:cs="Times New Roman"/>
                <w:color w:val="auto"/>
                <w:vertAlign w:val="superscript"/>
              </w:rPr>
              <w:t>3</w:t>
            </w:r>
            <w:r>
              <w:rPr>
                <w:rFonts w:hint="default" w:ascii="Times New Roman" w:hAnsi="Times New Roman" w:cs="Times New Roman"/>
                <w:color w:val="auto"/>
              </w:rPr>
              <w:t xml:space="preserve">） </w:t>
            </w:r>
            <w:r>
              <w:rPr>
                <w:rFonts w:hint="default" w:ascii="Times New Roman" w:hAnsi="Times New Roman" w:cs="Times New Roman"/>
                <w:color w:val="auto"/>
                <w:lang w:val="en-US" w:eastAsia="zh-CN"/>
              </w:rPr>
              <w:t>300</w:t>
            </w:r>
          </w:p>
          <w:p w14:paraId="4A2FE70E">
            <w:pPr>
              <w:spacing w:line="320" w:lineRule="exact"/>
              <w:rPr>
                <w:rFonts w:hint="default" w:ascii="Times New Roman" w:hAnsi="Times New Roman" w:cs="Times New Roman"/>
                <w:color w:val="auto"/>
              </w:rPr>
            </w:pPr>
            <w:r>
              <w:rPr>
                <w:rFonts w:hint="default" w:ascii="Times New Roman" w:hAnsi="Times New Roman" w:cs="Times New Roman"/>
                <w:color w:val="auto"/>
              </w:rPr>
              <w:t>毒理资料：</w:t>
            </w:r>
          </w:p>
        </w:tc>
      </w:tr>
      <w:tr w14:paraId="7D5F8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38" w:type="pct"/>
            <w:tcBorders>
              <w:top w:val="single" w:color="auto" w:sz="4" w:space="0"/>
              <w:left w:val="single" w:color="auto" w:sz="4" w:space="0"/>
              <w:bottom w:val="single" w:color="auto" w:sz="4" w:space="0"/>
              <w:right w:val="single" w:color="auto" w:sz="4" w:space="0"/>
            </w:tcBorders>
            <w:noWrap w:val="0"/>
            <w:vAlign w:val="center"/>
          </w:tcPr>
          <w:p w14:paraId="02D83016">
            <w:pPr>
              <w:spacing w:line="240" w:lineRule="exact"/>
              <w:jc w:val="center"/>
              <w:rPr>
                <w:rFonts w:hint="default" w:ascii="Times New Roman" w:hAnsi="Times New Roman" w:cs="Times New Roman"/>
                <w:color w:val="auto"/>
              </w:rPr>
            </w:pPr>
            <w:r>
              <w:rPr>
                <w:rFonts w:hint="default" w:ascii="Times New Roman" w:hAnsi="Times New Roman" w:cs="Times New Roman"/>
                <w:color w:val="auto"/>
              </w:rPr>
              <w:t>对人体危害</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2E2B891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rPr>
            </w:pPr>
            <w:r>
              <w:rPr>
                <w:rFonts w:hint="default" w:ascii="Times New Roman" w:hAnsi="Times New Roman" w:cs="Times New Roman"/>
                <w:color w:val="auto"/>
              </w:rPr>
              <w:t>侵入途径： 吸入。</w:t>
            </w:r>
          </w:p>
          <w:p w14:paraId="291A9B0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auto"/>
              </w:rPr>
            </w:pPr>
            <w:r>
              <w:rPr>
                <w:rFonts w:hint="default" w:ascii="Times New Roman" w:hAnsi="Times New Roman" w:cs="Times New Roman"/>
                <w:color w:val="auto"/>
              </w:rPr>
              <w:t>健康危害：本品有单纯性窒息及麻醉作用。人短暂接触 1%丙烷，不引起症状;10%以下的浓度，只引起轻度头晕;接触高浓度时可出现麻醉状态、意识丧失;极高浓度时可致窒息。</w:t>
            </w:r>
          </w:p>
        </w:tc>
      </w:tr>
      <w:tr w14:paraId="05DCA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19610D79">
            <w:pPr>
              <w:spacing w:line="320" w:lineRule="exact"/>
              <w:jc w:val="center"/>
              <w:rPr>
                <w:rFonts w:hint="default" w:ascii="Times New Roman" w:hAnsi="Times New Roman" w:cs="Times New Roman"/>
                <w:color w:val="auto"/>
              </w:rPr>
            </w:pPr>
            <w:r>
              <w:rPr>
                <w:rFonts w:hint="default" w:ascii="Times New Roman" w:hAnsi="Times New Roman" w:cs="Times New Roman"/>
                <w:color w:val="auto"/>
              </w:rPr>
              <w:t>急救</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24C0023F">
            <w:pPr>
              <w:spacing w:line="300" w:lineRule="exact"/>
              <w:rPr>
                <w:rFonts w:hint="default" w:ascii="Times New Roman" w:hAnsi="Times New Roman" w:cs="Times New Roman"/>
                <w:color w:val="auto"/>
              </w:rPr>
            </w:pPr>
            <w:r>
              <w:rPr>
                <w:rFonts w:hint="default" w:ascii="Times New Roman" w:hAnsi="Times New Roman" w:cs="Times New Roman"/>
                <w:color w:val="auto"/>
              </w:rPr>
              <w:t>吸入：迅速脱离现场至空气新鲜处。保持呼吸道通畅。如呼吸困难，给输。如呼吸停止，立即进行人工呼吸。就医。</w:t>
            </w:r>
          </w:p>
        </w:tc>
      </w:tr>
      <w:tr w14:paraId="261BC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45C09F55">
            <w:pPr>
              <w:spacing w:line="500" w:lineRule="exact"/>
              <w:jc w:val="center"/>
              <w:rPr>
                <w:rFonts w:hint="default" w:ascii="Times New Roman" w:hAnsi="Times New Roman" w:cs="Times New Roman"/>
                <w:color w:val="auto"/>
              </w:rPr>
            </w:pPr>
            <w:r>
              <w:rPr>
                <w:rFonts w:hint="default" w:ascii="Times New Roman" w:hAnsi="Times New Roman" w:cs="Times New Roman"/>
                <w:color w:val="auto"/>
              </w:rPr>
              <w:t>防护</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4B38B33A">
            <w:pPr>
              <w:spacing w:line="30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工程防护：</w:t>
            </w:r>
            <w:r>
              <w:rPr>
                <w:rFonts w:hint="default" w:ascii="Times New Roman" w:hAnsi="Times New Roman" w:cs="Times New Roman"/>
                <w:color w:val="auto"/>
                <w:lang w:val="en-US" w:eastAsia="zh-CN"/>
              </w:rPr>
              <w:t>生产过程密闭，全面通风。</w:t>
            </w:r>
          </w:p>
          <w:p w14:paraId="39BF8F18">
            <w:pPr>
              <w:pStyle w:val="15"/>
              <w:rPr>
                <w:rFonts w:hint="default" w:ascii="Times New Roman" w:hAnsi="Times New Roman" w:cs="Times New Roman"/>
                <w:color w:val="auto"/>
                <w:lang w:eastAsia="zh-CN"/>
              </w:rPr>
            </w:pPr>
            <w:r>
              <w:rPr>
                <w:rFonts w:hint="default" w:ascii="Times New Roman" w:hAnsi="Times New Roman" w:cs="Times New Roman"/>
                <w:color w:val="auto"/>
              </w:rPr>
              <w:t>呼吸系统防护</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一</w:t>
            </w:r>
            <w:r>
              <w:rPr>
                <w:rFonts w:hint="default" w:ascii="Times New Roman" w:hAnsi="Times New Roman" w:cs="Times New Roman"/>
                <w:color w:val="auto"/>
                <w:lang w:eastAsia="zh-CN"/>
              </w:rPr>
              <w:t>般不需要特殊防护，但建议特殊情况下，佩戴自吸过滤式防毒面具(半面罩)。</w:t>
            </w:r>
          </w:p>
          <w:p w14:paraId="3266315D">
            <w:pPr>
              <w:pStyle w:val="15"/>
              <w:rPr>
                <w:rFonts w:hint="default" w:ascii="Times New Roman" w:hAnsi="Times New Roman" w:cs="Times New Roman"/>
                <w:color w:val="auto"/>
                <w:lang w:eastAsia="zh-CN"/>
              </w:rPr>
            </w:pPr>
            <w:r>
              <w:rPr>
                <w:rFonts w:hint="default" w:ascii="Times New Roman" w:hAnsi="Times New Roman" w:cs="Times New Roman"/>
                <w:color w:val="auto"/>
                <w:lang w:eastAsia="zh-CN"/>
              </w:rPr>
              <w:t>眼睛防护：</w:t>
            </w:r>
            <w:r>
              <w:rPr>
                <w:rFonts w:hint="default" w:ascii="Times New Roman" w:hAnsi="Times New Roman" w:cs="Times New Roman"/>
                <w:color w:val="auto"/>
                <w:lang w:val="en-US" w:eastAsia="zh-CN"/>
              </w:rPr>
              <w:t>一</w:t>
            </w:r>
            <w:r>
              <w:rPr>
                <w:rFonts w:hint="default" w:ascii="Times New Roman" w:hAnsi="Times New Roman" w:cs="Times New Roman"/>
                <w:color w:val="auto"/>
                <w:lang w:eastAsia="zh-CN"/>
              </w:rPr>
              <w:t>般不需要特殊防护，高浓度接触时可戴安全防护眼镜。</w:t>
            </w:r>
          </w:p>
          <w:p w14:paraId="0A6A87A9">
            <w:pPr>
              <w:pStyle w:val="15"/>
              <w:rPr>
                <w:rFonts w:hint="default" w:ascii="Times New Roman" w:hAnsi="Times New Roman" w:cs="Times New Roman"/>
                <w:color w:val="auto"/>
                <w:lang w:eastAsia="zh-CN"/>
              </w:rPr>
            </w:pPr>
            <w:r>
              <w:rPr>
                <w:rFonts w:hint="default" w:ascii="Times New Roman" w:hAnsi="Times New Roman" w:cs="Times New Roman"/>
                <w:color w:val="auto"/>
                <w:lang w:eastAsia="zh-CN"/>
              </w:rPr>
              <w:t>身体防护:穿防静电工作服。</w:t>
            </w:r>
          </w:p>
          <w:p w14:paraId="76AFC559">
            <w:pPr>
              <w:pStyle w:val="15"/>
              <w:rPr>
                <w:rFonts w:hint="default" w:ascii="Times New Roman" w:hAnsi="Times New Roman" w:cs="Times New Roman"/>
                <w:color w:val="auto"/>
                <w:lang w:eastAsia="zh-CN"/>
              </w:rPr>
            </w:pPr>
            <w:r>
              <w:rPr>
                <w:rFonts w:hint="default" w:ascii="Times New Roman" w:hAnsi="Times New Roman" w:cs="Times New Roman"/>
                <w:color w:val="auto"/>
                <w:lang w:eastAsia="zh-CN"/>
              </w:rPr>
              <w:t>手防护:戴一般作业防护手套。</w:t>
            </w:r>
          </w:p>
          <w:p w14:paraId="1BDEB12F">
            <w:pPr>
              <w:pStyle w:val="15"/>
              <w:rPr>
                <w:rFonts w:hint="default" w:ascii="Times New Roman" w:hAnsi="Times New Roman" w:cs="Times New Roman"/>
                <w:color w:val="auto"/>
                <w:lang w:eastAsia="zh-CN"/>
              </w:rPr>
            </w:pPr>
            <w:r>
              <w:rPr>
                <w:rFonts w:hint="default" w:ascii="Times New Roman" w:hAnsi="Times New Roman" w:cs="Times New Roman"/>
                <w:color w:val="auto"/>
                <w:lang w:eastAsia="zh-CN"/>
              </w:rPr>
              <w:t>其他防护:工作现场严禁吸烟。避免长期反复接触。进入罐、限制性空间或其它高浓度区作业，须有人监护。</w:t>
            </w:r>
          </w:p>
          <w:p w14:paraId="274F6620">
            <w:pPr>
              <w:pStyle w:val="15"/>
              <w:rPr>
                <w:rFonts w:hint="default" w:ascii="Times New Roman" w:hAnsi="Times New Roman" w:cs="Times New Roman"/>
                <w:color w:val="auto"/>
              </w:rPr>
            </w:pPr>
            <w:r>
              <w:rPr>
                <w:rFonts w:hint="default" w:ascii="Times New Roman" w:hAnsi="Times New Roman" w:cs="Times New Roman"/>
                <w:color w:val="auto"/>
              </w:rPr>
              <w:t>个人防护： 空气中浓度较高时，建议佩戴自吸过滤式防毒面具（半面罩）。眼睛防护要戴安全防护眼镜；穿防毒物渗透工作服；戴乳胶手套。工作现场严禁吸烟。工作毕，淋浴更衣。注意个人清洁卫生。</w:t>
            </w:r>
          </w:p>
        </w:tc>
      </w:tr>
      <w:tr w14:paraId="65880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8" w:type="pct"/>
            <w:tcBorders>
              <w:top w:val="single" w:color="auto" w:sz="4" w:space="0"/>
              <w:left w:val="single" w:color="auto" w:sz="4" w:space="0"/>
              <w:bottom w:val="single" w:color="auto" w:sz="4" w:space="0"/>
              <w:right w:val="single" w:color="auto" w:sz="4" w:space="0"/>
            </w:tcBorders>
            <w:noWrap w:val="0"/>
            <w:vAlign w:val="center"/>
          </w:tcPr>
          <w:p w14:paraId="45F2B2D8">
            <w:pPr>
              <w:spacing w:line="300" w:lineRule="exact"/>
              <w:jc w:val="center"/>
              <w:rPr>
                <w:rFonts w:hint="default" w:ascii="Times New Roman" w:hAnsi="Times New Roman" w:cs="Times New Roman"/>
                <w:color w:val="auto"/>
              </w:rPr>
            </w:pPr>
            <w:r>
              <w:rPr>
                <w:rFonts w:hint="default" w:ascii="Times New Roman" w:hAnsi="Times New Roman" w:cs="Times New Roman"/>
                <w:color w:val="auto"/>
              </w:rPr>
              <w:t>泄漏处理</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0BC46187">
            <w:pPr>
              <w:spacing w:line="300" w:lineRule="exact"/>
              <w:rPr>
                <w:rFonts w:hint="default" w:ascii="Times New Roman" w:hAnsi="Times New Roman" w:cs="Times New Roman"/>
                <w:color w:val="auto"/>
              </w:rPr>
            </w:pPr>
            <w:r>
              <w:rPr>
                <w:rFonts w:hint="default" w:ascii="Times New Roman" w:hAnsi="Times New Roman" w:cs="Times New Roman"/>
                <w:color w:val="auto"/>
              </w:rPr>
              <w:t>迅速撤离泄漏污染区人员至上风处，并进行隔离，严格限制出入。切断火源。建议应急处理人员戴自给正压式呼吸器，穿防静电工作服。尽可能切断泄漏源。用工业覆盖层或吸附/吸收剂盖住泄漏点附近的下水道等地方防止气体进入。合理通风，加速扩散。喷雾状水稀释、溶解。构筑围堤或挖坑收容产生的大量废水。如有可能，将漏出气用排风机送至空旷地方或装设适当喷头烧掉。漏气容器要妥善处理，修复、检验后再用。</w:t>
            </w:r>
          </w:p>
        </w:tc>
      </w:tr>
      <w:tr w14:paraId="22704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8" w:hRule="atLeast"/>
        </w:trPr>
        <w:tc>
          <w:tcPr>
            <w:tcW w:w="238" w:type="pct"/>
            <w:tcBorders>
              <w:top w:val="single" w:color="auto" w:sz="4" w:space="0"/>
              <w:left w:val="single" w:color="auto" w:sz="4" w:space="0"/>
              <w:bottom w:val="single" w:color="auto" w:sz="4" w:space="0"/>
              <w:right w:val="single" w:color="auto" w:sz="4" w:space="0"/>
            </w:tcBorders>
            <w:noWrap w:val="0"/>
            <w:vAlign w:val="center"/>
          </w:tcPr>
          <w:p w14:paraId="5A149BCF">
            <w:pPr>
              <w:spacing w:line="500" w:lineRule="atLeast"/>
              <w:jc w:val="center"/>
              <w:rPr>
                <w:rFonts w:hint="default" w:ascii="Times New Roman" w:hAnsi="Times New Roman" w:cs="Times New Roman"/>
                <w:color w:val="auto"/>
              </w:rPr>
            </w:pPr>
            <w:r>
              <w:rPr>
                <w:rFonts w:hint="default" w:ascii="Times New Roman" w:hAnsi="Times New Roman" w:cs="Times New Roman"/>
                <w:color w:val="auto"/>
              </w:rPr>
              <w:t>贮运</w:t>
            </w:r>
          </w:p>
        </w:tc>
        <w:tc>
          <w:tcPr>
            <w:tcW w:w="4761" w:type="pct"/>
            <w:gridSpan w:val="6"/>
            <w:tcBorders>
              <w:top w:val="single" w:color="auto" w:sz="4" w:space="0"/>
              <w:left w:val="single" w:color="auto" w:sz="4" w:space="0"/>
              <w:bottom w:val="single" w:color="auto" w:sz="4" w:space="0"/>
              <w:right w:val="single" w:color="auto" w:sz="4" w:space="0"/>
            </w:tcBorders>
            <w:noWrap w:val="0"/>
            <w:vAlign w:val="top"/>
          </w:tcPr>
          <w:p w14:paraId="007D839A">
            <w:pPr>
              <w:spacing w:line="300" w:lineRule="exact"/>
              <w:rPr>
                <w:rFonts w:hint="default" w:ascii="Times New Roman" w:hAnsi="Times New Roman" w:eastAsia="宋体" w:cs="Times New Roman"/>
                <w:color w:val="auto"/>
                <w:lang w:val="en-US" w:eastAsia="zh-CN"/>
              </w:rPr>
            </w:pPr>
            <w:r>
              <w:rPr>
                <w:rFonts w:hint="default" w:ascii="Times New Roman" w:hAnsi="Times New Roman" w:cs="Times New Roman"/>
                <w:color w:val="auto"/>
              </w:rPr>
              <w:t>包装标志：      UN编号：</w:t>
            </w:r>
            <w:r>
              <w:rPr>
                <w:rFonts w:hint="default" w:ascii="Times New Roman" w:hAnsi="Times New Roman" w:cs="Times New Roman"/>
                <w:color w:val="auto"/>
                <w:lang w:val="en-US" w:eastAsia="zh-CN"/>
              </w:rPr>
              <w:t>1978</w:t>
            </w:r>
            <w:r>
              <w:rPr>
                <w:rFonts w:hint="default" w:ascii="Times New Roman" w:hAnsi="Times New Roman" w:cs="Times New Roman"/>
                <w:color w:val="auto"/>
              </w:rPr>
              <w:t xml:space="preserve">    包装分类：      包装方法：</w:t>
            </w:r>
            <w:r>
              <w:rPr>
                <w:rFonts w:hint="default" w:ascii="Times New Roman" w:hAnsi="Times New Roman" w:cs="Times New Roman"/>
                <w:color w:val="auto"/>
                <w:lang w:val="en-US" w:eastAsia="zh-CN"/>
              </w:rPr>
              <w:t>钢制气瓶</w:t>
            </w:r>
          </w:p>
          <w:p w14:paraId="5C3D24D7">
            <w:pPr>
              <w:spacing w:line="300" w:lineRule="exact"/>
              <w:rPr>
                <w:rFonts w:hint="default" w:ascii="Times New Roman" w:hAnsi="Times New Roman" w:cs="Times New Roman"/>
                <w:color w:val="auto"/>
              </w:rPr>
            </w:pPr>
            <w:r>
              <w:rPr>
                <w:rFonts w:hint="default" w:ascii="Times New Roman" w:hAnsi="Times New Roman" w:cs="Times New Roman"/>
                <w:color w:val="auto"/>
              </w:rPr>
              <w:t>储运条件：储存于阴凉、通风的库房。远离火种、热源。库温不宜超过30℃。应与氧化剂、卤素分开存放，切忌混储。采用防爆型照明、通风设施。禁止使用易产生火花的机械设备和工具。储区应备有泄漏应急处理设备。</w:t>
            </w:r>
          </w:p>
        </w:tc>
      </w:tr>
    </w:tbl>
    <w:p w14:paraId="7A552E7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color w:val="auto"/>
          <w:kern w:val="2"/>
          <w:sz w:val="21"/>
          <w:szCs w:val="21"/>
          <w:lang w:val="en-US" w:eastAsia="zh-CN"/>
        </w:rPr>
      </w:pPr>
      <w:r>
        <w:rPr>
          <w:rFonts w:hint="default" w:ascii="Times New Roman" w:hAnsi="Times New Roman" w:eastAsia="宋体" w:cs="Times New Roman"/>
          <w:b/>
          <w:color w:val="auto"/>
          <w:kern w:val="2"/>
          <w:sz w:val="21"/>
          <w:szCs w:val="21"/>
          <w:lang w:val="en-US" w:eastAsia="zh-CN"/>
        </w:rPr>
        <w:t>表2.1-3  废矿物油理化性质</w:t>
      </w:r>
    </w:p>
    <w:tbl>
      <w:tblPr>
        <w:tblStyle w:val="3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9"/>
        <w:gridCol w:w="7141"/>
      </w:tblGrid>
      <w:tr w14:paraId="36253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28DDC1CD">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理化性质</w:t>
            </w:r>
          </w:p>
        </w:tc>
        <w:tc>
          <w:tcPr>
            <w:tcW w:w="4190" w:type="pct"/>
            <w:noWrap w:val="0"/>
            <w:vAlign w:val="center"/>
          </w:tcPr>
          <w:p w14:paraId="6CC0C7E6">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外观及性状：液体。</w:t>
            </w:r>
          </w:p>
        </w:tc>
      </w:tr>
      <w:tr w14:paraId="542A7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0C0E67CC">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毒性及健康危害</w:t>
            </w:r>
          </w:p>
        </w:tc>
        <w:tc>
          <w:tcPr>
            <w:tcW w:w="4190" w:type="pct"/>
            <w:noWrap w:val="0"/>
            <w:vAlign w:val="center"/>
          </w:tcPr>
          <w:p w14:paraId="5E5ABE1C">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侵入途径</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食入、经皮吸收，</w:t>
            </w:r>
          </w:p>
          <w:p w14:paraId="1C05D46C">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健康危害</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封闭毛孔，皮肤不能正常代谢，造成皮肤生理功能受损。</w:t>
            </w:r>
          </w:p>
          <w:p w14:paraId="27D2EE82">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环境危害</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对土壤有危害。</w:t>
            </w:r>
          </w:p>
        </w:tc>
      </w:tr>
      <w:tr w14:paraId="1B69B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1A4C430D">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危险特性</w:t>
            </w:r>
          </w:p>
        </w:tc>
        <w:tc>
          <w:tcPr>
            <w:tcW w:w="4190" w:type="pct"/>
            <w:noWrap w:val="0"/>
            <w:vAlign w:val="center"/>
          </w:tcPr>
          <w:p w14:paraId="718BE627">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危险特性：可燃 </w:t>
            </w:r>
          </w:p>
          <w:p w14:paraId="35CD6BCF">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燃烧（分解）产物：一氧化碳、碳氢化合物、氮氧化合物。</w:t>
            </w:r>
          </w:p>
          <w:p w14:paraId="11FA79A5">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稳定性：稳定 </w:t>
            </w:r>
          </w:p>
          <w:p w14:paraId="39194CD0">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禁忌物：明火 </w:t>
            </w:r>
          </w:p>
          <w:p w14:paraId="7C16B5A3">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灭火剂：泡沫、干粉、二氧化碳、砂土</w:t>
            </w:r>
          </w:p>
        </w:tc>
      </w:tr>
      <w:tr w14:paraId="39FE2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029AA802">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vertAlign w:val="baseline"/>
                <w:lang w:val="en-US" w:eastAsia="zh-CN"/>
              </w:rPr>
              <w:t>急救措施</w:t>
            </w:r>
          </w:p>
        </w:tc>
        <w:tc>
          <w:tcPr>
            <w:tcW w:w="4190" w:type="pct"/>
            <w:noWrap w:val="0"/>
            <w:vAlign w:val="center"/>
          </w:tcPr>
          <w:p w14:paraId="691EBF71">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皮肤接触：及时清洗；</w:t>
            </w:r>
          </w:p>
          <w:p w14:paraId="36642562">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眼接触：提起眼睑，用流动清水或生理盐水冲洗。就医。   </w:t>
            </w:r>
          </w:p>
          <w:p w14:paraId="4EF3A76C">
            <w:pPr>
              <w:jc w:val="left"/>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吸入：迅速脱离现场至空气新鲜处，保持呼吸畅通。如呼吸困难，给输氧。 如呼吸停止，立即进行人工呼吸。就医</w:t>
            </w:r>
            <w:r>
              <w:rPr>
                <w:rFonts w:hint="default" w:ascii="Times New Roman" w:hAnsi="Times New Roman" w:eastAsia="宋体" w:cs="Times New Roman"/>
                <w:color w:val="auto"/>
                <w:kern w:val="2"/>
                <w:sz w:val="21"/>
                <w:szCs w:val="21"/>
                <w:lang w:eastAsia="zh-CN"/>
              </w:rPr>
              <w:t>。</w:t>
            </w:r>
          </w:p>
          <w:p w14:paraId="2757F46E">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食用：饮适量温水，催吐。就医。</w:t>
            </w:r>
          </w:p>
        </w:tc>
      </w:tr>
      <w:tr w14:paraId="4A905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724F1FB4">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泄漏应急 处理</w:t>
            </w:r>
          </w:p>
        </w:tc>
        <w:tc>
          <w:tcPr>
            <w:tcW w:w="4190" w:type="pct"/>
            <w:noWrap w:val="0"/>
            <w:vAlign w:val="center"/>
          </w:tcPr>
          <w:p w14:paraId="0CC2D50F">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应急处置</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迅速撤离泄漏污染区人员至安全区，并进行隔离，严格限制出入。切断火源。建议应急处理人员戴自给正压式呼吸器，穿防毒服。尽可能切 断泄漏源。防止流入下水道、排洪沟等限制性空间</w:t>
            </w:r>
          </w:p>
        </w:tc>
      </w:tr>
      <w:tr w14:paraId="3C184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13E21B22">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储存</w:t>
            </w:r>
          </w:p>
        </w:tc>
        <w:tc>
          <w:tcPr>
            <w:tcW w:w="4190" w:type="pct"/>
            <w:noWrap w:val="0"/>
            <w:vAlign w:val="center"/>
          </w:tcPr>
          <w:p w14:paraId="59F73679">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储存于阴凉、通风的库房。远离火种、热源。应与氧化剂分开存放，切忌 混储。配备相应品种和数量的消防器材。储区应备有泄漏应急处理设备和 合适的收容材料</w:t>
            </w:r>
          </w:p>
        </w:tc>
      </w:tr>
      <w:tr w14:paraId="3C42A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2DD1C8A2">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防护措施</w:t>
            </w:r>
          </w:p>
        </w:tc>
        <w:tc>
          <w:tcPr>
            <w:tcW w:w="4190" w:type="pct"/>
            <w:noWrap w:val="0"/>
            <w:vAlign w:val="center"/>
          </w:tcPr>
          <w:p w14:paraId="48D2BD5A">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呼吸系统防护：空气中浓度超标时，佩带防毒面具。 </w:t>
            </w:r>
          </w:p>
          <w:p w14:paraId="21F9D4ED">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眼睛防护：戴化学安全防护眼镜。 </w:t>
            </w:r>
          </w:p>
          <w:p w14:paraId="3E014B4E">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手防护：戴橡胶耐油手套。 </w:t>
            </w:r>
          </w:p>
          <w:p w14:paraId="771020C1">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身体防护：穿防毒渗透工作服。 </w:t>
            </w:r>
          </w:p>
          <w:p w14:paraId="32DB3B1D">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其它：工作现场严禁吸烟，避免长期反复接触</w:t>
            </w:r>
          </w:p>
        </w:tc>
      </w:tr>
      <w:tr w14:paraId="18976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11CA8C42">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运输注意 事项</w:t>
            </w:r>
          </w:p>
        </w:tc>
        <w:tc>
          <w:tcPr>
            <w:tcW w:w="4190" w:type="pct"/>
            <w:noWrap w:val="0"/>
            <w:vAlign w:val="center"/>
          </w:tcPr>
          <w:p w14:paraId="481F6281">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用铁桶、塑料桶等盛装，盛装时切不可装满，要留出必要的安全空间。运输前应先检查包装容器是否完整、密封，运输过程 中要确保容器不泄漏、不倒塌、不坠落、不损坏。严禁与氧化剂、食用化 学品等混装混运。运输车船必须彻底清洗、消毒，否则不得装运其它物品。 船运时，配装位置应远离卧室、厨房，并与机舱、电源、火源等部位隔离。 公路运输时要按规定路线行驶。</w:t>
            </w:r>
          </w:p>
        </w:tc>
      </w:tr>
      <w:tr w14:paraId="3BBAD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3B16870C">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理化性质</w:t>
            </w:r>
          </w:p>
        </w:tc>
        <w:tc>
          <w:tcPr>
            <w:tcW w:w="4190" w:type="pct"/>
            <w:noWrap w:val="0"/>
            <w:vAlign w:val="center"/>
          </w:tcPr>
          <w:p w14:paraId="484EBEF1">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外观及性状：液体。</w:t>
            </w:r>
          </w:p>
        </w:tc>
      </w:tr>
      <w:tr w14:paraId="002DC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547AFC09">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毒性及健康危害</w:t>
            </w:r>
          </w:p>
        </w:tc>
        <w:tc>
          <w:tcPr>
            <w:tcW w:w="4190" w:type="pct"/>
            <w:noWrap w:val="0"/>
            <w:vAlign w:val="center"/>
          </w:tcPr>
          <w:p w14:paraId="6EED0779">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侵入途径</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食入、经皮吸收，</w:t>
            </w:r>
          </w:p>
          <w:p w14:paraId="02611023">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健康危害</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封闭毛孔，皮肤不能正常代谢，造成皮肤生理功能受损。</w:t>
            </w:r>
          </w:p>
          <w:p w14:paraId="537B57EE">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环境危害</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对土壤有危害。</w:t>
            </w:r>
          </w:p>
        </w:tc>
      </w:tr>
      <w:tr w14:paraId="08738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71B94BA4">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危险特性</w:t>
            </w:r>
          </w:p>
        </w:tc>
        <w:tc>
          <w:tcPr>
            <w:tcW w:w="4190" w:type="pct"/>
            <w:noWrap w:val="0"/>
            <w:vAlign w:val="center"/>
          </w:tcPr>
          <w:p w14:paraId="4A1BDA27">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危险特性：可燃 </w:t>
            </w:r>
          </w:p>
          <w:p w14:paraId="21C28374">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燃烧（分解）产物：一氧化碳、碳氢化合物、氮氧化合物。</w:t>
            </w:r>
          </w:p>
          <w:p w14:paraId="56BC8424">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稳定性：稳定 </w:t>
            </w:r>
          </w:p>
          <w:p w14:paraId="61CB4D69">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禁忌物：明火 </w:t>
            </w:r>
          </w:p>
          <w:p w14:paraId="3FFB9A0C">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灭火剂：泡沫、干粉、二氧化碳、砂土</w:t>
            </w:r>
          </w:p>
        </w:tc>
      </w:tr>
      <w:tr w14:paraId="2D372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6C6E5507">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vertAlign w:val="baseline"/>
                <w:lang w:val="en-US" w:eastAsia="zh-CN"/>
              </w:rPr>
              <w:t>急救措施</w:t>
            </w:r>
          </w:p>
        </w:tc>
        <w:tc>
          <w:tcPr>
            <w:tcW w:w="4190" w:type="pct"/>
            <w:noWrap w:val="0"/>
            <w:vAlign w:val="center"/>
          </w:tcPr>
          <w:p w14:paraId="4D0CC473">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皮肤接触：及时清洗；</w:t>
            </w:r>
          </w:p>
          <w:p w14:paraId="6F384454">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眼接触：提起眼睑，用流动清水或生理盐水冲洗。就医。   </w:t>
            </w:r>
          </w:p>
          <w:p w14:paraId="3C75B0C1">
            <w:pPr>
              <w:jc w:val="left"/>
              <w:rPr>
                <w:rFonts w:hint="default" w:ascii="Times New Roman" w:hAnsi="Times New Roman" w:eastAsia="宋体" w:cs="Times New Roman"/>
                <w:color w:val="auto"/>
                <w:kern w:val="2"/>
                <w:sz w:val="21"/>
                <w:szCs w:val="21"/>
                <w:lang w:eastAsia="zh-CN"/>
              </w:rPr>
            </w:pPr>
            <w:r>
              <w:rPr>
                <w:rFonts w:hint="default" w:ascii="Times New Roman" w:hAnsi="Times New Roman" w:eastAsia="宋体" w:cs="Times New Roman"/>
                <w:color w:val="auto"/>
                <w:kern w:val="2"/>
                <w:sz w:val="21"/>
                <w:szCs w:val="21"/>
              </w:rPr>
              <w:t>吸入：迅速脱离现场至空气新鲜处，保持呼吸畅通。如呼吸困难，给输氧。 如呼吸停止，立即进行人工呼吸。就医</w:t>
            </w:r>
            <w:r>
              <w:rPr>
                <w:rFonts w:hint="default" w:ascii="Times New Roman" w:hAnsi="Times New Roman" w:eastAsia="宋体" w:cs="Times New Roman"/>
                <w:color w:val="auto"/>
                <w:kern w:val="2"/>
                <w:sz w:val="21"/>
                <w:szCs w:val="21"/>
                <w:lang w:eastAsia="zh-CN"/>
              </w:rPr>
              <w:t>。</w:t>
            </w:r>
          </w:p>
          <w:p w14:paraId="003115B0">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食用：饮适量温水，催吐。就医。</w:t>
            </w:r>
          </w:p>
        </w:tc>
      </w:tr>
      <w:tr w14:paraId="19C40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53AB1165">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泄漏应急 处理</w:t>
            </w:r>
          </w:p>
        </w:tc>
        <w:tc>
          <w:tcPr>
            <w:tcW w:w="4190" w:type="pct"/>
            <w:noWrap w:val="0"/>
            <w:vAlign w:val="center"/>
          </w:tcPr>
          <w:p w14:paraId="0CA815DA">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应急处置</w:t>
            </w:r>
            <w:r>
              <w:rPr>
                <w:rFonts w:hint="default" w:ascii="Times New Roman" w:hAnsi="Times New Roman" w:eastAsia="宋体" w:cs="Times New Roman"/>
                <w:color w:val="auto"/>
                <w:kern w:val="2"/>
                <w:sz w:val="21"/>
                <w:szCs w:val="21"/>
                <w:lang w:eastAsia="zh-CN"/>
              </w:rPr>
              <w:t>：</w:t>
            </w:r>
            <w:r>
              <w:rPr>
                <w:rFonts w:hint="default" w:ascii="Times New Roman" w:hAnsi="Times New Roman" w:eastAsia="宋体" w:cs="Times New Roman"/>
                <w:color w:val="auto"/>
                <w:kern w:val="2"/>
                <w:sz w:val="21"/>
                <w:szCs w:val="21"/>
              </w:rPr>
              <w:t>迅速撤离泄漏污染区人员至安全区，并进行隔离，严格限制出入。切断火源。建议应急处理人员戴自给正压式呼吸器，穿防毒服。尽可能切 断泄漏源。防止流入下水道、排洪沟等限制性空间</w:t>
            </w:r>
          </w:p>
        </w:tc>
      </w:tr>
      <w:tr w14:paraId="7CD16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2FB56620">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储存</w:t>
            </w:r>
          </w:p>
        </w:tc>
        <w:tc>
          <w:tcPr>
            <w:tcW w:w="4190" w:type="pct"/>
            <w:noWrap w:val="0"/>
            <w:vAlign w:val="center"/>
          </w:tcPr>
          <w:p w14:paraId="1CEB8A24">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储存于阴凉、通风的库房。远离火种、热源。应与氧化剂分开存放，切忌 混储。配备相应品种和数量的消防器材。储区应备有泄漏应急处理设备和 合适的收容材料</w:t>
            </w:r>
          </w:p>
        </w:tc>
      </w:tr>
      <w:tr w14:paraId="52740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5707D97B">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防护措施</w:t>
            </w:r>
          </w:p>
        </w:tc>
        <w:tc>
          <w:tcPr>
            <w:tcW w:w="4190" w:type="pct"/>
            <w:noWrap w:val="0"/>
            <w:vAlign w:val="center"/>
          </w:tcPr>
          <w:p w14:paraId="0B8F0ABC">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呼吸系统防护：空气中浓度超标时，佩带防毒面具。 </w:t>
            </w:r>
          </w:p>
          <w:p w14:paraId="42FA97BD">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眼睛防护：戴化学安全防护眼镜。 </w:t>
            </w:r>
          </w:p>
          <w:p w14:paraId="22F51FE9">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手防护：戴橡胶耐油手套。 </w:t>
            </w:r>
          </w:p>
          <w:p w14:paraId="4F655BA2">
            <w:pPr>
              <w:jc w:val="left"/>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 xml:space="preserve">身体防护：穿防毒渗透工作服。 </w:t>
            </w:r>
          </w:p>
          <w:p w14:paraId="4C0142D7">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其它：工作现场严禁吸烟，避免长期反复接触</w:t>
            </w:r>
          </w:p>
        </w:tc>
      </w:tr>
      <w:tr w14:paraId="6F61C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9" w:type="pct"/>
            <w:noWrap w:val="0"/>
            <w:vAlign w:val="center"/>
          </w:tcPr>
          <w:p w14:paraId="435A0F04">
            <w:pPr>
              <w:jc w:val="center"/>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运输注意 事项</w:t>
            </w:r>
          </w:p>
        </w:tc>
        <w:tc>
          <w:tcPr>
            <w:tcW w:w="4190" w:type="pct"/>
            <w:noWrap w:val="0"/>
            <w:vAlign w:val="center"/>
          </w:tcPr>
          <w:p w14:paraId="447C7C1E">
            <w:pPr>
              <w:jc w:val="left"/>
              <w:rPr>
                <w:rFonts w:hint="default" w:ascii="Times New Roman" w:hAnsi="Times New Roman" w:eastAsia="宋体" w:cs="Times New Roman"/>
                <w:color w:val="auto"/>
                <w:kern w:val="2"/>
                <w:sz w:val="21"/>
                <w:szCs w:val="21"/>
                <w:vertAlign w:val="baseline"/>
                <w:lang w:val="en-US" w:eastAsia="zh-CN"/>
              </w:rPr>
            </w:pPr>
            <w:r>
              <w:rPr>
                <w:rFonts w:hint="default" w:ascii="Times New Roman" w:hAnsi="Times New Roman" w:eastAsia="宋体" w:cs="Times New Roman"/>
                <w:color w:val="auto"/>
                <w:kern w:val="2"/>
                <w:sz w:val="21"/>
                <w:szCs w:val="21"/>
              </w:rPr>
              <w:t>用铁桶、塑料桶等盛装，盛装时切不可装满，要留出必要的安全空间。运输前应先检查包装容器是否完整、密封，运输过程 中要确保容器不泄漏、不倒塌、不坠落、不损坏。严禁与氧化剂、食用化 学品等混装混运。运输车船必须彻底清洗、消毒，否则不得装运其它物品。 船运时，配装位置应远离卧室、厨房，并与机舱、电源、火源等部位隔离。 公路运输时要按规定路线行驶。</w:t>
            </w:r>
          </w:p>
        </w:tc>
      </w:tr>
    </w:tbl>
    <w:p w14:paraId="472B9821">
      <w:pPr>
        <w:spacing w:line="360" w:lineRule="auto"/>
        <w:ind w:firstLine="420" w:firstLineChars="200"/>
        <w:jc w:val="center"/>
        <w:rPr>
          <w:rFonts w:hint="default" w:ascii="Times New Roman" w:hAnsi="Times New Roman" w:cs="Times New Roman"/>
          <w:color w:val="auto"/>
          <w:sz w:val="24"/>
        </w:rPr>
      </w:pPr>
      <w:r>
        <w:rPr>
          <w:rFonts w:hint="default" w:ascii="Times New Roman" w:hAnsi="Times New Roman" w:eastAsia="宋体" w:cs="Times New Roman"/>
          <w:b/>
          <w:bCs/>
          <w:color w:val="auto"/>
          <w:kern w:val="0"/>
          <w:sz w:val="21"/>
          <w:szCs w:val="21"/>
          <w:highlight w:val="none"/>
          <w:lang w:val="en-US" w:eastAsia="zh-CN" w:bidi="ar-SA"/>
        </w:rPr>
        <w:t>表2.1-</w:t>
      </w:r>
      <w:r>
        <w:rPr>
          <w:rFonts w:hint="default" w:ascii="Times New Roman" w:hAnsi="Times New Roman" w:cs="Times New Roman"/>
          <w:b/>
          <w:bCs/>
          <w:color w:val="auto"/>
          <w:kern w:val="0"/>
          <w:sz w:val="21"/>
          <w:szCs w:val="21"/>
          <w:highlight w:val="none"/>
          <w:lang w:val="en-US" w:eastAsia="zh-CN" w:bidi="ar-SA"/>
        </w:rPr>
        <w:t>4</w:t>
      </w:r>
      <w:r>
        <w:rPr>
          <w:rFonts w:hint="default" w:ascii="Times New Roman" w:hAnsi="Times New Roman" w:eastAsia="宋体" w:cs="Times New Roman"/>
          <w:b/>
          <w:bCs/>
          <w:color w:val="auto"/>
          <w:kern w:val="0"/>
          <w:sz w:val="21"/>
          <w:szCs w:val="21"/>
          <w:highlight w:val="none"/>
          <w:lang w:val="en-US" w:eastAsia="zh-CN" w:bidi="ar-SA"/>
        </w:rPr>
        <w:t xml:space="preserve">   环己酮物质特性及危害识别表</w:t>
      </w:r>
    </w:p>
    <w:tbl>
      <w:tblPr>
        <w:tblStyle w:val="32"/>
        <w:tblW w:w="4998" w:type="pct"/>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426"/>
        <w:gridCol w:w="2420"/>
        <w:gridCol w:w="523"/>
        <w:gridCol w:w="498"/>
        <w:gridCol w:w="2019"/>
        <w:gridCol w:w="2633"/>
      </w:tblGrid>
      <w:tr w14:paraId="4603669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restart"/>
            <w:tcBorders>
              <w:top w:val="single" w:color="auto" w:sz="4" w:space="0"/>
              <w:left w:val="single" w:color="auto" w:sz="4" w:space="0"/>
              <w:bottom w:val="single" w:color="auto" w:sz="4" w:space="0"/>
              <w:right w:val="single" w:color="auto" w:sz="4" w:space="0"/>
            </w:tcBorders>
            <w:noWrap w:val="0"/>
            <w:vAlign w:val="center"/>
          </w:tcPr>
          <w:p w14:paraId="15D00A93">
            <w:pPr>
              <w:spacing w:line="280" w:lineRule="exact"/>
              <w:jc w:val="center"/>
              <w:rPr>
                <w:rFonts w:hint="default" w:ascii="Times New Roman" w:hAnsi="Times New Roman" w:cs="Times New Roman"/>
              </w:rPr>
            </w:pPr>
            <w:r>
              <w:rPr>
                <w:rFonts w:hint="default" w:ascii="Times New Roman" w:hAnsi="Times New Roman" w:cs="Times New Roman"/>
              </w:rPr>
              <w:t>标识</w:t>
            </w:r>
          </w:p>
        </w:tc>
        <w:tc>
          <w:tcPr>
            <w:tcW w:w="2019" w:type="pct"/>
            <w:gridSpan w:val="3"/>
            <w:tcBorders>
              <w:top w:val="single" w:color="auto" w:sz="4" w:space="0"/>
              <w:left w:val="single" w:color="auto" w:sz="4" w:space="0"/>
              <w:bottom w:val="single" w:color="auto" w:sz="4" w:space="0"/>
              <w:right w:val="single" w:color="auto" w:sz="4" w:space="0"/>
            </w:tcBorders>
            <w:noWrap w:val="0"/>
            <w:vAlign w:val="top"/>
          </w:tcPr>
          <w:p w14:paraId="0E528165">
            <w:pPr>
              <w:spacing w:line="300" w:lineRule="exact"/>
              <w:rPr>
                <w:rFonts w:hint="default" w:ascii="Times New Roman" w:hAnsi="Times New Roman" w:cs="Times New Roman"/>
              </w:rPr>
            </w:pPr>
            <w:r>
              <w:rPr>
                <w:rFonts w:hint="default" w:ascii="Times New Roman" w:hAnsi="Times New Roman" w:cs="Times New Roman"/>
              </w:rPr>
              <w:t>中文名：环己酮</w:t>
            </w:r>
          </w:p>
        </w:tc>
        <w:tc>
          <w:tcPr>
            <w:tcW w:w="2730" w:type="pct"/>
            <w:gridSpan w:val="2"/>
            <w:tcBorders>
              <w:top w:val="single" w:color="auto" w:sz="4" w:space="0"/>
              <w:left w:val="single" w:color="auto" w:sz="4" w:space="0"/>
              <w:bottom w:val="single" w:color="auto" w:sz="4" w:space="0"/>
              <w:right w:val="single" w:color="auto" w:sz="4" w:space="0"/>
            </w:tcBorders>
            <w:noWrap w:val="0"/>
            <w:vAlign w:val="top"/>
          </w:tcPr>
          <w:p w14:paraId="26F3B047">
            <w:pPr>
              <w:spacing w:line="300" w:lineRule="exact"/>
              <w:rPr>
                <w:rFonts w:hint="default" w:ascii="Times New Roman" w:hAnsi="Times New Roman" w:cs="Times New Roman"/>
              </w:rPr>
            </w:pPr>
            <w:r>
              <w:rPr>
                <w:rFonts w:hint="default" w:ascii="Times New Roman" w:hAnsi="Times New Roman" w:cs="Times New Roman"/>
              </w:rPr>
              <w:t>英文名：cyclohexanone；ketohexamethylene</w:t>
            </w:r>
          </w:p>
        </w:tc>
      </w:tr>
      <w:tr w14:paraId="174FFEE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8"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71385EDA">
            <w:pPr>
              <w:widowControl/>
              <w:jc w:val="left"/>
              <w:rPr>
                <w:rFonts w:hint="default" w:ascii="Times New Roman" w:hAnsi="Times New Roman" w:cs="Times New Roman"/>
              </w:rPr>
            </w:pPr>
          </w:p>
        </w:tc>
        <w:tc>
          <w:tcPr>
            <w:tcW w:w="2019" w:type="pct"/>
            <w:gridSpan w:val="3"/>
            <w:tcBorders>
              <w:top w:val="single" w:color="auto" w:sz="4" w:space="0"/>
              <w:left w:val="single" w:color="auto" w:sz="4" w:space="0"/>
              <w:bottom w:val="single" w:color="auto" w:sz="4" w:space="0"/>
              <w:right w:val="single" w:color="auto" w:sz="4" w:space="0"/>
            </w:tcBorders>
            <w:noWrap w:val="0"/>
            <w:vAlign w:val="top"/>
          </w:tcPr>
          <w:p w14:paraId="3564770C">
            <w:pPr>
              <w:spacing w:line="300" w:lineRule="exact"/>
              <w:rPr>
                <w:rFonts w:hint="default" w:ascii="Times New Roman" w:hAnsi="Times New Roman" w:cs="Times New Roman"/>
              </w:rPr>
            </w:pPr>
            <w:r>
              <w:rPr>
                <w:rFonts w:hint="default" w:ascii="Times New Roman" w:hAnsi="Times New Roman" w:cs="Times New Roman"/>
              </w:rPr>
              <w:t>分子式：C</w:t>
            </w:r>
            <w:r>
              <w:rPr>
                <w:rFonts w:hint="default" w:ascii="Times New Roman" w:hAnsi="Times New Roman" w:cs="Times New Roman"/>
                <w:vertAlign w:val="subscript"/>
              </w:rPr>
              <w:t>6</w:t>
            </w:r>
            <w:r>
              <w:rPr>
                <w:rFonts w:hint="default" w:ascii="Times New Roman" w:hAnsi="Times New Roman" w:cs="Times New Roman"/>
              </w:rPr>
              <w:t>H</w:t>
            </w:r>
            <w:r>
              <w:rPr>
                <w:rFonts w:hint="default" w:ascii="Times New Roman" w:hAnsi="Times New Roman" w:cs="Times New Roman"/>
                <w:vertAlign w:val="subscript"/>
              </w:rPr>
              <w:t>10</w:t>
            </w:r>
            <w:r>
              <w:rPr>
                <w:rFonts w:hint="default" w:ascii="Times New Roman" w:hAnsi="Times New Roman" w:cs="Times New Roman"/>
              </w:rPr>
              <w:t>O</w:t>
            </w:r>
          </w:p>
        </w:tc>
        <w:tc>
          <w:tcPr>
            <w:tcW w:w="1185" w:type="pct"/>
            <w:tcBorders>
              <w:top w:val="single" w:color="auto" w:sz="4" w:space="0"/>
              <w:left w:val="single" w:color="auto" w:sz="4" w:space="0"/>
              <w:bottom w:val="single" w:color="auto" w:sz="4" w:space="0"/>
              <w:right w:val="single" w:color="auto" w:sz="4" w:space="0"/>
            </w:tcBorders>
            <w:noWrap w:val="0"/>
            <w:vAlign w:val="top"/>
          </w:tcPr>
          <w:p w14:paraId="78F11740">
            <w:pPr>
              <w:spacing w:line="300" w:lineRule="exact"/>
              <w:rPr>
                <w:rFonts w:hint="default" w:ascii="Times New Roman" w:hAnsi="Times New Roman" w:cs="Times New Roman"/>
              </w:rPr>
            </w:pPr>
            <w:r>
              <w:rPr>
                <w:rFonts w:hint="default" w:ascii="Times New Roman" w:hAnsi="Times New Roman" w:cs="Times New Roman"/>
              </w:rPr>
              <w:t>分子量：</w:t>
            </w:r>
            <w:r>
              <w:rPr>
                <w:rFonts w:hint="default" w:ascii="Times New Roman" w:hAnsi="Times New Roman" w:cs="Times New Roman"/>
                <w:lang w:val="en-US" w:eastAsia="zh-CN"/>
              </w:rPr>
              <w:t>98.15</w:t>
            </w:r>
          </w:p>
        </w:tc>
        <w:tc>
          <w:tcPr>
            <w:tcW w:w="1545" w:type="pct"/>
            <w:tcBorders>
              <w:top w:val="single" w:color="auto" w:sz="4" w:space="0"/>
              <w:left w:val="single" w:color="auto" w:sz="4" w:space="0"/>
              <w:bottom w:val="single" w:color="auto" w:sz="4" w:space="0"/>
              <w:right w:val="single" w:color="auto" w:sz="4" w:space="0"/>
            </w:tcBorders>
            <w:noWrap w:val="0"/>
            <w:vAlign w:val="top"/>
          </w:tcPr>
          <w:p w14:paraId="090A8DC3">
            <w:pPr>
              <w:spacing w:line="300" w:lineRule="exact"/>
              <w:rPr>
                <w:rFonts w:hint="default" w:ascii="Times New Roman" w:hAnsi="Times New Roman" w:cs="Times New Roman"/>
              </w:rPr>
            </w:pPr>
            <w:r>
              <w:rPr>
                <w:rFonts w:hint="default" w:ascii="Times New Roman" w:hAnsi="Times New Roman" w:cs="Times New Roman"/>
              </w:rPr>
              <w:t>CAS号：</w:t>
            </w:r>
            <w:r>
              <w:rPr>
                <w:rFonts w:hint="default" w:ascii="Times New Roman" w:hAnsi="Times New Roman" w:cs="Times New Roman"/>
                <w:lang w:val="en-US" w:eastAsia="zh-CN"/>
              </w:rPr>
              <w:t>108-94-1</w:t>
            </w:r>
          </w:p>
        </w:tc>
      </w:tr>
      <w:tr w14:paraId="4260490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79CCCC87">
            <w:pPr>
              <w:widowControl/>
              <w:jc w:val="left"/>
              <w:rPr>
                <w:rFonts w:hint="default" w:ascii="Times New Roman" w:hAnsi="Times New Roman" w:cs="Times New Roman"/>
              </w:rPr>
            </w:pP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46F6581">
            <w:pPr>
              <w:spacing w:line="300" w:lineRule="exact"/>
              <w:rPr>
                <w:rFonts w:hint="default" w:ascii="Times New Roman" w:hAnsi="Times New Roman" w:cs="Times New Roman"/>
              </w:rPr>
            </w:pPr>
            <w:r>
              <w:rPr>
                <w:rFonts w:hint="default" w:ascii="Times New Roman" w:hAnsi="Times New Roman" w:cs="Times New Roman"/>
              </w:rPr>
              <w:t>危规号：33590</w:t>
            </w:r>
          </w:p>
        </w:tc>
      </w:tr>
      <w:tr w14:paraId="3C1CFB8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restart"/>
            <w:tcBorders>
              <w:top w:val="single" w:color="auto" w:sz="4" w:space="0"/>
              <w:left w:val="single" w:color="auto" w:sz="4" w:space="0"/>
              <w:bottom w:val="single" w:color="auto" w:sz="4" w:space="0"/>
              <w:right w:val="single" w:color="auto" w:sz="4" w:space="0"/>
            </w:tcBorders>
            <w:noWrap w:val="0"/>
            <w:vAlign w:val="center"/>
          </w:tcPr>
          <w:p w14:paraId="7A4FFD24">
            <w:pPr>
              <w:spacing w:line="280" w:lineRule="exact"/>
              <w:jc w:val="center"/>
              <w:rPr>
                <w:rFonts w:hint="default" w:ascii="Times New Roman" w:hAnsi="Times New Roman" w:cs="Times New Roman"/>
              </w:rPr>
            </w:pPr>
            <w:r>
              <w:rPr>
                <w:rFonts w:hint="default" w:ascii="Times New Roman" w:hAnsi="Times New Roman" w:cs="Times New Roman"/>
              </w:rPr>
              <w:t>理化性质</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362ACE0D">
            <w:pPr>
              <w:spacing w:line="300" w:lineRule="exact"/>
              <w:rPr>
                <w:rFonts w:hint="default" w:ascii="Times New Roman" w:hAnsi="Times New Roman" w:cs="Times New Roman"/>
              </w:rPr>
            </w:pPr>
            <w:r>
              <w:rPr>
                <w:rFonts w:hint="default" w:ascii="Times New Roman" w:hAnsi="Times New Roman" w:cs="Times New Roman"/>
              </w:rPr>
              <w:t>性状：无色或浅黄色透明液体，有强烈的刺激性臭味。</w:t>
            </w:r>
          </w:p>
        </w:tc>
      </w:tr>
      <w:tr w14:paraId="1B9DB1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300"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6E83613A">
            <w:pPr>
              <w:widowControl/>
              <w:jc w:val="left"/>
              <w:rPr>
                <w:rFonts w:hint="default" w:ascii="Times New Roman" w:hAnsi="Times New Roman" w:cs="Times New Roman"/>
              </w:rPr>
            </w:pP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B43304B">
            <w:pPr>
              <w:spacing w:line="300" w:lineRule="exact"/>
              <w:rPr>
                <w:rFonts w:hint="default" w:ascii="Times New Roman" w:hAnsi="Times New Roman" w:cs="Times New Roman"/>
              </w:rPr>
            </w:pPr>
            <w:r>
              <w:rPr>
                <w:rFonts w:hint="default" w:ascii="Times New Roman" w:hAnsi="Times New Roman" w:cs="Times New Roman"/>
              </w:rPr>
              <w:t>溶解性：微溶于水，可混溶于醇、醚、苯、丙酮等多数有机溶剂。</w:t>
            </w:r>
          </w:p>
        </w:tc>
      </w:tr>
      <w:tr w14:paraId="4D0FCA9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1AAEAE91">
            <w:pPr>
              <w:widowControl/>
              <w:jc w:val="left"/>
              <w:rPr>
                <w:rFonts w:hint="default" w:ascii="Times New Roman" w:hAnsi="Times New Roman" w:cs="Times New Roman"/>
              </w:rPr>
            </w:pPr>
          </w:p>
        </w:tc>
        <w:tc>
          <w:tcPr>
            <w:tcW w:w="1420" w:type="pct"/>
            <w:tcBorders>
              <w:top w:val="single" w:color="auto" w:sz="4" w:space="0"/>
              <w:left w:val="single" w:color="auto" w:sz="4" w:space="0"/>
              <w:bottom w:val="single" w:color="auto" w:sz="4" w:space="0"/>
              <w:right w:val="single" w:color="auto" w:sz="4" w:space="0"/>
            </w:tcBorders>
            <w:noWrap w:val="0"/>
            <w:vAlign w:val="top"/>
          </w:tcPr>
          <w:p w14:paraId="49777E63">
            <w:pPr>
              <w:spacing w:line="300" w:lineRule="exact"/>
              <w:rPr>
                <w:rFonts w:hint="default" w:ascii="Times New Roman" w:hAnsi="Times New Roman" w:cs="Times New Roman"/>
              </w:rPr>
            </w:pPr>
            <w:r>
              <w:rPr>
                <w:rFonts w:hint="default" w:ascii="Times New Roman" w:hAnsi="Times New Roman" w:cs="Times New Roman"/>
              </w:rPr>
              <w:t>熔点（℃）：－45</w:t>
            </w:r>
          </w:p>
        </w:tc>
        <w:tc>
          <w:tcPr>
            <w:tcW w:w="1783" w:type="pct"/>
            <w:gridSpan w:val="3"/>
            <w:tcBorders>
              <w:top w:val="single" w:color="auto" w:sz="4" w:space="0"/>
              <w:left w:val="single" w:color="auto" w:sz="4" w:space="0"/>
              <w:bottom w:val="single" w:color="auto" w:sz="4" w:space="0"/>
              <w:right w:val="single" w:color="auto" w:sz="4" w:space="0"/>
            </w:tcBorders>
            <w:noWrap w:val="0"/>
            <w:vAlign w:val="top"/>
          </w:tcPr>
          <w:p w14:paraId="7A3E242E">
            <w:pPr>
              <w:spacing w:line="300" w:lineRule="exact"/>
              <w:rPr>
                <w:rFonts w:hint="default" w:ascii="Times New Roman" w:hAnsi="Times New Roman" w:cs="Times New Roman"/>
              </w:rPr>
            </w:pPr>
            <w:r>
              <w:rPr>
                <w:rFonts w:hint="default" w:ascii="Times New Roman" w:hAnsi="Times New Roman" w:cs="Times New Roman"/>
              </w:rPr>
              <w:t>沸点（℃）：115.6</w:t>
            </w:r>
          </w:p>
        </w:tc>
        <w:tc>
          <w:tcPr>
            <w:tcW w:w="1545" w:type="pct"/>
            <w:tcBorders>
              <w:top w:val="single" w:color="auto" w:sz="4" w:space="0"/>
              <w:left w:val="single" w:color="auto" w:sz="4" w:space="0"/>
              <w:bottom w:val="single" w:color="auto" w:sz="4" w:space="0"/>
              <w:right w:val="single" w:color="auto" w:sz="4" w:space="0"/>
            </w:tcBorders>
            <w:noWrap w:val="0"/>
            <w:vAlign w:val="top"/>
          </w:tcPr>
          <w:p w14:paraId="7B2D0193">
            <w:pPr>
              <w:spacing w:line="300" w:lineRule="exact"/>
              <w:rPr>
                <w:rFonts w:hint="default" w:ascii="Times New Roman" w:hAnsi="Times New Roman" w:cs="Times New Roman"/>
              </w:rPr>
            </w:pPr>
            <w:r>
              <w:rPr>
                <w:rFonts w:hint="default" w:ascii="Times New Roman" w:hAnsi="Times New Roman" w:cs="Times New Roman"/>
              </w:rPr>
              <w:t>相对密度（水＝1）：0.95</w:t>
            </w:r>
          </w:p>
        </w:tc>
      </w:tr>
      <w:tr w14:paraId="51E2D90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2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5F45DF44">
            <w:pPr>
              <w:widowControl/>
              <w:jc w:val="left"/>
              <w:rPr>
                <w:rFonts w:hint="default" w:ascii="Times New Roman" w:hAnsi="Times New Roman" w:cs="Times New Roman"/>
              </w:rPr>
            </w:pPr>
          </w:p>
        </w:tc>
        <w:tc>
          <w:tcPr>
            <w:tcW w:w="1420" w:type="pct"/>
            <w:tcBorders>
              <w:top w:val="single" w:color="auto" w:sz="4" w:space="0"/>
              <w:left w:val="single" w:color="auto" w:sz="4" w:space="0"/>
              <w:bottom w:val="single" w:color="auto" w:sz="4" w:space="0"/>
              <w:right w:val="single" w:color="auto" w:sz="4" w:space="0"/>
            </w:tcBorders>
            <w:noWrap w:val="0"/>
            <w:vAlign w:val="top"/>
          </w:tcPr>
          <w:p w14:paraId="27446A72">
            <w:pPr>
              <w:spacing w:line="300" w:lineRule="exact"/>
              <w:rPr>
                <w:rFonts w:hint="default" w:ascii="Times New Roman" w:hAnsi="Times New Roman" w:cs="Times New Roman"/>
              </w:rPr>
            </w:pPr>
            <w:r>
              <w:rPr>
                <w:rFonts w:hint="default" w:ascii="Times New Roman" w:hAnsi="Times New Roman" w:cs="Times New Roman"/>
              </w:rPr>
              <w:t>临界温度（℃）：385.9</w:t>
            </w:r>
          </w:p>
        </w:tc>
        <w:tc>
          <w:tcPr>
            <w:tcW w:w="1783" w:type="pct"/>
            <w:gridSpan w:val="3"/>
            <w:tcBorders>
              <w:top w:val="single" w:color="auto" w:sz="4" w:space="0"/>
              <w:left w:val="single" w:color="auto" w:sz="4" w:space="0"/>
              <w:bottom w:val="single" w:color="auto" w:sz="4" w:space="0"/>
              <w:right w:val="single" w:color="auto" w:sz="4" w:space="0"/>
            </w:tcBorders>
            <w:noWrap w:val="0"/>
            <w:vAlign w:val="top"/>
          </w:tcPr>
          <w:p w14:paraId="5763959C">
            <w:pPr>
              <w:spacing w:line="300" w:lineRule="exact"/>
              <w:rPr>
                <w:rFonts w:hint="default" w:ascii="Times New Roman" w:hAnsi="Times New Roman" w:cs="Times New Roman"/>
              </w:rPr>
            </w:pPr>
            <w:r>
              <w:rPr>
                <w:rFonts w:hint="default" w:ascii="Times New Roman" w:hAnsi="Times New Roman" w:cs="Times New Roman"/>
              </w:rPr>
              <w:t>临界压力（MPa）：4.06</w:t>
            </w:r>
          </w:p>
        </w:tc>
        <w:tc>
          <w:tcPr>
            <w:tcW w:w="1545" w:type="pct"/>
            <w:tcBorders>
              <w:top w:val="single" w:color="auto" w:sz="4" w:space="0"/>
              <w:left w:val="single" w:color="auto" w:sz="4" w:space="0"/>
              <w:bottom w:val="single" w:color="auto" w:sz="4" w:space="0"/>
              <w:right w:val="single" w:color="auto" w:sz="4" w:space="0"/>
            </w:tcBorders>
            <w:noWrap w:val="0"/>
            <w:vAlign w:val="top"/>
          </w:tcPr>
          <w:p w14:paraId="7C30B0B6">
            <w:pPr>
              <w:spacing w:line="300" w:lineRule="exact"/>
              <w:rPr>
                <w:rFonts w:hint="default" w:ascii="Times New Roman" w:hAnsi="Times New Roman" w:cs="Times New Roman"/>
              </w:rPr>
            </w:pPr>
            <w:r>
              <w:rPr>
                <w:rFonts w:hint="default" w:ascii="Times New Roman" w:hAnsi="Times New Roman" w:cs="Times New Roman"/>
              </w:rPr>
              <w:t>相对密度（空气＝1）：3.38</w:t>
            </w:r>
          </w:p>
        </w:tc>
      </w:tr>
      <w:tr w14:paraId="3075395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2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5BBBED9E">
            <w:pPr>
              <w:widowControl/>
              <w:jc w:val="left"/>
              <w:rPr>
                <w:rFonts w:hint="default" w:ascii="Times New Roman" w:hAnsi="Times New Roman" w:cs="Times New Roman"/>
              </w:rPr>
            </w:pPr>
          </w:p>
        </w:tc>
        <w:tc>
          <w:tcPr>
            <w:tcW w:w="2019" w:type="pct"/>
            <w:gridSpan w:val="3"/>
            <w:tcBorders>
              <w:top w:val="single" w:color="auto" w:sz="4" w:space="0"/>
              <w:left w:val="single" w:color="auto" w:sz="4" w:space="0"/>
              <w:bottom w:val="single" w:color="auto" w:sz="4" w:space="0"/>
              <w:right w:val="single" w:color="auto" w:sz="4" w:space="0"/>
            </w:tcBorders>
            <w:noWrap w:val="0"/>
            <w:vAlign w:val="top"/>
          </w:tcPr>
          <w:p w14:paraId="34EA633F">
            <w:pPr>
              <w:spacing w:line="300" w:lineRule="exact"/>
              <w:rPr>
                <w:rFonts w:hint="default" w:ascii="Times New Roman" w:hAnsi="Times New Roman" w:cs="Times New Roman"/>
              </w:rPr>
            </w:pPr>
            <w:r>
              <w:rPr>
                <w:rFonts w:hint="default" w:ascii="Times New Roman" w:hAnsi="Times New Roman" w:cs="Times New Roman"/>
              </w:rPr>
              <w:t>燃烧热（KJ/mol）：无资料</w:t>
            </w:r>
          </w:p>
        </w:tc>
        <w:tc>
          <w:tcPr>
            <w:tcW w:w="1185" w:type="pct"/>
            <w:tcBorders>
              <w:top w:val="single" w:color="auto" w:sz="4" w:space="0"/>
              <w:left w:val="single" w:color="auto" w:sz="4" w:space="0"/>
              <w:bottom w:val="single" w:color="auto" w:sz="4" w:space="0"/>
              <w:right w:val="single" w:color="auto" w:sz="4" w:space="0"/>
            </w:tcBorders>
            <w:noWrap w:val="0"/>
            <w:vAlign w:val="top"/>
          </w:tcPr>
          <w:p w14:paraId="1A308288">
            <w:pPr>
              <w:spacing w:line="300" w:lineRule="exact"/>
              <w:rPr>
                <w:rFonts w:hint="default" w:ascii="Times New Roman" w:hAnsi="Times New Roman" w:cs="Times New Roman"/>
              </w:rPr>
            </w:pPr>
            <w:r>
              <w:rPr>
                <w:rFonts w:hint="default" w:ascii="Times New Roman" w:hAnsi="Times New Roman" w:cs="Times New Roman"/>
              </w:rPr>
              <w:t>最小点火能（mJ）：无资料</w:t>
            </w:r>
          </w:p>
        </w:tc>
        <w:tc>
          <w:tcPr>
            <w:tcW w:w="1545" w:type="pct"/>
            <w:tcBorders>
              <w:top w:val="single" w:color="auto" w:sz="4" w:space="0"/>
              <w:left w:val="single" w:color="auto" w:sz="4" w:space="0"/>
              <w:bottom w:val="single" w:color="auto" w:sz="4" w:space="0"/>
              <w:right w:val="single" w:color="auto" w:sz="4" w:space="0"/>
            </w:tcBorders>
            <w:noWrap w:val="0"/>
            <w:vAlign w:val="top"/>
          </w:tcPr>
          <w:p w14:paraId="4772665C">
            <w:pPr>
              <w:spacing w:line="300" w:lineRule="exact"/>
              <w:rPr>
                <w:rFonts w:hint="default" w:ascii="Times New Roman" w:hAnsi="Times New Roman" w:cs="Times New Roman"/>
              </w:rPr>
            </w:pPr>
            <w:r>
              <w:rPr>
                <w:rFonts w:hint="default" w:ascii="Times New Roman" w:hAnsi="Times New Roman" w:cs="Times New Roman"/>
              </w:rPr>
              <w:t>饱和蒸汽压（KPa）：1.33（38.7℃）</w:t>
            </w:r>
          </w:p>
        </w:tc>
      </w:tr>
      <w:tr w14:paraId="1CE954D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70" w:hRule="atLeast"/>
        </w:trPr>
        <w:tc>
          <w:tcPr>
            <w:tcW w:w="250" w:type="pct"/>
            <w:vMerge w:val="restart"/>
            <w:tcBorders>
              <w:top w:val="single" w:color="auto" w:sz="4" w:space="0"/>
              <w:left w:val="single" w:color="auto" w:sz="4" w:space="0"/>
              <w:bottom w:val="single" w:color="auto" w:sz="4" w:space="0"/>
              <w:right w:val="single" w:color="auto" w:sz="4" w:space="0"/>
            </w:tcBorders>
            <w:noWrap w:val="0"/>
            <w:vAlign w:val="center"/>
          </w:tcPr>
          <w:p w14:paraId="77748E3D">
            <w:pPr>
              <w:spacing w:line="280" w:lineRule="exact"/>
              <w:jc w:val="center"/>
              <w:rPr>
                <w:rFonts w:hint="default" w:ascii="Times New Roman" w:hAnsi="Times New Roman" w:cs="Times New Roman"/>
              </w:rPr>
            </w:pPr>
            <w:r>
              <w:rPr>
                <w:rFonts w:hint="default" w:ascii="Times New Roman" w:hAnsi="Times New Roman" w:cs="Times New Roman"/>
              </w:rPr>
              <w:t>燃烧爆炸危险性</w:t>
            </w: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11539F34">
            <w:pPr>
              <w:spacing w:line="300" w:lineRule="exact"/>
              <w:rPr>
                <w:rFonts w:hint="default" w:ascii="Times New Roman" w:hAnsi="Times New Roman" w:cs="Times New Roman"/>
              </w:rPr>
            </w:pPr>
            <w:r>
              <w:rPr>
                <w:rFonts w:hint="default" w:ascii="Times New Roman" w:hAnsi="Times New Roman" w:cs="Times New Roman"/>
              </w:rPr>
              <w:t>燃烧性：易燃</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59604E2F">
            <w:pPr>
              <w:spacing w:line="300" w:lineRule="exact"/>
              <w:rPr>
                <w:rFonts w:hint="default" w:ascii="Times New Roman" w:hAnsi="Times New Roman" w:cs="Times New Roman"/>
              </w:rPr>
            </w:pPr>
            <w:r>
              <w:rPr>
                <w:rFonts w:hint="default" w:ascii="Times New Roman" w:hAnsi="Times New Roman" w:cs="Times New Roman"/>
              </w:rPr>
              <w:t>燃烧分解产物：一氧化碳、二氧化碳。</w:t>
            </w:r>
          </w:p>
        </w:tc>
      </w:tr>
      <w:tr w14:paraId="0B8AB5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5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5D0156B3">
            <w:pPr>
              <w:widowControl/>
              <w:jc w:val="left"/>
              <w:rPr>
                <w:rFonts w:hint="default" w:ascii="Times New Roman" w:hAnsi="Times New Roman" w:cs="Times New Roman"/>
              </w:rPr>
            </w:pP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3C527C6B">
            <w:pPr>
              <w:spacing w:line="300" w:lineRule="exact"/>
              <w:rPr>
                <w:rFonts w:hint="default" w:ascii="Times New Roman" w:hAnsi="Times New Roman" w:cs="Times New Roman"/>
              </w:rPr>
            </w:pPr>
            <w:r>
              <w:rPr>
                <w:rFonts w:hint="default" w:ascii="Times New Roman" w:hAnsi="Times New Roman" w:cs="Times New Roman"/>
              </w:rPr>
              <w:t>闪点（℃）：43</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3BD3AA40">
            <w:pPr>
              <w:spacing w:line="300" w:lineRule="exact"/>
              <w:rPr>
                <w:rFonts w:hint="default" w:ascii="Times New Roman" w:hAnsi="Times New Roman" w:cs="Times New Roman"/>
              </w:rPr>
            </w:pPr>
            <w:r>
              <w:rPr>
                <w:rFonts w:hint="default" w:ascii="Times New Roman" w:hAnsi="Times New Roman" w:cs="Times New Roman"/>
              </w:rPr>
              <w:t>聚合危害：不聚合</w:t>
            </w:r>
          </w:p>
        </w:tc>
      </w:tr>
      <w:tr w14:paraId="370B99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5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1DD2FFED">
            <w:pPr>
              <w:widowControl/>
              <w:jc w:val="left"/>
              <w:rPr>
                <w:rFonts w:hint="default" w:ascii="Times New Roman" w:hAnsi="Times New Roman" w:cs="Times New Roman"/>
              </w:rPr>
            </w:pP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6FA0D037">
            <w:pPr>
              <w:spacing w:line="300" w:lineRule="exact"/>
              <w:rPr>
                <w:rFonts w:hint="default" w:ascii="Times New Roman" w:hAnsi="Times New Roman" w:cs="Times New Roman"/>
              </w:rPr>
            </w:pPr>
            <w:r>
              <w:rPr>
                <w:rFonts w:hint="default" w:ascii="Times New Roman" w:hAnsi="Times New Roman" w:cs="Times New Roman"/>
              </w:rPr>
              <w:t>爆炸下限（％）：1.1</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66D7CAAC">
            <w:pPr>
              <w:spacing w:line="300" w:lineRule="exact"/>
              <w:rPr>
                <w:rFonts w:hint="default" w:ascii="Times New Roman" w:hAnsi="Times New Roman" w:cs="Times New Roman"/>
              </w:rPr>
            </w:pPr>
            <w:r>
              <w:rPr>
                <w:rFonts w:hint="default" w:ascii="Times New Roman" w:hAnsi="Times New Roman" w:cs="Times New Roman"/>
              </w:rPr>
              <w:t>稳定性：稳定</w:t>
            </w:r>
          </w:p>
        </w:tc>
      </w:tr>
      <w:tr w14:paraId="6DB5BD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55"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34F38FBA">
            <w:pPr>
              <w:widowControl/>
              <w:jc w:val="left"/>
              <w:rPr>
                <w:rFonts w:hint="default" w:ascii="Times New Roman" w:hAnsi="Times New Roman" w:cs="Times New Roman"/>
              </w:rPr>
            </w:pP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28A7F922">
            <w:pPr>
              <w:spacing w:line="300" w:lineRule="exact"/>
              <w:rPr>
                <w:rFonts w:hint="default" w:ascii="Times New Roman" w:hAnsi="Times New Roman" w:cs="Times New Roman"/>
              </w:rPr>
            </w:pPr>
            <w:r>
              <w:rPr>
                <w:rFonts w:hint="default" w:ascii="Times New Roman" w:hAnsi="Times New Roman" w:cs="Times New Roman"/>
              </w:rPr>
              <w:t>爆炸上限（％）：9.4</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1641A836">
            <w:pPr>
              <w:spacing w:line="300" w:lineRule="exact"/>
              <w:rPr>
                <w:rFonts w:hint="default" w:ascii="Times New Roman" w:hAnsi="Times New Roman" w:cs="Times New Roman"/>
              </w:rPr>
            </w:pPr>
            <w:r>
              <w:rPr>
                <w:rFonts w:hint="default" w:ascii="Times New Roman" w:hAnsi="Times New Roman" w:cs="Times New Roman"/>
              </w:rPr>
              <w:t>最大爆炸压力（MPa）：无资料</w:t>
            </w:r>
          </w:p>
        </w:tc>
      </w:tr>
      <w:tr w14:paraId="3C803D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40"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5CA933C2">
            <w:pPr>
              <w:widowControl/>
              <w:jc w:val="left"/>
              <w:rPr>
                <w:rFonts w:hint="default" w:ascii="Times New Roman" w:hAnsi="Times New Roman" w:cs="Times New Roman"/>
              </w:rPr>
            </w:pPr>
          </w:p>
        </w:tc>
        <w:tc>
          <w:tcPr>
            <w:tcW w:w="1727" w:type="pct"/>
            <w:gridSpan w:val="2"/>
            <w:tcBorders>
              <w:top w:val="single" w:color="auto" w:sz="4" w:space="0"/>
              <w:left w:val="single" w:color="auto" w:sz="4" w:space="0"/>
              <w:bottom w:val="single" w:color="auto" w:sz="4" w:space="0"/>
              <w:right w:val="single" w:color="auto" w:sz="4" w:space="0"/>
            </w:tcBorders>
            <w:noWrap w:val="0"/>
            <w:vAlign w:val="top"/>
          </w:tcPr>
          <w:p w14:paraId="07CFC6E1">
            <w:pPr>
              <w:spacing w:line="300" w:lineRule="exact"/>
              <w:rPr>
                <w:rFonts w:hint="default" w:ascii="Times New Roman" w:hAnsi="Times New Roman" w:cs="Times New Roman"/>
              </w:rPr>
            </w:pPr>
            <w:r>
              <w:rPr>
                <w:rFonts w:hint="default" w:ascii="Times New Roman" w:hAnsi="Times New Roman" w:cs="Times New Roman"/>
              </w:rPr>
              <w:t>引燃温度（℃）：420</w:t>
            </w:r>
          </w:p>
        </w:tc>
        <w:tc>
          <w:tcPr>
            <w:tcW w:w="3022" w:type="pct"/>
            <w:gridSpan w:val="3"/>
            <w:tcBorders>
              <w:top w:val="single" w:color="auto" w:sz="4" w:space="0"/>
              <w:left w:val="single" w:color="auto" w:sz="4" w:space="0"/>
              <w:bottom w:val="single" w:color="auto" w:sz="4" w:space="0"/>
              <w:right w:val="single" w:color="auto" w:sz="4" w:space="0"/>
            </w:tcBorders>
            <w:noWrap w:val="0"/>
            <w:vAlign w:val="top"/>
          </w:tcPr>
          <w:p w14:paraId="709C01C9">
            <w:pPr>
              <w:spacing w:line="300" w:lineRule="exact"/>
              <w:rPr>
                <w:rFonts w:hint="default" w:ascii="Times New Roman" w:hAnsi="Times New Roman" w:cs="Times New Roman"/>
              </w:rPr>
            </w:pPr>
            <w:r>
              <w:rPr>
                <w:rFonts w:hint="default" w:ascii="Times New Roman" w:hAnsi="Times New Roman" w:cs="Times New Roman"/>
              </w:rPr>
              <w:t>禁忌物：强氧化剂、强还原剂、塑料。</w:t>
            </w:r>
          </w:p>
        </w:tc>
      </w:tr>
      <w:tr w14:paraId="3541471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47"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144C8D77">
            <w:pPr>
              <w:widowControl/>
              <w:jc w:val="left"/>
              <w:rPr>
                <w:rFonts w:hint="default" w:ascii="Times New Roman" w:hAnsi="Times New Roman" w:cs="Times New Roman"/>
              </w:rPr>
            </w:pP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5392C19">
            <w:pPr>
              <w:spacing w:line="300" w:lineRule="exact"/>
              <w:rPr>
                <w:rFonts w:hint="default" w:ascii="Times New Roman" w:hAnsi="Times New Roman" w:cs="Times New Roman"/>
              </w:rPr>
            </w:pPr>
            <w:r>
              <w:rPr>
                <w:rFonts w:hint="default" w:ascii="Times New Roman" w:hAnsi="Times New Roman" w:cs="Times New Roman"/>
              </w:rPr>
              <w:t>危险特性：易燃，遇高热、明火有引起燃烧的危险。与氧化剂接触会猛烈反应。</w:t>
            </w:r>
          </w:p>
        </w:tc>
      </w:tr>
      <w:tr w14:paraId="281BC1B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292" w:hRule="atLeast"/>
        </w:trPr>
        <w:tc>
          <w:tcPr>
            <w:tcW w:w="250" w:type="pct"/>
            <w:vMerge w:val="continue"/>
            <w:tcBorders>
              <w:top w:val="single" w:color="auto" w:sz="4" w:space="0"/>
              <w:left w:val="single" w:color="auto" w:sz="4" w:space="0"/>
              <w:bottom w:val="single" w:color="auto" w:sz="4" w:space="0"/>
              <w:right w:val="single" w:color="auto" w:sz="4" w:space="0"/>
            </w:tcBorders>
            <w:noWrap w:val="0"/>
            <w:vAlign w:val="center"/>
          </w:tcPr>
          <w:p w14:paraId="1E907383">
            <w:pPr>
              <w:widowControl/>
              <w:jc w:val="left"/>
              <w:rPr>
                <w:rFonts w:hint="default" w:ascii="Times New Roman" w:hAnsi="Times New Roman" w:cs="Times New Roman"/>
              </w:rPr>
            </w:pP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CC26642">
            <w:pPr>
              <w:spacing w:line="300" w:lineRule="exact"/>
              <w:rPr>
                <w:rFonts w:hint="default" w:ascii="Times New Roman" w:hAnsi="Times New Roman" w:cs="Times New Roman"/>
              </w:rPr>
            </w:pPr>
            <w:r>
              <w:rPr>
                <w:rFonts w:hint="default" w:ascii="Times New Roman" w:hAnsi="Times New Roman" w:cs="Times New Roman"/>
              </w:rPr>
              <w:t>灭火方法：喷水冷却容器，可能的话将容器从火场移至空旷处。灭火剂：泡沫、干粉、二氧化碳、砂土。</w:t>
            </w:r>
          </w:p>
        </w:tc>
      </w:tr>
      <w:tr w14:paraId="4CE55F0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20" w:hRule="atLeast"/>
        </w:trPr>
        <w:tc>
          <w:tcPr>
            <w:tcW w:w="250" w:type="pct"/>
            <w:tcBorders>
              <w:top w:val="single" w:color="auto" w:sz="4" w:space="0"/>
              <w:left w:val="single" w:color="auto" w:sz="4" w:space="0"/>
              <w:bottom w:val="single" w:color="auto" w:sz="4" w:space="0"/>
              <w:right w:val="single" w:color="auto" w:sz="4" w:space="0"/>
            </w:tcBorders>
            <w:noWrap w:val="0"/>
            <w:vAlign w:val="center"/>
          </w:tcPr>
          <w:p w14:paraId="39859542">
            <w:pPr>
              <w:spacing w:line="240" w:lineRule="exact"/>
              <w:jc w:val="center"/>
              <w:rPr>
                <w:rFonts w:hint="default" w:ascii="Times New Roman" w:hAnsi="Times New Roman" w:cs="Times New Roman"/>
              </w:rPr>
            </w:pPr>
            <w:r>
              <w:rPr>
                <w:rFonts w:hint="default" w:ascii="Times New Roman" w:hAnsi="Times New Roman" w:cs="Times New Roman"/>
              </w:rPr>
              <w:t>对人体危害</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0111296C">
            <w:pPr>
              <w:spacing w:line="280" w:lineRule="exact"/>
              <w:rPr>
                <w:rFonts w:hint="default" w:ascii="Times New Roman" w:hAnsi="Times New Roman" w:cs="Times New Roman"/>
              </w:rPr>
            </w:pPr>
            <w:r>
              <w:rPr>
                <w:rFonts w:hint="default" w:ascii="Times New Roman" w:hAnsi="Times New Roman" w:cs="Times New Roman"/>
              </w:rPr>
              <w:t>侵入途径：吸入、食入、经皮吸收。</w:t>
            </w:r>
          </w:p>
          <w:p w14:paraId="39EFF398">
            <w:pPr>
              <w:spacing w:line="280" w:lineRule="exact"/>
              <w:rPr>
                <w:rFonts w:hint="default" w:ascii="Times New Roman" w:hAnsi="Times New Roman" w:cs="Times New Roman"/>
              </w:rPr>
            </w:pPr>
            <w:r>
              <w:rPr>
                <w:rFonts w:hint="default" w:ascii="Times New Roman" w:hAnsi="Times New Roman" w:cs="Times New Roman"/>
              </w:rPr>
              <w:t>健康危害：本品具有麻醉和刺激作用。急性中毒：主要表现有眼、鼻、喉粘膜刺激症状和头晕、胸闷、全身无力等症状。重者可出现休克、昏迷、四肢抽搐、肺水肿，最后因呼吸衰竭而死亡。脱离接触后能较快恢复正常。液体对皮肤有刺激性；眼接触有可能造成角膜损害。慢性影响：长期反复接触可致皮炎。</w:t>
            </w:r>
          </w:p>
        </w:tc>
      </w:tr>
      <w:tr w14:paraId="3747762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265" w:hRule="atLeast"/>
        </w:trPr>
        <w:tc>
          <w:tcPr>
            <w:tcW w:w="250" w:type="pct"/>
            <w:tcBorders>
              <w:top w:val="single" w:color="auto" w:sz="4" w:space="0"/>
              <w:left w:val="single" w:color="auto" w:sz="4" w:space="0"/>
              <w:bottom w:val="single" w:color="auto" w:sz="4" w:space="0"/>
              <w:right w:val="single" w:color="auto" w:sz="4" w:space="0"/>
            </w:tcBorders>
            <w:noWrap w:val="0"/>
            <w:vAlign w:val="center"/>
          </w:tcPr>
          <w:p w14:paraId="71F16D92">
            <w:pPr>
              <w:spacing w:line="280" w:lineRule="exact"/>
              <w:jc w:val="center"/>
              <w:rPr>
                <w:rFonts w:hint="default" w:ascii="Times New Roman" w:hAnsi="Times New Roman" w:cs="Times New Roman"/>
              </w:rPr>
            </w:pPr>
            <w:r>
              <w:rPr>
                <w:rFonts w:hint="default" w:ascii="Times New Roman" w:hAnsi="Times New Roman" w:cs="Times New Roman"/>
              </w:rPr>
              <w:t>急救</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0A2BEEE6">
            <w:pPr>
              <w:spacing w:line="280" w:lineRule="exact"/>
              <w:rPr>
                <w:rFonts w:hint="default" w:ascii="Times New Roman" w:hAnsi="Times New Roman" w:cs="Times New Roman"/>
              </w:rPr>
            </w:pPr>
            <w:r>
              <w:rPr>
                <w:rFonts w:hint="default" w:ascii="Times New Roman" w:hAnsi="Times New Roman" w:cs="Times New Roman"/>
              </w:rPr>
              <w:t>皮肤接触：脱去被污染的衣着，用肥皂水和清水彻底冲洗皮肤。</w:t>
            </w:r>
          </w:p>
          <w:p w14:paraId="40211780">
            <w:pPr>
              <w:spacing w:line="280" w:lineRule="exact"/>
              <w:rPr>
                <w:rFonts w:hint="default" w:ascii="Times New Roman" w:hAnsi="Times New Roman" w:cs="Times New Roman"/>
              </w:rPr>
            </w:pPr>
            <w:r>
              <w:rPr>
                <w:rFonts w:hint="default" w:ascii="Times New Roman" w:hAnsi="Times New Roman" w:cs="Times New Roman"/>
              </w:rPr>
              <w:t>眼睛接触：立即提起眼睑，用大量流动清水或生理盐水彻底冲洗至少15分钟。就医。</w:t>
            </w:r>
          </w:p>
          <w:p w14:paraId="37A52E98">
            <w:pPr>
              <w:spacing w:line="280" w:lineRule="exact"/>
              <w:rPr>
                <w:rFonts w:hint="default" w:ascii="Times New Roman" w:hAnsi="Times New Roman" w:cs="Times New Roman"/>
              </w:rPr>
            </w:pPr>
            <w:r>
              <w:rPr>
                <w:rFonts w:hint="default" w:ascii="Times New Roman" w:hAnsi="Times New Roman" w:cs="Times New Roman"/>
              </w:rPr>
              <w:t>吸入：迅速脱离现场至空气新鲜处。保持呼吸道畅通。如呼吸困难，给输氧。如呼吸停止，立即进行人工呼吸。就医。</w:t>
            </w:r>
          </w:p>
          <w:p w14:paraId="45F91B48">
            <w:pPr>
              <w:spacing w:line="280" w:lineRule="exact"/>
              <w:rPr>
                <w:rFonts w:hint="default" w:ascii="Times New Roman" w:hAnsi="Times New Roman" w:cs="Times New Roman"/>
              </w:rPr>
            </w:pPr>
            <w:r>
              <w:rPr>
                <w:rFonts w:hint="default" w:ascii="Times New Roman" w:hAnsi="Times New Roman" w:cs="Times New Roman"/>
              </w:rPr>
              <w:t>食入：饮足量温水，催吐。就医。</w:t>
            </w:r>
          </w:p>
        </w:tc>
      </w:tr>
      <w:tr w14:paraId="38957FB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50" w:type="pct"/>
            <w:tcBorders>
              <w:top w:val="single" w:color="auto" w:sz="4" w:space="0"/>
              <w:left w:val="single" w:color="auto" w:sz="4" w:space="0"/>
              <w:bottom w:val="single" w:color="auto" w:sz="4" w:space="0"/>
              <w:right w:val="single" w:color="auto" w:sz="4" w:space="0"/>
            </w:tcBorders>
            <w:noWrap w:val="0"/>
            <w:vAlign w:val="center"/>
          </w:tcPr>
          <w:p w14:paraId="4AB93652">
            <w:pPr>
              <w:spacing w:line="280" w:lineRule="exact"/>
              <w:jc w:val="center"/>
              <w:rPr>
                <w:rFonts w:hint="default" w:ascii="Times New Roman" w:hAnsi="Times New Roman" w:cs="Times New Roman"/>
              </w:rPr>
            </w:pPr>
            <w:r>
              <w:rPr>
                <w:rFonts w:hint="default" w:ascii="Times New Roman" w:hAnsi="Times New Roman" w:cs="Times New Roman"/>
              </w:rPr>
              <w:t>防护</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50D0D8A9">
            <w:pPr>
              <w:spacing w:line="280" w:lineRule="exact"/>
              <w:rPr>
                <w:rFonts w:hint="default" w:ascii="Times New Roman" w:hAnsi="Times New Roman" w:cs="Times New Roman"/>
                <w:spacing w:val="-4"/>
              </w:rPr>
            </w:pPr>
            <w:r>
              <w:rPr>
                <w:rFonts w:hint="default" w:ascii="Times New Roman" w:hAnsi="Times New Roman" w:cs="Times New Roman"/>
                <w:spacing w:val="-4"/>
              </w:rPr>
              <w:t>工程控制：密闭操作。注意通风。</w:t>
            </w:r>
          </w:p>
          <w:p w14:paraId="31F49DF3">
            <w:pPr>
              <w:spacing w:line="280" w:lineRule="exact"/>
              <w:rPr>
                <w:rFonts w:hint="default" w:ascii="Times New Roman" w:hAnsi="Times New Roman" w:cs="Times New Roman"/>
                <w:spacing w:val="-4"/>
              </w:rPr>
            </w:pPr>
            <w:r>
              <w:rPr>
                <w:rFonts w:hint="default" w:ascii="Times New Roman" w:hAnsi="Times New Roman" w:cs="Times New Roman"/>
                <w:spacing w:val="-4"/>
              </w:rPr>
              <w:t>呼吸系统防护：可能接触其蒸气时，应该佩戴自吸过滤式防毒面具（半面罩）。</w:t>
            </w:r>
          </w:p>
          <w:p w14:paraId="0C8B0E06">
            <w:pPr>
              <w:spacing w:line="280" w:lineRule="exact"/>
              <w:rPr>
                <w:rFonts w:hint="default" w:ascii="Times New Roman" w:hAnsi="Times New Roman" w:cs="Times New Roman"/>
                <w:spacing w:val="-4"/>
              </w:rPr>
            </w:pPr>
            <w:r>
              <w:rPr>
                <w:rFonts w:hint="default" w:ascii="Times New Roman" w:hAnsi="Times New Roman" w:cs="Times New Roman"/>
                <w:spacing w:val="-4"/>
              </w:rPr>
              <w:t>眼睛防护：戴化学安全防护眼镜。</w:t>
            </w:r>
          </w:p>
          <w:p w14:paraId="5C36AF2B">
            <w:pPr>
              <w:spacing w:line="280" w:lineRule="exact"/>
              <w:rPr>
                <w:rFonts w:hint="default" w:ascii="Times New Roman" w:hAnsi="Times New Roman" w:cs="Times New Roman"/>
                <w:spacing w:val="-4"/>
              </w:rPr>
            </w:pPr>
            <w:r>
              <w:rPr>
                <w:rFonts w:hint="default" w:ascii="Times New Roman" w:hAnsi="Times New Roman" w:cs="Times New Roman"/>
                <w:spacing w:val="-4"/>
              </w:rPr>
              <w:t>身体防护：穿防静电工作服。</w:t>
            </w:r>
          </w:p>
          <w:p w14:paraId="7F682C99">
            <w:pPr>
              <w:spacing w:line="280" w:lineRule="exact"/>
              <w:rPr>
                <w:rFonts w:hint="default" w:ascii="Times New Roman" w:hAnsi="Times New Roman" w:cs="Times New Roman"/>
                <w:spacing w:val="-4"/>
              </w:rPr>
            </w:pPr>
            <w:r>
              <w:rPr>
                <w:rFonts w:hint="default" w:ascii="Times New Roman" w:hAnsi="Times New Roman" w:cs="Times New Roman"/>
                <w:spacing w:val="-4"/>
              </w:rPr>
              <w:t>手防护：戴防苯耐油手套。</w:t>
            </w:r>
          </w:p>
          <w:p w14:paraId="6BD1E241">
            <w:pPr>
              <w:spacing w:line="280" w:lineRule="exact"/>
              <w:rPr>
                <w:rFonts w:hint="default" w:ascii="Times New Roman" w:hAnsi="Times New Roman" w:cs="Times New Roman"/>
              </w:rPr>
            </w:pPr>
            <w:r>
              <w:rPr>
                <w:rFonts w:hint="default" w:ascii="Times New Roman" w:hAnsi="Times New Roman" w:cs="Times New Roman"/>
                <w:spacing w:val="-4"/>
              </w:rPr>
              <w:t>其他防护：工作现场严禁吸烟。注意个人清洁卫生。避免长期反复接触。</w:t>
            </w:r>
          </w:p>
        </w:tc>
      </w:tr>
      <w:tr w14:paraId="253262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250" w:type="pct"/>
            <w:tcBorders>
              <w:top w:val="single" w:color="auto" w:sz="4" w:space="0"/>
              <w:left w:val="single" w:color="auto" w:sz="4" w:space="0"/>
              <w:bottom w:val="single" w:color="auto" w:sz="4" w:space="0"/>
              <w:right w:val="single" w:color="auto" w:sz="4" w:space="0"/>
            </w:tcBorders>
            <w:noWrap w:val="0"/>
            <w:vAlign w:val="center"/>
          </w:tcPr>
          <w:p w14:paraId="687DEE68">
            <w:pPr>
              <w:spacing w:line="240" w:lineRule="exact"/>
              <w:jc w:val="center"/>
              <w:rPr>
                <w:rFonts w:hint="default" w:ascii="Times New Roman" w:hAnsi="Times New Roman" w:cs="Times New Roman"/>
              </w:rPr>
            </w:pPr>
            <w:r>
              <w:rPr>
                <w:rFonts w:hint="default" w:ascii="Times New Roman" w:hAnsi="Times New Roman" w:cs="Times New Roman"/>
              </w:rPr>
              <w:t>泄漏处理</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76FA3322">
            <w:pPr>
              <w:spacing w:line="300" w:lineRule="exact"/>
              <w:rPr>
                <w:rFonts w:hint="default" w:ascii="Times New Roman" w:hAnsi="Times New Roman" w:cs="Times New Roman"/>
                <w:color w:val="FF0000"/>
              </w:rPr>
            </w:pPr>
            <w:r>
              <w:rPr>
                <w:rFonts w:hint="default" w:ascii="Times New Roman" w:hAnsi="Times New Roman" w:cs="Times New Roman"/>
              </w:rPr>
              <w:t>迅速撤离泄漏污染区人员至安全区，并进行隔离，严格限制出入。切断火源。建议应急处理人员戴自给正压式呼吸器，穿消防防护服。尽可能切断泄漏源，防止进入下水道、排洪沟等限制性空间。小量泄漏：用砂土或其它不燃材料吸附或吸收。也可以用大量水冲洗，洗水稀释后放入废水系统。大量泄漏：构筑围堤或挖坑收容；用泡沫覆盖，降低蒸气灾害。用防爆泵转移至槽车或专用收集器内，回收或运至废物处理场所处置。</w:t>
            </w:r>
          </w:p>
        </w:tc>
      </w:tr>
      <w:tr w14:paraId="109E84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68" w:hRule="atLeast"/>
        </w:trPr>
        <w:tc>
          <w:tcPr>
            <w:tcW w:w="250" w:type="pct"/>
            <w:tcBorders>
              <w:top w:val="single" w:color="auto" w:sz="4" w:space="0"/>
              <w:left w:val="single" w:color="auto" w:sz="4" w:space="0"/>
              <w:bottom w:val="single" w:color="auto" w:sz="4" w:space="0"/>
              <w:right w:val="single" w:color="auto" w:sz="4" w:space="0"/>
            </w:tcBorders>
            <w:noWrap w:val="0"/>
            <w:vAlign w:val="center"/>
          </w:tcPr>
          <w:p w14:paraId="3DD6B59A">
            <w:pPr>
              <w:spacing w:line="280" w:lineRule="exact"/>
              <w:rPr>
                <w:rFonts w:hint="default" w:ascii="Times New Roman" w:hAnsi="Times New Roman" w:cs="Times New Roman"/>
              </w:rPr>
            </w:pPr>
            <w:r>
              <w:rPr>
                <w:rFonts w:hint="default" w:ascii="Times New Roman" w:hAnsi="Times New Roman" w:cs="Times New Roman"/>
              </w:rPr>
              <w:t>贮运</w:t>
            </w:r>
          </w:p>
        </w:tc>
        <w:tc>
          <w:tcPr>
            <w:tcW w:w="4749" w:type="pct"/>
            <w:gridSpan w:val="5"/>
            <w:tcBorders>
              <w:top w:val="single" w:color="auto" w:sz="4" w:space="0"/>
              <w:left w:val="single" w:color="auto" w:sz="4" w:space="0"/>
              <w:bottom w:val="single" w:color="auto" w:sz="4" w:space="0"/>
              <w:right w:val="single" w:color="auto" w:sz="4" w:space="0"/>
            </w:tcBorders>
            <w:noWrap w:val="0"/>
            <w:vAlign w:val="top"/>
          </w:tcPr>
          <w:p w14:paraId="146D195F">
            <w:pPr>
              <w:spacing w:line="300" w:lineRule="exact"/>
              <w:rPr>
                <w:rFonts w:hint="default" w:ascii="Times New Roman" w:hAnsi="Times New Roman" w:cs="Times New Roman"/>
              </w:rPr>
            </w:pPr>
            <w:r>
              <w:rPr>
                <w:rFonts w:hint="default" w:ascii="Times New Roman" w:hAnsi="Times New Roman" w:cs="Times New Roman"/>
              </w:rPr>
              <w:t>包装标志：7        UN编号：1915       包装分类：Ⅲ</w:t>
            </w:r>
          </w:p>
          <w:p w14:paraId="0A62C544">
            <w:pPr>
              <w:spacing w:line="300" w:lineRule="exact"/>
              <w:rPr>
                <w:rFonts w:hint="default" w:ascii="Times New Roman" w:hAnsi="Times New Roman" w:cs="Times New Roman"/>
              </w:rPr>
            </w:pPr>
            <w:r>
              <w:rPr>
                <w:rFonts w:hint="default" w:ascii="Times New Roman" w:hAnsi="Times New Roman" w:cs="Times New Roman"/>
              </w:rPr>
              <w:t>包装方法：小开口钢桶；螺纹口玻璃瓶、铁盖压口玻璃瓶、塑料瓶或金属桶（罐）外木板箱；安瓿瓶外木板箱。</w:t>
            </w:r>
          </w:p>
          <w:p w14:paraId="037A9AD1">
            <w:pPr>
              <w:spacing w:line="300" w:lineRule="exact"/>
              <w:rPr>
                <w:rFonts w:hint="default" w:ascii="Times New Roman" w:hAnsi="Times New Roman" w:cs="Times New Roman"/>
                <w:color w:val="FF0000"/>
              </w:rPr>
            </w:pPr>
            <w:r>
              <w:rPr>
                <w:rFonts w:hint="default" w:ascii="Times New Roman" w:hAnsi="Times New Roman" w:cs="Times New Roman"/>
              </w:rPr>
              <w:t>储运条件：储存在阴凉、通风仓间内。远离火种、热源。仓内温度不宜超过30℃。防止阳光直射。密封包装，不可与空气接触。应与氧化剂分开存放。仓间内的照明、通风等设施应采用防爆型，开关设在仓外。配备相应品种和数量的消防器材。罐储时要有防火防爆技术措施。禁止使用易产生火花的机械设备工具。充装要控制流速，注意防止静电积聚。搬运时要轻装轻卸，防止包装及容器损坏。</w:t>
            </w:r>
          </w:p>
        </w:tc>
      </w:tr>
    </w:tbl>
    <w:p w14:paraId="7F9AC782">
      <w:pPr>
        <w:pStyle w:val="15"/>
        <w:rPr>
          <w:rFonts w:hint="default" w:ascii="Times New Roman" w:hAnsi="Times New Roman" w:cs="Times New Roman"/>
        </w:rPr>
      </w:pPr>
    </w:p>
    <w:p w14:paraId="468BEAFC">
      <w:pPr>
        <w:widowControl w:val="0"/>
        <w:numPr>
          <w:ilvl w:val="1"/>
          <w:numId w:val="3"/>
        </w:numPr>
        <w:tabs>
          <w:tab w:val="left" w:pos="1086"/>
        </w:tabs>
        <w:bidi w:val="0"/>
        <w:snapToGrid w:val="0"/>
        <w:spacing w:before="50" w:beforeLines="50" w:after="50" w:afterLines="50" w:line="360" w:lineRule="auto"/>
        <w:ind w:left="1086" w:leftChars="0" w:hanging="576" w:firstLineChars="0"/>
        <w:jc w:val="both"/>
        <w:outlineLvl w:val="1"/>
        <w:rPr>
          <w:rFonts w:hint="default" w:ascii="Times New Roman" w:hAnsi="Times New Roman" w:eastAsia="黑体" w:cs="Times New Roman"/>
          <w:b/>
          <w:kern w:val="2"/>
          <w:sz w:val="28"/>
          <w:szCs w:val="24"/>
          <w:lang w:val="en-US" w:eastAsia="zh-CN" w:bidi="ar-SA"/>
        </w:rPr>
      </w:pPr>
      <w:r>
        <w:rPr>
          <w:rFonts w:hint="default" w:ascii="Times New Roman" w:hAnsi="Times New Roman" w:eastAsia="黑体" w:cs="Times New Roman"/>
          <w:b/>
          <w:kern w:val="2"/>
          <w:sz w:val="28"/>
          <w:szCs w:val="24"/>
          <w:lang w:val="en-US" w:eastAsia="zh-CN" w:bidi="ar-SA"/>
        </w:rPr>
        <w:t>生产系统危险性识别</w:t>
      </w:r>
    </w:p>
    <w:p w14:paraId="562342DD">
      <w:pPr>
        <w:pStyle w:val="10"/>
        <w:keepNext w:val="0"/>
        <w:keepLines w:val="0"/>
        <w:pageBreakBefore w:val="0"/>
        <w:kinsoku/>
        <w:wordWrap/>
        <w:overflowPunct/>
        <w:topLinePunct w:val="0"/>
        <w:autoSpaceDE/>
        <w:autoSpaceDN/>
        <w:bidi w:val="0"/>
        <w:adjustRightInd/>
        <w:spacing w:before="0" w:after="0" w:line="360" w:lineRule="auto"/>
        <w:ind w:left="0" w:right="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本项目的工艺过程包括</w:t>
      </w:r>
      <w:r>
        <w:rPr>
          <w:rFonts w:hint="default" w:ascii="Times New Roman" w:hAnsi="Times New Roman" w:cs="Times New Roman"/>
          <w:color w:val="auto"/>
          <w:sz w:val="24"/>
          <w:lang w:val="en-US" w:eastAsia="zh-CN"/>
        </w:rPr>
        <w:t>：</w:t>
      </w:r>
    </w:p>
    <w:p w14:paraId="2F942B90">
      <w:pPr>
        <w:pStyle w:val="10"/>
        <w:keepNext w:val="0"/>
        <w:keepLines w:val="0"/>
        <w:pageBreakBefore w:val="0"/>
        <w:kinsoku/>
        <w:wordWrap/>
        <w:overflowPunct/>
        <w:topLinePunct w:val="0"/>
        <w:autoSpaceDE/>
        <w:autoSpaceDN/>
        <w:bidi w:val="0"/>
        <w:adjustRightInd/>
        <w:spacing w:before="0" w:after="0" w:line="360" w:lineRule="auto"/>
        <w:ind w:left="0" w:right="0" w:firstLine="480" w:firstLineChars="2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（1）生产系统风险识别</w:t>
      </w:r>
    </w:p>
    <w:p w14:paraId="68D9F466">
      <w:pPr>
        <w:pStyle w:val="10"/>
        <w:keepNext w:val="0"/>
        <w:keepLines w:val="0"/>
        <w:pageBreakBefore w:val="0"/>
        <w:kinsoku/>
        <w:wordWrap/>
        <w:overflowPunct/>
        <w:topLinePunct w:val="0"/>
        <w:autoSpaceDE/>
        <w:autoSpaceDN/>
        <w:bidi w:val="0"/>
        <w:adjustRightInd/>
        <w:spacing w:before="0" w:after="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1）</w:t>
      </w:r>
      <w:r>
        <w:rPr>
          <w:rFonts w:hint="default" w:ascii="Times New Roman" w:hAnsi="Times New Roman" w:cs="Times New Roman"/>
          <w:b w:val="0"/>
          <w:bCs w:val="0"/>
          <w:color w:val="auto"/>
          <w:sz w:val="24"/>
          <w:szCs w:val="24"/>
          <w:highlight w:val="none"/>
          <w:lang w:val="en-US" w:eastAsia="zh-CN"/>
        </w:rPr>
        <w:t>新建</w:t>
      </w:r>
      <w:r>
        <w:rPr>
          <w:rFonts w:hint="default" w:ascii="Times New Roman" w:hAnsi="Times New Roman" w:eastAsia="宋体" w:cs="Times New Roman"/>
          <w:b w:val="0"/>
          <w:bCs w:val="0"/>
          <w:color w:val="auto"/>
          <w:sz w:val="24"/>
          <w:szCs w:val="24"/>
          <w:highlight w:val="none"/>
          <w:lang w:val="en-US" w:eastAsia="zh-CN"/>
        </w:rPr>
        <w:t>LPG（液化石油气）灌装站</w:t>
      </w:r>
      <w:r>
        <w:rPr>
          <w:rFonts w:hint="default" w:ascii="Times New Roman" w:hAnsi="Times New Roman" w:cs="Times New Roman"/>
          <w:b w:val="0"/>
          <w:bCs w:val="0"/>
          <w:color w:val="auto"/>
          <w:sz w:val="24"/>
          <w:szCs w:val="24"/>
          <w:highlight w:val="none"/>
          <w:lang w:val="en-US" w:eastAsia="zh-CN"/>
        </w:rPr>
        <w:t>1座（民用气体）</w:t>
      </w:r>
      <w:r>
        <w:rPr>
          <w:rFonts w:hint="default" w:ascii="Times New Roman" w:hAnsi="Times New Roman" w:eastAsia="宋体" w:cs="Times New Roman"/>
          <w:b w:val="0"/>
          <w:bCs w:val="0"/>
          <w:color w:val="auto"/>
          <w:sz w:val="24"/>
          <w:szCs w:val="24"/>
          <w:highlight w:val="none"/>
          <w:lang w:val="en-US" w:eastAsia="zh-CN"/>
        </w:rPr>
        <w:t>，LPG灌瓶间（含压缩机房）和LPG卸车台；</w:t>
      </w:r>
    </w:p>
    <w:p w14:paraId="29A8AEB4">
      <w:pPr>
        <w:pStyle w:val="10"/>
        <w:keepNext w:val="0"/>
        <w:keepLines w:val="0"/>
        <w:pageBreakBefore w:val="0"/>
        <w:kinsoku/>
        <w:wordWrap/>
        <w:overflowPunct/>
        <w:topLinePunct w:val="0"/>
        <w:autoSpaceDE/>
        <w:autoSpaceDN/>
        <w:bidi w:val="0"/>
        <w:adjustRightInd/>
        <w:spacing w:before="0" w:after="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val="en-US" w:eastAsia="zh-CN"/>
        </w:rPr>
        <w:t>）新建</w:t>
      </w:r>
      <w:r>
        <w:rPr>
          <w:rFonts w:hint="default" w:ascii="Times New Roman" w:hAnsi="Times New Roman" w:cs="Times New Roman"/>
          <w:b w:val="0"/>
          <w:bCs w:val="0"/>
          <w:color w:val="auto"/>
          <w:sz w:val="24"/>
          <w:szCs w:val="24"/>
          <w:highlight w:val="none"/>
          <w:lang w:val="en-US" w:eastAsia="zh-CN"/>
        </w:rPr>
        <w:t>改性</w:t>
      </w:r>
      <w:r>
        <w:rPr>
          <w:rFonts w:hint="default" w:ascii="Times New Roman" w:hAnsi="Times New Roman" w:eastAsia="宋体" w:cs="Times New Roman"/>
          <w:b w:val="0"/>
          <w:bCs w:val="0"/>
          <w:color w:val="auto"/>
          <w:sz w:val="24"/>
          <w:szCs w:val="24"/>
          <w:highlight w:val="none"/>
          <w:lang w:val="en-US" w:eastAsia="zh-CN"/>
        </w:rPr>
        <w:t>丙烷灌装站1座，包括丙烷灌瓶间；</w:t>
      </w:r>
    </w:p>
    <w:p w14:paraId="1C842E4C">
      <w:pPr>
        <w:pStyle w:val="10"/>
        <w:keepNext w:val="0"/>
        <w:keepLines w:val="0"/>
        <w:pageBreakBefore w:val="0"/>
        <w:kinsoku/>
        <w:wordWrap/>
        <w:overflowPunct/>
        <w:topLinePunct w:val="0"/>
        <w:autoSpaceDE/>
        <w:autoSpaceDN/>
        <w:bidi w:val="0"/>
        <w:adjustRightInd/>
        <w:spacing w:before="0" w:after="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3）新建气瓶检测车间1座，包括</w:t>
      </w:r>
      <w:r>
        <w:rPr>
          <w:rFonts w:hint="eastAsia" w:cs="Times New Roman"/>
          <w:b w:val="0"/>
          <w:bCs w:val="0"/>
          <w:color w:val="auto"/>
          <w:sz w:val="24"/>
          <w:szCs w:val="24"/>
          <w:highlight w:val="none"/>
          <w:lang w:val="en-US" w:eastAsia="zh-CN"/>
        </w:rPr>
        <w:t>焚烧</w:t>
      </w:r>
      <w:r>
        <w:rPr>
          <w:rFonts w:hint="default" w:ascii="Times New Roman" w:hAnsi="Times New Roman" w:eastAsia="宋体" w:cs="Times New Roman"/>
          <w:b w:val="0"/>
          <w:bCs w:val="0"/>
          <w:color w:val="auto"/>
          <w:sz w:val="24"/>
          <w:szCs w:val="24"/>
          <w:highlight w:val="none"/>
          <w:lang w:val="en-US" w:eastAsia="zh-CN"/>
        </w:rPr>
        <w:t>窑（高温</w:t>
      </w:r>
      <w:r>
        <w:rPr>
          <w:rFonts w:hint="eastAsia" w:cs="Times New Roman"/>
          <w:b w:val="0"/>
          <w:bCs w:val="0"/>
          <w:color w:val="auto"/>
          <w:sz w:val="24"/>
          <w:szCs w:val="24"/>
          <w:highlight w:val="none"/>
          <w:lang w:val="en-US" w:eastAsia="zh-CN"/>
        </w:rPr>
        <w:t>且使用液化石油气</w:t>
      </w:r>
      <w:r>
        <w:rPr>
          <w:rFonts w:hint="default" w:ascii="Times New Roman" w:hAnsi="Times New Roman" w:eastAsia="宋体" w:cs="Times New Roman"/>
          <w:b w:val="0"/>
          <w:bCs w:val="0"/>
          <w:color w:val="auto"/>
          <w:sz w:val="24"/>
          <w:szCs w:val="24"/>
          <w:highlight w:val="none"/>
          <w:lang w:val="en-US" w:eastAsia="zh-CN"/>
        </w:rPr>
        <w:t>）；</w:t>
      </w:r>
    </w:p>
    <w:p w14:paraId="39C47E58">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（2）储运系统风险识别</w:t>
      </w:r>
    </w:p>
    <w:p w14:paraId="3B3CE6FD">
      <w:pPr>
        <w:pStyle w:val="15"/>
        <w:keepNext w:val="0"/>
        <w:keepLines w:val="0"/>
        <w:pageBreakBefore w:val="0"/>
        <w:widowControl w:val="0"/>
        <w:numPr>
          <w:ilvl w:val="0"/>
          <w:numId w:val="17"/>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新建</w:t>
      </w:r>
      <w:r>
        <w:rPr>
          <w:rFonts w:hint="default" w:ascii="Times New Roman" w:hAnsi="Times New Roman" w:eastAsia="宋体" w:cs="Times New Roman"/>
          <w:b w:val="0"/>
          <w:bCs w:val="0"/>
          <w:color w:val="auto"/>
          <w:sz w:val="24"/>
          <w:szCs w:val="24"/>
          <w:highlight w:val="none"/>
          <w:lang w:val="en-US" w:eastAsia="zh-CN"/>
        </w:rPr>
        <w:t>LPG（液化石油气）灌装站</w:t>
      </w:r>
      <w:r>
        <w:rPr>
          <w:rFonts w:hint="default" w:ascii="Times New Roman" w:hAnsi="Times New Roman" w:cs="Times New Roman"/>
          <w:b w:val="0"/>
          <w:bCs w:val="0"/>
          <w:color w:val="auto"/>
          <w:sz w:val="24"/>
          <w:szCs w:val="24"/>
          <w:highlight w:val="none"/>
          <w:lang w:val="en-US" w:eastAsia="zh-CN"/>
        </w:rPr>
        <w:t>1座（民用气体）</w:t>
      </w:r>
      <w:r>
        <w:rPr>
          <w:rFonts w:hint="default" w:ascii="Times New Roman" w:hAnsi="Times New Roman" w:eastAsia="宋体" w:cs="Times New Roman"/>
          <w:b w:val="0"/>
          <w:bCs w:val="0"/>
          <w:color w:val="auto"/>
          <w:sz w:val="24"/>
          <w:szCs w:val="24"/>
          <w:highlight w:val="none"/>
          <w:lang w:val="en-US" w:eastAsia="zh-CN"/>
        </w:rPr>
        <w:t>，罐区建设3座50m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的储罐（</w:t>
      </w:r>
      <w:r>
        <w:rPr>
          <w:rFonts w:hint="default" w:ascii="Times New Roman" w:hAnsi="Times New Roman" w:eastAsia="宋体" w:cs="Times New Roman"/>
          <w:b w:val="0"/>
          <w:bCs w:val="0"/>
          <w:color w:val="auto"/>
          <w:sz w:val="24"/>
          <w:szCs w:val="24"/>
          <w:lang w:val="en-US" w:eastAsia="zh-CN"/>
        </w:rPr>
        <w:t>液化石油气储气罐2</w:t>
      </w:r>
      <w:r>
        <w:rPr>
          <w:rFonts w:hint="eastAsia" w:ascii="Times New Roman" w:hAnsi="Times New Roman" w:cs="Times New Roman"/>
          <w:b w:val="0"/>
          <w:bCs w:val="0"/>
          <w:color w:val="auto"/>
          <w:sz w:val="24"/>
          <w:szCs w:val="24"/>
          <w:lang w:val="en-US" w:eastAsia="zh-CN"/>
        </w:rPr>
        <w:t>用</w:t>
      </w:r>
      <w:r>
        <w:rPr>
          <w:rFonts w:hint="default" w:ascii="Times New Roman" w:hAnsi="Times New Roman" w:eastAsia="宋体" w:cs="Times New Roman"/>
          <w:b w:val="0"/>
          <w:bCs w:val="0"/>
          <w:color w:val="auto"/>
          <w:sz w:val="24"/>
          <w:szCs w:val="24"/>
          <w:lang w:val="en-US" w:eastAsia="zh-CN"/>
        </w:rPr>
        <w:t>1</w:t>
      </w:r>
      <w:r>
        <w:rPr>
          <w:rFonts w:hint="eastAsia" w:ascii="Times New Roman" w:hAnsi="Times New Roman" w:cs="Times New Roman"/>
          <w:b w:val="0"/>
          <w:bCs w:val="0"/>
          <w:color w:val="auto"/>
          <w:sz w:val="24"/>
          <w:szCs w:val="24"/>
          <w:lang w:val="en-US" w:eastAsia="zh-CN"/>
        </w:rPr>
        <w:t>备</w:t>
      </w:r>
      <w:r>
        <w:rPr>
          <w:rFonts w:hint="default" w:ascii="Times New Roman" w:hAnsi="Times New Roman" w:eastAsia="宋体" w:cs="Times New Roman"/>
          <w:b w:val="0"/>
          <w:bCs w:val="0"/>
          <w:color w:val="auto"/>
          <w:sz w:val="24"/>
          <w:szCs w:val="24"/>
          <w:highlight w:val="none"/>
          <w:lang w:val="en-US" w:eastAsia="zh-CN"/>
        </w:rPr>
        <w:t>），卧式储罐地下布设；</w:t>
      </w:r>
    </w:p>
    <w:p w14:paraId="3AF1BC98">
      <w:pPr>
        <w:pStyle w:val="15"/>
        <w:keepNext w:val="0"/>
        <w:keepLines w:val="0"/>
        <w:pageBreakBefore w:val="0"/>
        <w:widowControl w:val="0"/>
        <w:numPr>
          <w:ilvl w:val="0"/>
          <w:numId w:val="17"/>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新建</w:t>
      </w:r>
      <w:r>
        <w:rPr>
          <w:rFonts w:hint="default" w:ascii="Times New Roman" w:hAnsi="Times New Roman" w:cs="Times New Roman"/>
          <w:b w:val="0"/>
          <w:bCs w:val="0"/>
          <w:color w:val="auto"/>
          <w:sz w:val="24"/>
          <w:szCs w:val="24"/>
          <w:highlight w:val="none"/>
          <w:lang w:val="en-US" w:eastAsia="zh-CN"/>
        </w:rPr>
        <w:t>改性</w:t>
      </w:r>
      <w:r>
        <w:rPr>
          <w:rFonts w:hint="default" w:ascii="Times New Roman" w:hAnsi="Times New Roman" w:eastAsia="宋体" w:cs="Times New Roman"/>
          <w:b w:val="0"/>
          <w:bCs w:val="0"/>
          <w:color w:val="auto"/>
          <w:sz w:val="24"/>
          <w:szCs w:val="24"/>
          <w:highlight w:val="none"/>
          <w:lang w:val="en-US" w:eastAsia="zh-CN"/>
        </w:rPr>
        <w:t>丙烷灌装站1座，罐区设3座50m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的储罐</w:t>
      </w:r>
      <w:r>
        <w:rPr>
          <w:rFonts w:hint="default" w:ascii="Times New Roman" w:hAnsi="Times New Roman" w:cs="Times New Roman"/>
          <w:b w:val="0"/>
          <w:bCs w:val="0"/>
          <w:color w:val="auto"/>
          <w:sz w:val="24"/>
          <w:szCs w:val="24"/>
          <w:highlight w:val="none"/>
          <w:lang w:val="en-US" w:eastAsia="zh-CN"/>
        </w:rPr>
        <w:t>（2用1备</w:t>
      </w:r>
      <w:r>
        <w:rPr>
          <w:rFonts w:hint="default" w:ascii="Times New Roman" w:hAnsi="Times New Roman" w:eastAsia="宋体" w:cs="Times New Roman"/>
          <w:b w:val="0"/>
          <w:bCs w:val="0"/>
          <w:color w:val="auto"/>
          <w:sz w:val="24"/>
          <w:szCs w:val="24"/>
          <w:highlight w:val="none"/>
          <w:lang w:val="en-US" w:eastAsia="zh-CN"/>
        </w:rPr>
        <w:t>），卧式储罐地下布设；</w:t>
      </w:r>
    </w:p>
    <w:p w14:paraId="214BFD71">
      <w:pPr>
        <w:pStyle w:val="15"/>
        <w:keepNext w:val="0"/>
        <w:keepLines w:val="0"/>
        <w:pageBreakBefore w:val="0"/>
        <w:widowControl w:val="0"/>
        <w:numPr>
          <w:ilvl w:val="0"/>
          <w:numId w:val="17"/>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医用氧气瓶充装车间；</w:t>
      </w:r>
    </w:p>
    <w:p w14:paraId="6B977783">
      <w:pPr>
        <w:pStyle w:val="15"/>
        <w:keepNext w:val="0"/>
        <w:keepLines w:val="0"/>
        <w:pageBreakBefore w:val="0"/>
        <w:widowControl w:val="0"/>
        <w:numPr>
          <w:ilvl w:val="0"/>
          <w:numId w:val="17"/>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危废暂存间</w:t>
      </w:r>
      <w:r>
        <w:rPr>
          <w:rFonts w:hint="eastAsia" w:ascii="Times New Roman" w:hAnsi="Times New Roman" w:cs="Times New Roman"/>
          <w:b w:val="0"/>
          <w:bCs w:val="0"/>
          <w:color w:val="auto"/>
          <w:sz w:val="24"/>
          <w:szCs w:val="24"/>
          <w:highlight w:val="none"/>
          <w:lang w:val="en-US" w:eastAsia="zh-CN"/>
        </w:rPr>
        <w:t>，存放本项目产生的危险废物，主要风险物质包括废矿物油、LPG残液等</w:t>
      </w:r>
      <w:r>
        <w:rPr>
          <w:rFonts w:hint="default" w:ascii="Times New Roman" w:hAnsi="Times New Roman" w:eastAsia="宋体" w:cs="Times New Roman"/>
          <w:b w:val="0"/>
          <w:bCs w:val="0"/>
          <w:color w:val="auto"/>
          <w:sz w:val="24"/>
          <w:szCs w:val="24"/>
          <w:highlight w:val="none"/>
          <w:lang w:val="en-US" w:eastAsia="zh-CN"/>
        </w:rPr>
        <w:t>；</w:t>
      </w:r>
    </w:p>
    <w:p w14:paraId="5C68F01C">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（3）环保设施收集系统的风险识别</w:t>
      </w:r>
    </w:p>
    <w:p w14:paraId="53285EFD">
      <w:pPr>
        <w:keepNext w:val="0"/>
        <w:keepLines w:val="0"/>
        <w:pageBreakBefore w:val="0"/>
        <w:widowControl w:val="0"/>
        <w:kinsoku/>
        <w:wordWrap/>
        <w:overflowPunct/>
        <w:topLinePunct w:val="0"/>
        <w:autoSpaceDE/>
        <w:autoSpaceDN/>
        <w:bidi w:val="0"/>
        <w:adjustRightInd/>
        <w:snapToGrid w:val="0"/>
        <w:spacing w:line="360" w:lineRule="auto"/>
        <w:ind w:left="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主要为车间废气收集系统管道或阀门、法连连接处出现松动或老化，造成废气车间逸散，此类事故一般危害不大，同时可以通过应急措施较快消除事故影响。</w:t>
      </w:r>
    </w:p>
    <w:p w14:paraId="7EEDED03">
      <w:pPr>
        <w:pStyle w:val="10"/>
        <w:keepNext w:val="0"/>
        <w:keepLines w:val="0"/>
        <w:pageBreakBefore w:val="0"/>
        <w:kinsoku/>
        <w:wordWrap/>
        <w:overflowPunct/>
        <w:topLinePunct w:val="0"/>
        <w:autoSpaceDE/>
        <w:autoSpaceDN/>
        <w:bidi w:val="0"/>
        <w:adjustRightInd/>
        <w:spacing w:before="0" w:after="0" w:line="360" w:lineRule="auto"/>
        <w:ind w:left="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color w:val="auto"/>
          <w:kern w:val="0"/>
          <w:sz w:val="24"/>
          <w:szCs w:val="24"/>
          <w:highlight w:val="none"/>
          <w:lang w:val="en-US" w:eastAsia="zh-CN" w:bidi="ar-SA"/>
        </w:rPr>
        <w:t>环保设施的风险主要为</w:t>
      </w:r>
      <w:r>
        <w:rPr>
          <w:rFonts w:hint="default" w:ascii="Times New Roman" w:hAnsi="Times New Roman" w:cs="Times New Roman"/>
          <w:color w:val="auto"/>
          <w:kern w:val="0"/>
          <w:sz w:val="24"/>
          <w:szCs w:val="24"/>
          <w:highlight w:val="none"/>
          <w:lang w:val="en-US" w:eastAsia="zh-CN" w:bidi="ar-SA"/>
        </w:rPr>
        <w:t>焚烧</w:t>
      </w:r>
      <w:r>
        <w:rPr>
          <w:rFonts w:hint="default" w:ascii="Times New Roman" w:hAnsi="Times New Roman" w:eastAsia="宋体" w:cs="Times New Roman"/>
          <w:color w:val="auto"/>
          <w:kern w:val="0"/>
          <w:sz w:val="24"/>
          <w:szCs w:val="24"/>
          <w:highlight w:val="none"/>
          <w:lang w:val="en-US" w:eastAsia="zh-CN" w:bidi="ar-SA"/>
        </w:rPr>
        <w:t>废气</w:t>
      </w:r>
      <w:r>
        <w:rPr>
          <w:rFonts w:hint="default" w:ascii="Times New Roman" w:hAnsi="Times New Roman" w:cs="Times New Roman"/>
          <w:color w:val="auto"/>
          <w:kern w:val="0"/>
          <w:sz w:val="24"/>
          <w:szCs w:val="24"/>
          <w:highlight w:val="none"/>
          <w:lang w:val="en-US" w:eastAsia="zh-CN" w:bidi="ar-SA"/>
        </w:rPr>
        <w:t>、抛丸废气、喷塑</w:t>
      </w:r>
      <w:r>
        <w:rPr>
          <w:rFonts w:hint="default" w:ascii="Times New Roman" w:hAnsi="Times New Roman" w:eastAsia="宋体" w:cs="Times New Roman"/>
          <w:color w:val="auto"/>
          <w:kern w:val="0"/>
          <w:sz w:val="24"/>
          <w:szCs w:val="24"/>
          <w:highlight w:val="none"/>
          <w:lang w:val="en-US" w:eastAsia="zh-CN" w:bidi="ar-SA"/>
        </w:rPr>
        <w:t>处理系统故障</w:t>
      </w:r>
      <w:r>
        <w:rPr>
          <w:rFonts w:hint="default" w:ascii="Times New Roman" w:hAnsi="Times New Roman" w:cs="Times New Roman"/>
          <w:color w:val="auto"/>
          <w:kern w:val="0"/>
          <w:sz w:val="24"/>
          <w:szCs w:val="24"/>
          <w:highlight w:val="none"/>
          <w:lang w:val="en-US" w:eastAsia="zh-CN" w:bidi="ar-SA"/>
        </w:rPr>
        <w:t>，生产</w:t>
      </w:r>
      <w:r>
        <w:rPr>
          <w:rFonts w:hint="default" w:ascii="Times New Roman" w:hAnsi="Times New Roman" w:eastAsia="宋体" w:cs="Times New Roman"/>
          <w:color w:val="auto"/>
          <w:kern w:val="0"/>
          <w:sz w:val="24"/>
          <w:szCs w:val="24"/>
          <w:highlight w:val="none"/>
          <w:lang w:val="en-US" w:eastAsia="zh-CN" w:bidi="ar-SA"/>
        </w:rPr>
        <w:t>废气</w:t>
      </w:r>
      <w:r>
        <w:rPr>
          <w:rFonts w:hint="default" w:ascii="Times New Roman" w:hAnsi="Times New Roman" w:cs="Times New Roman"/>
          <w:color w:val="auto"/>
          <w:kern w:val="0"/>
          <w:sz w:val="24"/>
          <w:szCs w:val="24"/>
          <w:highlight w:val="none"/>
          <w:lang w:val="en-US" w:eastAsia="zh-CN" w:bidi="ar-SA"/>
        </w:rPr>
        <w:t>非正常工况排放</w:t>
      </w:r>
      <w:r>
        <w:rPr>
          <w:rFonts w:hint="default" w:ascii="Times New Roman" w:hAnsi="Times New Roman" w:eastAsia="宋体" w:cs="Times New Roman"/>
          <w:color w:val="auto"/>
          <w:kern w:val="0"/>
          <w:sz w:val="24"/>
          <w:szCs w:val="24"/>
          <w:highlight w:val="none"/>
          <w:lang w:val="en-US" w:eastAsia="zh-CN" w:bidi="ar-SA"/>
        </w:rPr>
        <w:t>对大气环境的影响。</w:t>
      </w:r>
    </w:p>
    <w:p w14:paraId="3DC918C3">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因此生产系统的主要环境风险源为</w:t>
      </w:r>
      <w:r>
        <w:rPr>
          <w:rFonts w:hint="eastAsia" w:cs="Times New Roman"/>
          <w:color w:val="auto"/>
          <w:sz w:val="24"/>
          <w:lang w:val="en-US" w:eastAsia="zh-CN"/>
        </w:rPr>
        <w:t>液化石油气</w:t>
      </w:r>
      <w:r>
        <w:rPr>
          <w:rFonts w:hint="default" w:ascii="Times New Roman" w:hAnsi="Times New Roman" w:cs="Times New Roman"/>
          <w:color w:val="auto"/>
          <w:sz w:val="24"/>
          <w:lang w:val="en-US" w:eastAsia="zh-CN"/>
        </w:rPr>
        <w:t>LPG、改性丙烷</w:t>
      </w:r>
      <w:r>
        <w:rPr>
          <w:rFonts w:hint="eastAsia" w:cs="Times New Roman"/>
          <w:color w:val="auto"/>
          <w:sz w:val="24"/>
          <w:lang w:val="en-US" w:eastAsia="zh-CN"/>
        </w:rPr>
        <w:t>储罐</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灌装场所和生产设施，以及企业生产过程产生废润滑油，废</w:t>
      </w:r>
      <w:r>
        <w:rPr>
          <w:rFonts w:hint="eastAsia" w:cs="Times New Roman"/>
          <w:color w:val="auto"/>
          <w:sz w:val="24"/>
          <w:lang w:val="en-US" w:eastAsia="zh-CN"/>
        </w:rPr>
        <w:t>矿物</w:t>
      </w:r>
      <w:r>
        <w:rPr>
          <w:rFonts w:hint="default" w:ascii="Times New Roman" w:hAnsi="Times New Roman" w:cs="Times New Roman"/>
          <w:color w:val="auto"/>
          <w:sz w:val="24"/>
          <w:lang w:val="en-US" w:eastAsia="zh-CN"/>
        </w:rPr>
        <w:t>油</w:t>
      </w:r>
      <w:r>
        <w:rPr>
          <w:rFonts w:hint="eastAsia" w:cs="Times New Roman"/>
          <w:color w:val="auto"/>
          <w:sz w:val="24"/>
          <w:lang w:val="en-US" w:eastAsia="zh-CN"/>
        </w:rPr>
        <w:t>、LPG残液</w:t>
      </w:r>
      <w:r>
        <w:rPr>
          <w:rFonts w:hint="default" w:ascii="Times New Roman" w:hAnsi="Times New Roman" w:cs="Times New Roman"/>
          <w:color w:val="auto"/>
          <w:sz w:val="24"/>
          <w:lang w:val="en-US" w:eastAsia="zh-CN"/>
        </w:rPr>
        <w:t>暂存于危险废物暂存间内。</w:t>
      </w:r>
      <w:r>
        <w:rPr>
          <w:rFonts w:hint="default" w:ascii="Times New Roman" w:hAnsi="Times New Roman" w:cs="Times New Roman"/>
          <w:color w:val="auto"/>
          <w:sz w:val="24"/>
        </w:rPr>
        <w:t>主要风险来自于</w:t>
      </w:r>
      <w:r>
        <w:rPr>
          <w:rFonts w:hint="default" w:ascii="Times New Roman" w:hAnsi="Times New Roman" w:cs="Times New Roman"/>
          <w:color w:val="auto"/>
          <w:sz w:val="24"/>
          <w:lang w:val="en-US" w:eastAsia="zh-CN"/>
        </w:rPr>
        <w:t>灌装过程</w:t>
      </w:r>
      <w:r>
        <w:rPr>
          <w:rFonts w:hint="default" w:ascii="Times New Roman" w:hAnsi="Times New Roman" w:cs="Times New Roman"/>
          <w:color w:val="auto"/>
          <w:sz w:val="24"/>
        </w:rPr>
        <w:t>、管道、阀门可能产生的泄漏</w:t>
      </w:r>
      <w:r>
        <w:rPr>
          <w:rFonts w:hint="default" w:ascii="Times New Roman" w:hAnsi="Times New Roman" w:cs="Times New Roman"/>
          <w:color w:val="auto"/>
          <w:sz w:val="24"/>
          <w:lang w:val="en-US" w:eastAsia="zh-CN"/>
        </w:rPr>
        <w:t>以及危险废物暂存间防渗层破裂产生的泄漏</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LPG、改性丙烷</w:t>
      </w:r>
      <w:r>
        <w:rPr>
          <w:rFonts w:hint="default" w:ascii="Times New Roman" w:hAnsi="Times New Roman" w:cs="Times New Roman"/>
          <w:color w:val="auto"/>
          <w:spacing w:val="0"/>
          <w:kern w:val="2"/>
          <w:position w:val="0"/>
          <w:sz w:val="24"/>
          <w:szCs w:val="24"/>
          <w:u w:val="none" w:color="auto"/>
          <w:lang w:val="en-US" w:eastAsia="zh-CN" w:bidi="ar-SA"/>
        </w:rPr>
        <w:t>在储罐中以液态形式储存，发生储罐泄漏后，以气态形式进入环境空气中，</w:t>
      </w:r>
      <w:r>
        <w:rPr>
          <w:rFonts w:hint="default" w:ascii="Times New Roman" w:hAnsi="Times New Roman" w:cs="Times New Roman"/>
          <w:color w:val="auto"/>
          <w:sz w:val="24"/>
        </w:rPr>
        <w:t>泄漏后的</w:t>
      </w:r>
      <w:r>
        <w:rPr>
          <w:rFonts w:hint="default" w:ascii="Times New Roman" w:hAnsi="Times New Roman" w:cs="Times New Roman"/>
          <w:color w:val="auto"/>
          <w:sz w:val="24"/>
          <w:lang w:val="en-US" w:eastAsia="zh-CN"/>
        </w:rPr>
        <w:t>液化石油气、丙烷</w:t>
      </w:r>
      <w:r>
        <w:rPr>
          <w:rFonts w:hint="default" w:ascii="Times New Roman" w:hAnsi="Times New Roman" w:cs="Times New Roman"/>
          <w:color w:val="auto"/>
          <w:sz w:val="24"/>
        </w:rPr>
        <w:t>在未发生燃气爆炸前，主要是造成周边大气的非甲烷总烃污染。</w:t>
      </w:r>
      <w:r>
        <w:rPr>
          <w:rFonts w:hint="default" w:ascii="Times New Roman" w:hAnsi="Times New Roman" w:cs="Times New Roman"/>
          <w:color w:val="auto"/>
          <w:sz w:val="24"/>
          <w:lang w:val="en-US" w:eastAsia="zh-CN"/>
        </w:rPr>
        <w:t>当遇明火后，液化石油气、丙烷、废润滑油达到燃点着火，发生火灾，产生的CO对大气环境造成影响。</w:t>
      </w:r>
    </w:p>
    <w:p w14:paraId="27AEFBF0">
      <w:pPr>
        <w:pStyle w:val="98"/>
        <w:bidi w:val="0"/>
        <w:ind w:left="1260" w:leftChars="0" w:hanging="720" w:firstLineChars="0"/>
        <w:rPr>
          <w:rFonts w:hint="default"/>
          <w:lang w:val="en-US" w:eastAsia="zh-CN"/>
        </w:rPr>
      </w:pPr>
      <w:r>
        <w:rPr>
          <w:rFonts w:hint="default"/>
          <w:lang w:val="en-US" w:eastAsia="zh-CN"/>
        </w:rPr>
        <w:t>储罐区危险性识别：</w:t>
      </w:r>
    </w:p>
    <w:p w14:paraId="3FF36FFD">
      <w:pPr>
        <w:pStyle w:val="58"/>
        <w:keepNext w:val="0"/>
        <w:keepLines w:val="0"/>
        <w:pageBreakBefore w:val="0"/>
        <w:widowControl w:val="0"/>
        <w:numPr>
          <w:ilvl w:val="0"/>
          <w:numId w:val="18"/>
        </w:numPr>
        <w:kinsoku/>
        <w:wordWrap/>
        <w:overflowPunct/>
        <w:topLinePunct w:val="0"/>
        <w:autoSpaceDE/>
        <w:autoSpaceDN/>
        <w:bidi w:val="0"/>
        <w:spacing w:line="336" w:lineRule="auto"/>
        <w:rPr>
          <w:rFonts w:hint="default" w:ascii="Times New Roman" w:hAnsi="Times New Roman" w:cs="Times New Roman"/>
          <w:color w:val="auto"/>
        </w:rPr>
      </w:pPr>
      <w:r>
        <w:rPr>
          <w:rFonts w:hint="default" w:ascii="Times New Roman" w:hAnsi="Times New Roman" w:cs="Times New Roman"/>
          <w:color w:val="auto"/>
        </w:rPr>
        <w:t>储罐泄漏因素</w:t>
      </w:r>
    </w:p>
    <w:p w14:paraId="19028B1D">
      <w:pPr>
        <w:pStyle w:val="58"/>
        <w:keepNext w:val="0"/>
        <w:keepLines w:val="0"/>
        <w:pageBreakBefore w:val="0"/>
        <w:widowControl w:val="0"/>
        <w:kinsoku/>
        <w:wordWrap/>
        <w:overflowPunct/>
        <w:topLinePunct w:val="0"/>
        <w:autoSpaceDE/>
        <w:autoSpaceDN/>
        <w:bidi w:val="0"/>
        <w:spacing w:line="336" w:lineRule="auto"/>
        <w:rPr>
          <w:rFonts w:hint="default" w:ascii="Times New Roman" w:hAnsi="Times New Roman" w:cs="Times New Roman"/>
          <w:color w:val="auto"/>
        </w:rPr>
      </w:pPr>
      <w:r>
        <w:rPr>
          <w:rFonts w:hint="default" w:ascii="Times New Roman" w:hAnsi="Times New Roman" w:cs="Times New Roman"/>
          <w:color w:val="auto"/>
        </w:rPr>
        <w:t>若储罐</w:t>
      </w:r>
      <w:r>
        <w:rPr>
          <w:rFonts w:hint="default" w:ascii="Times New Roman" w:hAnsi="Times New Roman" w:cs="Times New Roman"/>
          <w:color w:val="auto"/>
          <w:lang w:val="en-US" w:eastAsia="zh-CN"/>
        </w:rPr>
        <w:t>过程</w:t>
      </w:r>
      <w:r>
        <w:rPr>
          <w:rFonts w:hint="default" w:ascii="Times New Roman" w:hAnsi="Times New Roman" w:cs="Times New Roman"/>
          <w:color w:val="auto"/>
        </w:rPr>
        <w:t>进出口连接外接头、阀门、法兰等密封圈密封不严或破损，使危险物料发生跑、冒、滴、漏。</w:t>
      </w:r>
    </w:p>
    <w:p w14:paraId="6954644D">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管道发生泄漏主要有以下原因：</w:t>
      </w:r>
    </w:p>
    <w:p w14:paraId="0D99654A">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①管线内表面磨损、腐蚀造成泄漏。</w:t>
      </w:r>
    </w:p>
    <w:p w14:paraId="27C5A613">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②管线外表面腐蚀造成泄漏。如管材抗腐蚀性能不合乎要求；采取的防腐措施失效；防腐层在运输、施工中被破坏，管线接口处防腐不能满足工艺要求等。</w:t>
      </w:r>
    </w:p>
    <w:p w14:paraId="0A2DFDF3">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③焊接不良。</w:t>
      </w:r>
    </w:p>
    <w:p w14:paraId="30C97E92">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④设备故障。管道连接件和管道与设备连接件（如阀门、法兰等）因缺陷或破损而泄漏；法兰密封不良，阀门劣化出现内漏。</w:t>
      </w:r>
    </w:p>
    <w:p w14:paraId="2E20DE72">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⑤工作人员操作失误，倒错流程以及协调失误等原因形成憋压以及其他原因造成管线破裂。</w:t>
      </w:r>
    </w:p>
    <w:p w14:paraId="372A56A7">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⑥因泄压设备失灵，若管道受力超过其强度极限时，无法及时泄压时，就可能发生管道的超压爆炸。而超压爆炸极易导致“二次爆炸”。</w:t>
      </w:r>
    </w:p>
    <w:p w14:paraId="07EB4A02">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⑦其他原因。如第三方破坏，管道附近开采动土施工应力集中等造成管道破裂而发生泄漏。</w:t>
      </w:r>
    </w:p>
    <w:p w14:paraId="611FDFE2">
      <w:pPr>
        <w:keepNext w:val="0"/>
        <w:keepLines w:val="0"/>
        <w:pageBreakBefore w:val="0"/>
        <w:widowControl w:val="0"/>
        <w:kinsoku/>
        <w:wordWrap/>
        <w:overflowPunct/>
        <w:topLinePunct w:val="0"/>
        <w:autoSpaceDE/>
        <w:autoSpaceDN/>
        <w:bidi w:val="0"/>
        <w:spacing w:line="336"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⑧当危险物质泄漏后遇明火进而可能会引起火灾爆炸事故。</w:t>
      </w:r>
    </w:p>
    <w:p w14:paraId="4F38DF67">
      <w:pPr>
        <w:keepNext w:val="0"/>
        <w:keepLines w:val="0"/>
        <w:pageBreakBefore w:val="0"/>
        <w:widowControl w:val="0"/>
        <w:numPr>
          <w:ilvl w:val="0"/>
          <w:numId w:val="0"/>
        </w:numPr>
        <w:kinsoku/>
        <w:wordWrap/>
        <w:overflowPunct/>
        <w:topLinePunct w:val="0"/>
        <w:autoSpaceDE/>
        <w:autoSpaceDN/>
        <w:bidi w:val="0"/>
        <w:spacing w:line="336" w:lineRule="auto"/>
        <w:ind w:left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卸料设施泄漏因素</w:t>
      </w:r>
    </w:p>
    <w:p w14:paraId="0C592DBF">
      <w:pPr>
        <w:pStyle w:val="58"/>
        <w:keepNext w:val="0"/>
        <w:keepLines w:val="0"/>
        <w:pageBreakBefore w:val="0"/>
        <w:widowControl w:val="0"/>
        <w:kinsoku/>
        <w:wordWrap/>
        <w:overflowPunct/>
        <w:topLinePunct w:val="0"/>
        <w:autoSpaceDE/>
        <w:autoSpaceDN/>
        <w:bidi w:val="0"/>
        <w:spacing w:line="336" w:lineRule="auto"/>
        <w:rPr>
          <w:rFonts w:hint="default" w:ascii="Times New Roman" w:hAnsi="Times New Roman" w:cs="Times New Roman"/>
          <w:color w:val="auto"/>
        </w:rPr>
      </w:pPr>
      <w:r>
        <w:rPr>
          <w:rFonts w:hint="default" w:ascii="Times New Roman" w:hAnsi="Times New Roman" w:cs="Times New Roman"/>
          <w:color w:val="auto"/>
        </w:rPr>
        <w:t>卸料过程可能由于连接管道腐蚀、违规操作、疏忽等原因引发装卸过程的液化气泄漏。</w:t>
      </w:r>
    </w:p>
    <w:p w14:paraId="49662DAB">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8"/>
          <w:szCs w:val="24"/>
          <w:lang w:val="en-US" w:eastAsia="zh-CN" w:bidi="ar-SA"/>
        </w:rPr>
      </w:pPr>
      <w:r>
        <w:rPr>
          <w:rFonts w:hint="default" w:ascii="Times New Roman" w:hAnsi="Times New Roman" w:eastAsia="宋体" w:cs="Times New Roman"/>
          <w:b w:val="0"/>
          <w:color w:val="auto"/>
          <w:kern w:val="2"/>
          <w:sz w:val="28"/>
          <w:szCs w:val="24"/>
          <w:lang w:val="en-US" w:eastAsia="zh-CN" w:bidi="ar-SA"/>
        </w:rPr>
        <w:t xml:space="preserve"> 危险废物暂存间泄漏 </w:t>
      </w:r>
    </w:p>
    <w:p w14:paraId="204F7BDF">
      <w:pPr>
        <w:pStyle w:val="58"/>
        <w:keepNext w:val="0"/>
        <w:keepLines w:val="0"/>
        <w:pageBreakBefore w:val="0"/>
        <w:widowControl w:val="0"/>
        <w:kinsoku/>
        <w:wordWrap/>
        <w:overflowPunct/>
        <w:topLinePunct w:val="0"/>
        <w:autoSpaceDE/>
        <w:autoSpaceDN/>
        <w:bidi w:val="0"/>
        <w:spacing w:line="336" w:lineRule="auto"/>
        <w:rPr>
          <w:rFonts w:hint="default" w:ascii="Times New Roman" w:hAnsi="Times New Roman" w:cs="Times New Roman"/>
          <w:color w:val="auto"/>
          <w:lang w:eastAsia="zh-CN"/>
        </w:rPr>
      </w:pPr>
      <w:r>
        <w:rPr>
          <w:rFonts w:hint="default" w:ascii="Times New Roman" w:hAnsi="Times New Roman" w:cs="Times New Roman"/>
          <w:color w:val="auto"/>
          <w:sz w:val="24"/>
          <w:szCs w:val="24"/>
          <w:lang w:val="en-US" w:eastAsia="zh-CN"/>
        </w:rPr>
        <w:t>危险废物间采用重点防渗，防渗性能等效黏土防渗层Mb≥6m，渗透系数K≤1×10</w:t>
      </w:r>
      <w:r>
        <w:rPr>
          <w:rFonts w:hint="default" w:ascii="Times New Roman" w:hAnsi="Times New Roman" w:cs="Times New Roman"/>
          <w:color w:val="auto"/>
          <w:sz w:val="24"/>
          <w:szCs w:val="24"/>
          <w:vertAlign w:val="superscript"/>
          <w:lang w:val="en-US" w:eastAsia="zh-CN"/>
        </w:rPr>
        <w:t>-7</w:t>
      </w:r>
      <w:r>
        <w:rPr>
          <w:rFonts w:hint="default" w:ascii="Times New Roman" w:hAnsi="Times New Roman" w:cs="Times New Roman"/>
          <w:color w:val="auto"/>
          <w:sz w:val="24"/>
          <w:szCs w:val="24"/>
          <w:lang w:val="en-US" w:eastAsia="zh-CN"/>
        </w:rPr>
        <w:t>cm/s，当防渗层破裂后，</w:t>
      </w:r>
      <w:r>
        <w:rPr>
          <w:rFonts w:hint="eastAsia" w:ascii="Times New Roman" w:hAnsi="Times New Roman" w:cs="Times New Roman"/>
          <w:color w:val="auto"/>
          <w:sz w:val="24"/>
          <w:szCs w:val="24"/>
          <w:lang w:val="en-US" w:eastAsia="zh-CN"/>
        </w:rPr>
        <w:t>如果发生</w:t>
      </w:r>
      <w:r>
        <w:rPr>
          <w:rFonts w:hint="default" w:ascii="Times New Roman" w:hAnsi="Times New Roman" w:cs="Times New Roman"/>
          <w:color w:val="auto"/>
          <w:sz w:val="24"/>
          <w:szCs w:val="24"/>
          <w:lang w:val="en-US" w:eastAsia="zh-CN"/>
        </w:rPr>
        <w:t>废润滑油</w:t>
      </w:r>
      <w:r>
        <w:rPr>
          <w:rFonts w:hint="eastAsia" w:ascii="Times New Roman" w:hAnsi="Times New Roman" w:cs="Times New Roman"/>
          <w:color w:val="auto"/>
          <w:sz w:val="24"/>
          <w:szCs w:val="24"/>
          <w:lang w:val="en-US" w:eastAsia="zh-CN"/>
        </w:rPr>
        <w:t>、LPG残液</w:t>
      </w:r>
      <w:r>
        <w:rPr>
          <w:rFonts w:hint="default" w:ascii="Times New Roman" w:hAnsi="Times New Roman" w:cs="Times New Roman"/>
          <w:color w:val="auto"/>
          <w:sz w:val="24"/>
          <w:szCs w:val="24"/>
          <w:lang w:val="en-US" w:eastAsia="zh-CN"/>
        </w:rPr>
        <w:t>泄漏，发生垂直入渗，其中的有害物质石油烃进入土壤，最终影响地下水，当遇明火后发生火灾，产生的此生污染物</w:t>
      </w:r>
      <w:r>
        <w:rPr>
          <w:rFonts w:hint="default" w:ascii="Times New Roman" w:hAnsi="Times New Roman" w:cs="Times New Roman"/>
          <w:color w:val="auto"/>
        </w:rPr>
        <w:t>CO也会造成周边大气环境污染</w:t>
      </w:r>
      <w:r>
        <w:rPr>
          <w:rFonts w:hint="default" w:ascii="Times New Roman" w:hAnsi="Times New Roman" w:cs="Times New Roman"/>
          <w:color w:val="auto"/>
          <w:lang w:eastAsia="zh-CN"/>
        </w:rPr>
        <w:t>。</w:t>
      </w:r>
    </w:p>
    <w:p w14:paraId="7EE612A2">
      <w:pPr>
        <w:keepNext w:val="0"/>
        <w:keepLines w:val="0"/>
        <w:pageBreakBefore w:val="0"/>
        <w:widowControl w:val="0"/>
        <w:numPr>
          <w:ilvl w:val="1"/>
          <w:numId w:val="3"/>
        </w:numPr>
        <w:tabs>
          <w:tab w:val="left" w:pos="1086"/>
        </w:tabs>
        <w:kinsoku/>
        <w:wordWrap/>
        <w:overflowPunct/>
        <w:topLinePunct w:val="0"/>
        <w:autoSpaceDE/>
        <w:autoSpaceDN/>
        <w:bidi w:val="0"/>
        <w:snapToGrid w:val="0"/>
        <w:spacing w:before="50" w:beforeLines="50" w:after="50" w:afterLines="50" w:line="336"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 xml:space="preserve"> 次生环境风险辨识</w:t>
      </w:r>
    </w:p>
    <w:p w14:paraId="72A61ABB">
      <w:pPr>
        <w:pStyle w:val="58"/>
        <w:keepNext w:val="0"/>
        <w:keepLines w:val="0"/>
        <w:pageBreakBefore w:val="0"/>
        <w:widowControl w:val="0"/>
        <w:kinsoku/>
        <w:wordWrap/>
        <w:overflowPunct/>
        <w:topLinePunct w:val="0"/>
        <w:autoSpaceDE/>
        <w:autoSpaceDN/>
        <w:bidi w:val="0"/>
        <w:spacing w:line="336" w:lineRule="auto"/>
        <w:rPr>
          <w:rFonts w:hint="default" w:ascii="Times New Roman" w:hAnsi="Times New Roman" w:cs="Times New Roman"/>
          <w:color w:val="auto"/>
        </w:rPr>
      </w:pPr>
      <w:r>
        <w:rPr>
          <w:rFonts w:hint="default" w:ascii="Times New Roman" w:hAnsi="Times New Roman" w:cs="Times New Roman"/>
          <w:color w:val="auto"/>
        </w:rPr>
        <w:t>本项目液化</w:t>
      </w:r>
      <w:r>
        <w:rPr>
          <w:rFonts w:hint="default" w:ascii="Times New Roman" w:hAnsi="Times New Roman" w:cs="Times New Roman"/>
          <w:color w:val="auto"/>
          <w:lang w:val="en-US" w:eastAsia="zh-CN"/>
        </w:rPr>
        <w:t>石油气、丙烷气体、危险废物暂存间贮存的废矿物油</w:t>
      </w:r>
      <w:r>
        <w:rPr>
          <w:rFonts w:hint="eastAsia" w:ascii="Times New Roman" w:hAnsi="Times New Roman" w:cs="Times New Roman"/>
          <w:color w:val="auto"/>
          <w:lang w:val="en-US" w:eastAsia="zh-CN"/>
        </w:rPr>
        <w:t>、LPG残液</w:t>
      </w:r>
      <w:r>
        <w:rPr>
          <w:rFonts w:hint="default" w:ascii="Times New Roman" w:hAnsi="Times New Roman" w:cs="Times New Roman"/>
          <w:color w:val="auto"/>
          <w:lang w:val="en-US" w:eastAsia="zh-CN"/>
        </w:rPr>
        <w:t>属于</w:t>
      </w:r>
      <w:r>
        <w:rPr>
          <w:rFonts w:hint="default" w:ascii="Times New Roman" w:hAnsi="Times New Roman" w:cs="Times New Roman"/>
          <w:color w:val="auto"/>
        </w:rPr>
        <w:t>易燃物质，最危险的伴生/次生污染事故为泄漏导致火灾爆炸，进而由于火灾爆炸事故对临近环境的人员或财产造成伤害、破坏，火灾过程次生的CO也会造成周边大气环境污染。</w:t>
      </w:r>
    </w:p>
    <w:p w14:paraId="6BE42714">
      <w:pPr>
        <w:pStyle w:val="58"/>
        <w:keepNext w:val="0"/>
        <w:keepLines w:val="0"/>
        <w:pageBreakBefore w:val="0"/>
        <w:widowControl w:val="0"/>
        <w:kinsoku/>
        <w:wordWrap/>
        <w:overflowPunct/>
        <w:topLinePunct w:val="0"/>
        <w:autoSpaceDE/>
        <w:autoSpaceDN/>
        <w:bidi w:val="0"/>
        <w:spacing w:line="336" w:lineRule="auto"/>
        <w:rPr>
          <w:rFonts w:hint="default" w:ascii="Times New Roman" w:hAnsi="Times New Roman" w:cs="Times New Roman"/>
          <w:color w:val="auto"/>
          <w:lang w:val="en-US" w:eastAsia="zh-CN"/>
        </w:rPr>
        <w:sectPr>
          <w:headerReference r:id="rId12" w:type="first"/>
          <w:footerReference r:id="rId14" w:type="first"/>
          <w:headerReference r:id="rId11" w:type="even"/>
          <w:footerReference r:id="rId13" w:type="even"/>
          <w:pgSz w:w="11906" w:h="16838"/>
          <w:pgMar w:top="1440" w:right="1800" w:bottom="1440" w:left="1800" w:header="964" w:footer="964" w:gutter="0"/>
          <w:pgBorders w:offsetFrom="page">
            <w:top w:val="none" w:sz="0" w:space="0"/>
            <w:left w:val="none" w:sz="0" w:space="0"/>
            <w:bottom w:val="none" w:sz="0" w:space="0"/>
            <w:right w:val="none" w:sz="0" w:space="0"/>
          </w:pgBorders>
          <w:pgNumType w:fmt="decimal"/>
          <w:cols w:space="720" w:num="1"/>
          <w:docGrid w:type="linesAndChars" w:linePitch="312" w:charSpace="0"/>
        </w:sectPr>
      </w:pPr>
      <w:r>
        <w:rPr>
          <w:rFonts w:hint="default" w:ascii="Times New Roman" w:hAnsi="Times New Roman" w:cs="Times New Roman"/>
          <w:color w:val="auto"/>
          <w:lang w:val="en-US" w:eastAsia="zh-CN"/>
        </w:rPr>
        <w:t>根据分析，本项目危险单位划分见图</w:t>
      </w:r>
      <w:r>
        <w:rPr>
          <w:rFonts w:hint="eastAsia" w:ascii="Times New Roman" w:hAnsi="Times New Roman" w:cs="Times New Roman"/>
          <w:color w:val="auto"/>
          <w:lang w:val="en-US" w:eastAsia="zh-CN"/>
        </w:rPr>
        <w:t>2.3</w:t>
      </w:r>
      <w:r>
        <w:rPr>
          <w:rFonts w:hint="default" w:ascii="Times New Roman" w:hAnsi="Times New Roman" w:cs="Times New Roman"/>
          <w:color w:val="auto"/>
          <w:lang w:val="en-US" w:eastAsia="zh-CN"/>
        </w:rPr>
        <w:t>-1。</w:t>
      </w:r>
    </w:p>
    <w:p w14:paraId="171E49FB">
      <w:pPr>
        <w:pStyle w:val="60"/>
        <w:keepNext w:val="0"/>
        <w:keepLines w:val="0"/>
        <w:pageBreakBefore w:val="0"/>
        <w:widowControl w:val="0"/>
        <w:kinsoku/>
        <w:wordWrap/>
        <w:overflowPunct/>
        <w:topLinePunct w:val="0"/>
        <w:autoSpaceDE/>
        <w:autoSpaceDN/>
        <w:bidi w:val="0"/>
        <w:adjustRightInd/>
        <w:snapToGrid/>
        <w:spacing w:line="240" w:lineRule="auto"/>
        <w:ind w:right="34" w:firstLine="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sz w:val="28"/>
        </w:rPr>
        <w:drawing>
          <wp:inline distT="0" distB="0" distL="114300" distR="114300">
            <wp:extent cx="7236460" cy="5085715"/>
            <wp:effectExtent l="0" t="0" r="2540" b="635"/>
            <wp:docPr id="68" name="图片 7" descr="风险单元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7" descr="风险单元分布图"/>
                    <pic:cNvPicPr>
                      <a:picLocks noChangeAspect="1"/>
                    </pic:cNvPicPr>
                  </pic:nvPicPr>
                  <pic:blipFill>
                    <a:blip r:embed="rId54"/>
                    <a:stretch>
                      <a:fillRect/>
                    </a:stretch>
                  </pic:blipFill>
                  <pic:spPr>
                    <a:xfrm>
                      <a:off x="0" y="0"/>
                      <a:ext cx="7236460" cy="5085715"/>
                    </a:xfrm>
                    <a:prstGeom prst="rect">
                      <a:avLst/>
                    </a:prstGeom>
                    <a:noFill/>
                    <a:ln>
                      <a:noFill/>
                    </a:ln>
                  </pic:spPr>
                </pic:pic>
              </a:graphicData>
            </a:graphic>
          </wp:inline>
        </w:drawing>
      </w:r>
    </w:p>
    <w:p w14:paraId="1EB24765">
      <w:pPr>
        <w:pStyle w:val="60"/>
        <w:jc w:val="center"/>
        <w:rPr>
          <w:rFonts w:hint="default" w:ascii="Times New Roman" w:hAnsi="Times New Roman" w:cs="Times New Roman"/>
          <w:b/>
          <w:bCs/>
          <w:color w:val="auto"/>
          <w:lang w:val="en-US" w:eastAsia="zh-CN"/>
        </w:rPr>
        <w:sectPr>
          <w:pgSz w:w="16838" w:h="11906" w:orient="landscape"/>
          <w:pgMar w:top="1440" w:right="1800" w:bottom="1440" w:left="1800" w:header="964" w:footer="964" w:gutter="0"/>
          <w:pgBorders w:offsetFrom="page">
            <w:top w:val="none" w:sz="0" w:space="0"/>
            <w:left w:val="none" w:sz="0" w:space="0"/>
            <w:bottom w:val="none" w:sz="0" w:space="0"/>
            <w:right w:val="none" w:sz="0" w:space="0"/>
          </w:pgBorders>
          <w:pgNumType w:fmt="decimal"/>
          <w:cols w:space="720" w:num="1"/>
          <w:docGrid w:type="linesAndChars" w:linePitch="312" w:charSpace="0"/>
        </w:sectPr>
      </w:pPr>
      <w:r>
        <w:rPr>
          <w:rFonts w:hint="default" w:ascii="Times New Roman" w:hAnsi="Times New Roman" w:cs="Times New Roman"/>
          <w:b/>
          <w:bCs/>
          <w:color w:val="auto"/>
          <w:lang w:val="en-US" w:eastAsia="zh-CN"/>
        </w:rPr>
        <w:t>图2</w:t>
      </w:r>
      <w:r>
        <w:rPr>
          <w:rFonts w:hint="eastAsia" w:ascii="Times New Roman" w:hAnsi="Times New Roman" w:cs="Times New Roman"/>
          <w:b/>
          <w:bCs/>
          <w:color w:val="auto"/>
          <w:lang w:val="en-US" w:eastAsia="zh-CN"/>
        </w:rPr>
        <w:t>.3</w:t>
      </w:r>
      <w:r>
        <w:rPr>
          <w:rFonts w:hint="default" w:ascii="Times New Roman" w:hAnsi="Times New Roman" w:cs="Times New Roman"/>
          <w:b/>
          <w:bCs/>
          <w:color w:val="auto"/>
          <w:lang w:val="en-US" w:eastAsia="zh-CN"/>
        </w:rPr>
        <w:t>-1     本项目危险单位分布图</w:t>
      </w:r>
    </w:p>
    <w:p w14:paraId="61288C65">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风险识别结果</w:t>
      </w:r>
    </w:p>
    <w:p w14:paraId="48B087A8">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综上所述，根据本项目所涉及风险物质危险性识别和生产过程潜在危险性识别结果，本项目环境风险识别详见下表。</w:t>
      </w:r>
    </w:p>
    <w:p w14:paraId="0D2A0B16">
      <w:pPr>
        <w:spacing w:line="360" w:lineRule="auto"/>
        <w:ind w:firstLine="422" w:firstLineChars="20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w:t>
      </w:r>
      <w:r>
        <w:rPr>
          <w:rFonts w:hint="default" w:ascii="Times New Roman" w:hAnsi="Times New Roman" w:cs="Times New Roman"/>
          <w:b/>
          <w:bCs/>
          <w:color w:val="auto"/>
          <w:sz w:val="21"/>
          <w:szCs w:val="21"/>
          <w:lang w:val="en-US" w:eastAsia="zh-CN"/>
        </w:rPr>
        <w:t>2.4-1</w:t>
      </w:r>
      <w:r>
        <w:rPr>
          <w:rFonts w:hint="default" w:ascii="Times New Roman" w:hAnsi="Times New Roman" w:cs="Times New Roman"/>
          <w:b/>
          <w:bCs/>
          <w:color w:val="auto"/>
          <w:sz w:val="21"/>
          <w:szCs w:val="21"/>
        </w:rPr>
        <w:t xml:space="preserve">  项目环境风险识别表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9"/>
        <w:gridCol w:w="975"/>
        <w:gridCol w:w="1248"/>
        <w:gridCol w:w="1383"/>
        <w:gridCol w:w="1112"/>
        <w:gridCol w:w="1248"/>
        <w:gridCol w:w="2027"/>
      </w:tblGrid>
      <w:tr w14:paraId="1A650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dxa"/>
            <w:noWrap w:val="0"/>
            <w:vAlign w:val="center"/>
          </w:tcPr>
          <w:p w14:paraId="68BDCD2F">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975" w:type="dxa"/>
            <w:noWrap w:val="0"/>
            <w:vAlign w:val="center"/>
          </w:tcPr>
          <w:p w14:paraId="40EE4739">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风险工艺单元</w:t>
            </w:r>
          </w:p>
        </w:tc>
        <w:tc>
          <w:tcPr>
            <w:tcW w:w="1248" w:type="dxa"/>
            <w:noWrap w:val="0"/>
            <w:vAlign w:val="center"/>
          </w:tcPr>
          <w:p w14:paraId="3CCDEDD8">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风险源</w:t>
            </w:r>
          </w:p>
        </w:tc>
        <w:tc>
          <w:tcPr>
            <w:tcW w:w="1383" w:type="dxa"/>
            <w:noWrap w:val="0"/>
            <w:vAlign w:val="center"/>
          </w:tcPr>
          <w:p w14:paraId="457350A2">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主要危险物质</w:t>
            </w:r>
          </w:p>
        </w:tc>
        <w:tc>
          <w:tcPr>
            <w:tcW w:w="1112" w:type="dxa"/>
            <w:noWrap w:val="0"/>
            <w:vAlign w:val="center"/>
          </w:tcPr>
          <w:p w14:paraId="190A0AA1">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环境风险</w:t>
            </w:r>
          </w:p>
          <w:p w14:paraId="1BFCE20D">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类型</w:t>
            </w:r>
          </w:p>
        </w:tc>
        <w:tc>
          <w:tcPr>
            <w:tcW w:w="1248" w:type="dxa"/>
            <w:noWrap w:val="0"/>
            <w:vAlign w:val="center"/>
          </w:tcPr>
          <w:p w14:paraId="5B9A1D0F">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环境影响途径</w:t>
            </w:r>
          </w:p>
        </w:tc>
        <w:tc>
          <w:tcPr>
            <w:tcW w:w="2027" w:type="dxa"/>
            <w:noWrap w:val="0"/>
            <w:vAlign w:val="center"/>
          </w:tcPr>
          <w:p w14:paraId="61CCF86B">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可能受影响的环境风险受体</w:t>
            </w:r>
          </w:p>
        </w:tc>
      </w:tr>
      <w:tr w14:paraId="57DD5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dxa"/>
            <w:noWrap w:val="0"/>
            <w:vAlign w:val="center"/>
          </w:tcPr>
          <w:p w14:paraId="19CF73A6">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975" w:type="dxa"/>
            <w:noWrap w:val="0"/>
            <w:vAlign w:val="center"/>
          </w:tcPr>
          <w:p w14:paraId="5824B699">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LPG灌装站</w:t>
            </w:r>
          </w:p>
        </w:tc>
        <w:tc>
          <w:tcPr>
            <w:tcW w:w="1248" w:type="dxa"/>
            <w:noWrap w:val="0"/>
            <w:vAlign w:val="center"/>
          </w:tcPr>
          <w:p w14:paraId="4D708FCC">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储罐区、灌瓶间</w:t>
            </w:r>
          </w:p>
        </w:tc>
        <w:tc>
          <w:tcPr>
            <w:tcW w:w="1383" w:type="dxa"/>
            <w:noWrap w:val="0"/>
            <w:vAlign w:val="center"/>
          </w:tcPr>
          <w:p w14:paraId="76ED1892">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液化</w:t>
            </w:r>
            <w:r>
              <w:rPr>
                <w:rFonts w:hint="default" w:ascii="Times New Roman" w:hAnsi="Times New Roman" w:cs="Times New Roman"/>
                <w:color w:val="auto"/>
                <w:sz w:val="21"/>
                <w:szCs w:val="21"/>
                <w:lang w:val="en-US" w:eastAsia="zh-CN"/>
              </w:rPr>
              <w:t>石油</w:t>
            </w:r>
            <w:r>
              <w:rPr>
                <w:rFonts w:hint="default" w:ascii="Times New Roman" w:hAnsi="Times New Roman" w:cs="Times New Roman"/>
                <w:color w:val="auto"/>
                <w:sz w:val="21"/>
                <w:szCs w:val="21"/>
              </w:rPr>
              <w:t>气</w:t>
            </w:r>
          </w:p>
        </w:tc>
        <w:tc>
          <w:tcPr>
            <w:tcW w:w="1112" w:type="dxa"/>
            <w:noWrap w:val="0"/>
            <w:vAlign w:val="center"/>
          </w:tcPr>
          <w:p w14:paraId="46B13FBF">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泄漏、火灾爆炸</w:t>
            </w:r>
          </w:p>
        </w:tc>
        <w:tc>
          <w:tcPr>
            <w:tcW w:w="1248" w:type="dxa"/>
            <w:noWrap w:val="0"/>
            <w:vAlign w:val="center"/>
          </w:tcPr>
          <w:p w14:paraId="716512F7">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大气扩散</w:t>
            </w:r>
          </w:p>
        </w:tc>
        <w:tc>
          <w:tcPr>
            <w:tcW w:w="2027" w:type="dxa"/>
            <w:noWrap w:val="0"/>
            <w:vAlign w:val="center"/>
          </w:tcPr>
          <w:p w14:paraId="052873C4">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大气</w:t>
            </w:r>
          </w:p>
        </w:tc>
      </w:tr>
      <w:tr w14:paraId="4CD7E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dxa"/>
            <w:noWrap w:val="0"/>
            <w:vAlign w:val="center"/>
          </w:tcPr>
          <w:p w14:paraId="24F9A1B7">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p>
        </w:tc>
        <w:tc>
          <w:tcPr>
            <w:tcW w:w="975" w:type="dxa"/>
            <w:noWrap w:val="0"/>
            <w:vAlign w:val="center"/>
          </w:tcPr>
          <w:p w14:paraId="79713EE1">
            <w:pPr>
              <w:pStyle w:val="102"/>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改性丙烷灌装站</w:t>
            </w:r>
          </w:p>
        </w:tc>
        <w:tc>
          <w:tcPr>
            <w:tcW w:w="1248" w:type="dxa"/>
            <w:noWrap w:val="0"/>
            <w:vAlign w:val="center"/>
          </w:tcPr>
          <w:p w14:paraId="2CC337C4">
            <w:pPr>
              <w:pStyle w:val="102"/>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sz w:val="21"/>
                <w:szCs w:val="21"/>
              </w:rPr>
              <w:t>储罐区、灌瓶间</w:t>
            </w:r>
          </w:p>
        </w:tc>
        <w:tc>
          <w:tcPr>
            <w:tcW w:w="1383" w:type="dxa"/>
            <w:noWrap w:val="0"/>
            <w:vAlign w:val="center"/>
          </w:tcPr>
          <w:p w14:paraId="534D54F1">
            <w:pPr>
              <w:pStyle w:val="102"/>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丙烷</w:t>
            </w:r>
          </w:p>
        </w:tc>
        <w:tc>
          <w:tcPr>
            <w:tcW w:w="1112" w:type="dxa"/>
            <w:noWrap w:val="0"/>
            <w:vAlign w:val="center"/>
          </w:tcPr>
          <w:p w14:paraId="2A69A4DB">
            <w:pPr>
              <w:pStyle w:val="102"/>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sz w:val="21"/>
                <w:szCs w:val="21"/>
              </w:rPr>
              <w:t>泄漏、火灾爆炸</w:t>
            </w:r>
          </w:p>
        </w:tc>
        <w:tc>
          <w:tcPr>
            <w:tcW w:w="1248" w:type="dxa"/>
            <w:noWrap w:val="0"/>
            <w:vAlign w:val="center"/>
          </w:tcPr>
          <w:p w14:paraId="78079574">
            <w:pPr>
              <w:pStyle w:val="10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大气扩散</w:t>
            </w:r>
          </w:p>
        </w:tc>
        <w:tc>
          <w:tcPr>
            <w:tcW w:w="2027" w:type="dxa"/>
            <w:noWrap w:val="0"/>
            <w:vAlign w:val="center"/>
          </w:tcPr>
          <w:p w14:paraId="2C0CFF84">
            <w:pPr>
              <w:pStyle w:val="102"/>
              <w:rPr>
                <w:rFonts w:hint="default" w:ascii="Times New Roman" w:hAnsi="Times New Roman" w:cs="Times New Roman"/>
                <w:color w:val="auto"/>
                <w:kern w:val="0"/>
                <w:sz w:val="21"/>
                <w:szCs w:val="21"/>
                <w:lang w:val="en-US" w:eastAsia="zh-CN" w:bidi="ar-SA"/>
              </w:rPr>
            </w:pPr>
            <w:r>
              <w:rPr>
                <w:rFonts w:hint="default" w:ascii="Times New Roman" w:hAnsi="Times New Roman" w:cs="Times New Roman"/>
                <w:color w:val="auto"/>
                <w:sz w:val="21"/>
                <w:szCs w:val="21"/>
              </w:rPr>
              <w:t>大气</w:t>
            </w:r>
          </w:p>
        </w:tc>
      </w:tr>
      <w:tr w14:paraId="67842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dxa"/>
            <w:noWrap w:val="0"/>
            <w:vAlign w:val="center"/>
          </w:tcPr>
          <w:p w14:paraId="62A7FA1C">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975" w:type="dxa"/>
            <w:noWrap w:val="0"/>
            <w:vAlign w:val="center"/>
          </w:tcPr>
          <w:p w14:paraId="010752C8">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危险废物暂存间</w:t>
            </w:r>
          </w:p>
        </w:tc>
        <w:tc>
          <w:tcPr>
            <w:tcW w:w="1248" w:type="dxa"/>
            <w:noWrap w:val="0"/>
            <w:vAlign w:val="center"/>
          </w:tcPr>
          <w:p w14:paraId="3FE7A04A">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危险废物暂存间</w:t>
            </w:r>
          </w:p>
        </w:tc>
        <w:tc>
          <w:tcPr>
            <w:tcW w:w="1383" w:type="dxa"/>
            <w:noWrap w:val="0"/>
            <w:vAlign w:val="center"/>
          </w:tcPr>
          <w:p w14:paraId="3A62FA60">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废润滑油</w:t>
            </w:r>
            <w:r>
              <w:rPr>
                <w:rFonts w:hint="eastAsia" w:cs="Times New Roman"/>
                <w:color w:val="auto"/>
                <w:sz w:val="21"/>
                <w:szCs w:val="21"/>
                <w:lang w:val="en-US" w:eastAsia="zh-CN"/>
              </w:rPr>
              <w:t>、LPG残液</w:t>
            </w:r>
          </w:p>
        </w:tc>
        <w:tc>
          <w:tcPr>
            <w:tcW w:w="1112" w:type="dxa"/>
            <w:noWrap w:val="0"/>
            <w:vAlign w:val="center"/>
          </w:tcPr>
          <w:p w14:paraId="00AE3186">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泄漏、火灾爆炸</w:t>
            </w:r>
          </w:p>
        </w:tc>
        <w:tc>
          <w:tcPr>
            <w:tcW w:w="1248" w:type="dxa"/>
            <w:noWrap w:val="0"/>
            <w:vAlign w:val="center"/>
          </w:tcPr>
          <w:p w14:paraId="63763BD5">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大气扩散</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垂直入渗</w:t>
            </w:r>
          </w:p>
        </w:tc>
        <w:tc>
          <w:tcPr>
            <w:tcW w:w="2027" w:type="dxa"/>
            <w:noWrap w:val="0"/>
            <w:vAlign w:val="center"/>
          </w:tcPr>
          <w:p w14:paraId="2DE7DD6E">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大气、地下水、土壤</w:t>
            </w:r>
          </w:p>
        </w:tc>
      </w:tr>
      <w:tr w14:paraId="3E676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dxa"/>
            <w:noWrap w:val="0"/>
            <w:vAlign w:val="center"/>
          </w:tcPr>
          <w:p w14:paraId="1F3751CA">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w:t>
            </w:r>
          </w:p>
        </w:tc>
        <w:tc>
          <w:tcPr>
            <w:tcW w:w="975" w:type="dxa"/>
            <w:noWrap w:val="0"/>
            <w:vAlign w:val="center"/>
          </w:tcPr>
          <w:p w14:paraId="45E3969B">
            <w:pPr>
              <w:pStyle w:val="102"/>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气瓶检测车间</w:t>
            </w:r>
          </w:p>
        </w:tc>
        <w:tc>
          <w:tcPr>
            <w:tcW w:w="1248" w:type="dxa"/>
            <w:noWrap w:val="0"/>
            <w:vAlign w:val="center"/>
          </w:tcPr>
          <w:p w14:paraId="165C5C1D">
            <w:pPr>
              <w:pStyle w:val="102"/>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丝印工序</w:t>
            </w:r>
          </w:p>
        </w:tc>
        <w:tc>
          <w:tcPr>
            <w:tcW w:w="1383" w:type="dxa"/>
            <w:noWrap w:val="0"/>
            <w:vAlign w:val="center"/>
          </w:tcPr>
          <w:p w14:paraId="13B89D9A">
            <w:pPr>
              <w:pStyle w:val="102"/>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油墨（环己酮）</w:t>
            </w:r>
          </w:p>
        </w:tc>
        <w:tc>
          <w:tcPr>
            <w:tcW w:w="1112" w:type="dxa"/>
            <w:noWrap w:val="0"/>
            <w:vAlign w:val="center"/>
          </w:tcPr>
          <w:p w14:paraId="08343E4C">
            <w:pPr>
              <w:pStyle w:val="102"/>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泄漏、</w:t>
            </w:r>
            <w:r>
              <w:rPr>
                <w:rFonts w:hint="default" w:ascii="Times New Roman" w:hAnsi="Times New Roman" w:cs="Times New Roman"/>
                <w:color w:val="auto"/>
                <w:sz w:val="21"/>
                <w:szCs w:val="21"/>
                <w:lang w:val="en-US" w:eastAsia="zh-CN"/>
              </w:rPr>
              <w:t>火灾</w:t>
            </w:r>
          </w:p>
        </w:tc>
        <w:tc>
          <w:tcPr>
            <w:tcW w:w="1248" w:type="dxa"/>
            <w:shd w:val="clear" w:color="auto" w:fill="auto"/>
            <w:noWrap w:val="0"/>
            <w:vAlign w:val="center"/>
          </w:tcPr>
          <w:p w14:paraId="1BC2FB7D">
            <w:pPr>
              <w:pStyle w:val="10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大气扩散</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垂直入渗</w:t>
            </w:r>
          </w:p>
        </w:tc>
        <w:tc>
          <w:tcPr>
            <w:tcW w:w="2027" w:type="dxa"/>
            <w:shd w:val="clear" w:color="auto" w:fill="auto"/>
            <w:noWrap w:val="0"/>
            <w:vAlign w:val="center"/>
          </w:tcPr>
          <w:p w14:paraId="1EF85120">
            <w:pPr>
              <w:pStyle w:val="10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rPr>
              <w:t>大气、地下水、土壤</w:t>
            </w:r>
          </w:p>
        </w:tc>
      </w:tr>
      <w:tr w14:paraId="52C16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9" w:type="dxa"/>
            <w:shd w:val="clear" w:color="auto" w:fill="auto"/>
            <w:noWrap w:val="0"/>
            <w:vAlign w:val="center"/>
          </w:tcPr>
          <w:p w14:paraId="711E0288">
            <w:pPr>
              <w:pStyle w:val="102"/>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val="en-US" w:eastAsia="zh-CN"/>
              </w:rPr>
              <w:t>5</w:t>
            </w:r>
          </w:p>
        </w:tc>
        <w:tc>
          <w:tcPr>
            <w:tcW w:w="975" w:type="dxa"/>
            <w:noWrap w:val="0"/>
            <w:vAlign w:val="center"/>
          </w:tcPr>
          <w:p w14:paraId="1AE737AF">
            <w:pPr>
              <w:pStyle w:val="102"/>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气瓶检测车间</w:t>
            </w:r>
          </w:p>
        </w:tc>
        <w:tc>
          <w:tcPr>
            <w:tcW w:w="1248" w:type="dxa"/>
            <w:noWrap w:val="0"/>
            <w:vAlign w:val="center"/>
          </w:tcPr>
          <w:p w14:paraId="187BCAAD">
            <w:pPr>
              <w:pStyle w:val="102"/>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焚烧</w:t>
            </w:r>
            <w:r>
              <w:rPr>
                <w:rFonts w:hint="default" w:ascii="Times New Roman" w:hAnsi="Times New Roman" w:cs="Times New Roman"/>
                <w:color w:val="auto"/>
                <w:sz w:val="21"/>
                <w:szCs w:val="21"/>
                <w:lang w:val="en-US" w:eastAsia="zh-CN"/>
              </w:rPr>
              <w:t>窑、石油气管道</w:t>
            </w:r>
          </w:p>
        </w:tc>
        <w:tc>
          <w:tcPr>
            <w:tcW w:w="1383" w:type="dxa"/>
            <w:noWrap w:val="0"/>
            <w:vAlign w:val="center"/>
          </w:tcPr>
          <w:p w14:paraId="5F591244">
            <w:pPr>
              <w:pStyle w:val="102"/>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石油气</w:t>
            </w:r>
          </w:p>
        </w:tc>
        <w:tc>
          <w:tcPr>
            <w:tcW w:w="1112" w:type="dxa"/>
            <w:noWrap w:val="0"/>
            <w:vAlign w:val="center"/>
          </w:tcPr>
          <w:p w14:paraId="7AA334FF">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泄漏、</w:t>
            </w:r>
            <w:r>
              <w:rPr>
                <w:rFonts w:hint="default" w:ascii="Times New Roman" w:hAnsi="Times New Roman" w:cs="Times New Roman"/>
                <w:color w:val="auto"/>
                <w:sz w:val="21"/>
                <w:szCs w:val="21"/>
                <w:lang w:val="en-US" w:eastAsia="zh-CN"/>
              </w:rPr>
              <w:t>火灾</w:t>
            </w:r>
          </w:p>
        </w:tc>
        <w:tc>
          <w:tcPr>
            <w:tcW w:w="1248" w:type="dxa"/>
            <w:shd w:val="clear" w:color="auto" w:fill="auto"/>
            <w:noWrap w:val="0"/>
            <w:vAlign w:val="center"/>
          </w:tcPr>
          <w:p w14:paraId="2E82B8FF">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大气扩散</w:t>
            </w:r>
          </w:p>
        </w:tc>
        <w:tc>
          <w:tcPr>
            <w:tcW w:w="2027" w:type="dxa"/>
            <w:shd w:val="clear" w:color="auto" w:fill="auto"/>
            <w:noWrap w:val="0"/>
            <w:vAlign w:val="center"/>
          </w:tcPr>
          <w:p w14:paraId="4E816A07">
            <w:pPr>
              <w:pStyle w:val="102"/>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w:t>
            </w:r>
          </w:p>
        </w:tc>
      </w:tr>
    </w:tbl>
    <w:p w14:paraId="3979A31D">
      <w:pPr>
        <w:tabs>
          <w:tab w:val="left" w:pos="1700"/>
        </w:tabs>
        <w:bidi w:val="0"/>
        <w:jc w:val="left"/>
        <w:rPr>
          <w:rFonts w:hint="default" w:ascii="Times New Roman" w:hAnsi="Times New Roman" w:cs="Times New Roman"/>
          <w:color w:val="auto"/>
          <w:lang w:eastAsia="zh-CN"/>
        </w:rPr>
      </w:pPr>
      <w:r>
        <w:rPr>
          <w:rFonts w:hint="default" w:ascii="Times New Roman" w:hAnsi="Times New Roman" w:cs="Times New Roman"/>
          <w:color w:val="auto"/>
          <w:lang w:eastAsia="zh-CN"/>
        </w:rPr>
        <w:tab/>
      </w:r>
    </w:p>
    <w:p w14:paraId="0F8C30BE">
      <w:pPr>
        <w:bidi w:val="0"/>
        <w:rPr>
          <w:rFonts w:hint="default" w:ascii="Times New Roman" w:hAnsi="Times New Roman" w:cs="Times New Roman"/>
          <w:color w:val="auto"/>
          <w:sz w:val="24"/>
          <w:lang w:val="en-US" w:eastAsia="zh-CN" w:bidi="ar-SA"/>
        </w:rPr>
      </w:pPr>
    </w:p>
    <w:p w14:paraId="288EE856">
      <w:pPr>
        <w:bidi w:val="0"/>
        <w:rPr>
          <w:rFonts w:hint="default" w:ascii="Times New Roman" w:hAnsi="Times New Roman" w:cs="Times New Roman"/>
          <w:color w:val="auto"/>
          <w:lang w:val="en-US" w:eastAsia="zh-CN"/>
        </w:rPr>
      </w:pPr>
    </w:p>
    <w:p w14:paraId="2899E1E2">
      <w:pPr>
        <w:bidi w:val="0"/>
        <w:rPr>
          <w:rFonts w:hint="default" w:ascii="Times New Roman" w:hAnsi="Times New Roman" w:cs="Times New Roman"/>
          <w:color w:val="auto"/>
          <w:lang w:val="en-US" w:eastAsia="zh-CN"/>
        </w:rPr>
      </w:pPr>
    </w:p>
    <w:p w14:paraId="483C516E">
      <w:pPr>
        <w:bidi w:val="0"/>
        <w:rPr>
          <w:rFonts w:hint="default" w:ascii="Times New Roman" w:hAnsi="Times New Roman" w:cs="Times New Roman"/>
          <w:color w:val="auto"/>
          <w:lang w:val="en-US" w:eastAsia="zh-CN"/>
        </w:rPr>
      </w:pPr>
    </w:p>
    <w:p w14:paraId="149F0833">
      <w:pPr>
        <w:bidi w:val="0"/>
        <w:rPr>
          <w:rFonts w:hint="default" w:ascii="Times New Roman" w:hAnsi="Times New Roman" w:cs="Times New Roman"/>
          <w:color w:val="auto"/>
          <w:lang w:val="en-US" w:eastAsia="zh-CN"/>
        </w:rPr>
      </w:pPr>
    </w:p>
    <w:p w14:paraId="1204CB78">
      <w:pPr>
        <w:tabs>
          <w:tab w:val="left" w:pos="2480"/>
        </w:tabs>
        <w:bidi w:val="0"/>
        <w:jc w:val="left"/>
        <w:rPr>
          <w:rFonts w:hint="default" w:ascii="Times New Roman" w:hAnsi="Times New Roman" w:cs="Times New Roman"/>
          <w:color w:val="auto"/>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lang w:val="en-US" w:eastAsia="zh-CN"/>
        </w:rPr>
        <w:tab/>
      </w:r>
    </w:p>
    <w:p w14:paraId="6C510B49">
      <w:pPr>
        <w:keepNext w:val="0"/>
        <w:keepLines w:val="0"/>
        <w:pageBreakBefore w:val="0"/>
        <w:widowControl w:val="0"/>
        <w:numPr>
          <w:ilvl w:val="0"/>
          <w:numId w:val="3"/>
        </w:numPr>
        <w:tabs>
          <w:tab w:val="left" w:pos="942"/>
        </w:tabs>
        <w:kinsoku/>
        <w:wordWrap/>
        <w:overflowPunct/>
        <w:topLinePunct w:val="0"/>
        <w:autoSpaceDE/>
        <w:autoSpaceDN/>
        <w:bidi w:val="0"/>
        <w:adjustRightInd/>
        <w:snapToGrid w:val="0"/>
        <w:spacing w:before="50" w:beforeLines="50" w:after="50" w:afterLines="50" w:line="360" w:lineRule="auto"/>
        <w:ind w:left="941" w:leftChars="0" w:hanging="431" w:firstLineChars="0"/>
        <w:jc w:val="both"/>
        <w:textAlignment w:val="auto"/>
        <w:outlineLvl w:val="0"/>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风险事故情形分析</w:t>
      </w:r>
    </w:p>
    <w:p w14:paraId="281701B1">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风险事故情形设定</w:t>
      </w:r>
    </w:p>
    <w:p w14:paraId="42F73A10">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eastAsia" w:ascii="Times New Roman" w:hAnsi="Times New Roman" w:eastAsia="宋体" w:cs="Times New Roman"/>
          <w:b w:val="0"/>
          <w:color w:val="auto"/>
          <w:kern w:val="2"/>
          <w:sz w:val="28"/>
          <w:szCs w:val="24"/>
          <w:lang w:val="en-US" w:eastAsia="zh-CN" w:bidi="ar-SA"/>
        </w:rPr>
      </w:pPr>
      <w:r>
        <w:rPr>
          <w:rFonts w:hint="eastAsia" w:ascii="Times New Roman" w:hAnsi="Times New Roman" w:eastAsia="宋体" w:cs="Times New Roman"/>
          <w:b w:val="0"/>
          <w:color w:val="auto"/>
          <w:kern w:val="2"/>
          <w:sz w:val="28"/>
          <w:szCs w:val="24"/>
          <w:lang w:val="en-US" w:eastAsia="zh-CN" w:bidi="ar-SA"/>
        </w:rPr>
        <w:t>风险事故情形</w:t>
      </w:r>
    </w:p>
    <w:p w14:paraId="455D4135">
      <w:pPr>
        <w:widowControl w:val="0"/>
        <w:adjustRightInd/>
        <w:snapToGrid/>
        <w:spacing w:line="360" w:lineRule="auto"/>
        <w:ind w:firstLine="480" w:firstLineChars="200"/>
        <w:jc w:val="both"/>
        <w:rPr>
          <w:rFonts w:hint="eastAsia" w:cs="Times New Roman"/>
          <w:color w:val="auto"/>
          <w:kern w:val="2"/>
          <w:sz w:val="24"/>
          <w:szCs w:val="22"/>
        </w:rPr>
      </w:pPr>
      <w:r>
        <w:rPr>
          <w:rFonts w:hint="eastAsia" w:cs="Times New Roman"/>
          <w:color w:val="auto"/>
          <w:kern w:val="2"/>
          <w:sz w:val="24"/>
          <w:szCs w:val="22"/>
        </w:rPr>
        <w:t>根据《建设项目环境风险评价技术导则》(HJ 169-2018) 附录E，常见物料泄漏事故类型及频率统计分析见表</w:t>
      </w:r>
      <w:r>
        <w:rPr>
          <w:rFonts w:hint="eastAsia" w:cs="Times New Roman"/>
          <w:color w:val="auto"/>
          <w:kern w:val="2"/>
          <w:sz w:val="24"/>
          <w:szCs w:val="22"/>
          <w:lang w:val="en-US" w:eastAsia="zh-CN"/>
        </w:rPr>
        <w:t>3.1-1</w:t>
      </w:r>
      <w:r>
        <w:rPr>
          <w:rFonts w:hint="eastAsia" w:cs="Times New Roman"/>
          <w:color w:val="auto"/>
          <w:kern w:val="2"/>
          <w:sz w:val="24"/>
          <w:szCs w:val="22"/>
        </w:rPr>
        <w:t>。</w:t>
      </w:r>
    </w:p>
    <w:p w14:paraId="748FFAD4">
      <w:pPr>
        <w:widowControl w:val="0"/>
        <w:adjustRightInd/>
        <w:snapToGrid/>
        <w:spacing w:line="360" w:lineRule="auto"/>
        <w:ind w:firstLine="482" w:firstLineChars="200"/>
        <w:jc w:val="center"/>
        <w:rPr>
          <w:rFonts w:hint="eastAsia" w:cs="Times New Roman"/>
          <w:b/>
          <w:bCs/>
          <w:color w:val="auto"/>
          <w:kern w:val="2"/>
          <w:sz w:val="24"/>
          <w:szCs w:val="22"/>
        </w:rPr>
      </w:pPr>
      <w:bookmarkStart w:id="12" w:name="_bookmark126"/>
      <w:bookmarkEnd w:id="12"/>
      <w:r>
        <w:rPr>
          <w:rFonts w:hint="eastAsia" w:cs="Times New Roman"/>
          <w:b/>
          <w:bCs/>
          <w:color w:val="auto"/>
          <w:kern w:val="2"/>
          <w:sz w:val="24"/>
          <w:szCs w:val="22"/>
        </w:rPr>
        <w:t>表</w:t>
      </w:r>
      <w:r>
        <w:rPr>
          <w:rFonts w:hint="eastAsia" w:cs="Times New Roman"/>
          <w:b/>
          <w:bCs/>
          <w:color w:val="auto"/>
          <w:kern w:val="2"/>
          <w:sz w:val="24"/>
          <w:szCs w:val="22"/>
          <w:lang w:val="en-US" w:eastAsia="zh-CN"/>
        </w:rPr>
        <w:t>3.1-1</w:t>
      </w:r>
      <w:r>
        <w:rPr>
          <w:rFonts w:hint="eastAsia" w:cs="Times New Roman"/>
          <w:b/>
          <w:bCs/>
          <w:color w:val="auto"/>
          <w:kern w:val="2"/>
          <w:sz w:val="24"/>
          <w:szCs w:val="22"/>
        </w:rPr>
        <w:t xml:space="preserve">   物料泄漏事故类型及频率统计</w:t>
      </w:r>
    </w:p>
    <w:tbl>
      <w:tblPr>
        <w:tblStyle w:val="84"/>
        <w:tblW w:w="4999"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030"/>
        <w:gridCol w:w="4453"/>
        <w:gridCol w:w="1847"/>
      </w:tblGrid>
      <w:tr w14:paraId="7117B5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1" w:hRule="atLeast"/>
        </w:trPr>
        <w:tc>
          <w:tcPr>
            <w:tcW w:w="1218" w:type="pct"/>
            <w:tcBorders>
              <w:left w:val="single" w:color="000000" w:sz="10" w:space="0"/>
            </w:tcBorders>
            <w:vAlign w:val="center"/>
          </w:tcPr>
          <w:p w14:paraId="0617552D">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部件类型</w:t>
            </w:r>
          </w:p>
        </w:tc>
        <w:tc>
          <w:tcPr>
            <w:tcW w:w="2672" w:type="pct"/>
            <w:vAlign w:val="center"/>
          </w:tcPr>
          <w:p w14:paraId="37E7BCE0">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泄漏模式</w:t>
            </w:r>
          </w:p>
        </w:tc>
        <w:tc>
          <w:tcPr>
            <w:tcW w:w="1108" w:type="pct"/>
            <w:tcBorders>
              <w:right w:val="single" w:color="000000" w:sz="10" w:space="0"/>
            </w:tcBorders>
            <w:vAlign w:val="top"/>
          </w:tcPr>
          <w:p w14:paraId="30BB2BDB">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泄漏频率</w:t>
            </w:r>
          </w:p>
        </w:tc>
      </w:tr>
      <w:tr w14:paraId="52FE72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9" w:hRule="atLeast"/>
        </w:trPr>
        <w:tc>
          <w:tcPr>
            <w:tcW w:w="1218" w:type="pct"/>
            <w:tcBorders>
              <w:left w:val="single" w:color="000000" w:sz="10" w:space="0"/>
            </w:tcBorders>
            <w:vAlign w:val="center"/>
          </w:tcPr>
          <w:p w14:paraId="735C67A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反应器/工艺储罐/气体储罐/塔器</w:t>
            </w:r>
          </w:p>
        </w:tc>
        <w:tc>
          <w:tcPr>
            <w:tcW w:w="2672" w:type="pct"/>
            <w:vAlign w:val="center"/>
          </w:tcPr>
          <w:p w14:paraId="5A16FDA0">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泄漏孔径为10mm 孔径</w:t>
            </w:r>
          </w:p>
          <w:p w14:paraId="6B502770">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10min内储罐泄漏完</w:t>
            </w:r>
          </w:p>
          <w:p w14:paraId="6EB8BB37">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储罐全破裂</w:t>
            </w:r>
          </w:p>
        </w:tc>
        <w:tc>
          <w:tcPr>
            <w:tcW w:w="1108" w:type="pct"/>
            <w:tcBorders>
              <w:right w:val="single" w:color="000000" w:sz="10" w:space="0"/>
            </w:tcBorders>
            <w:vAlign w:val="center"/>
          </w:tcPr>
          <w:p w14:paraId="03B1FC0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4"/>
                <w:kern w:val="0"/>
                <w:sz w:val="21"/>
                <w:szCs w:val="21"/>
              </w:rPr>
              <w:t>1</w:t>
            </w:r>
            <w:r>
              <w:rPr>
                <w:rFonts w:hint="default" w:ascii="Times New Roman" w:hAnsi="Times New Roman" w:eastAsia="宋体" w:cs="Times New Roman"/>
                <w:snapToGrid w:val="0"/>
                <w:color w:val="auto"/>
                <w:spacing w:val="-8"/>
                <w:kern w:val="0"/>
                <w:sz w:val="21"/>
                <w:szCs w:val="21"/>
              </w:rPr>
              <w:t>.00×10</w:t>
            </w:r>
            <w:r>
              <w:rPr>
                <w:rFonts w:hint="default" w:ascii="Times New Roman" w:hAnsi="Times New Roman" w:eastAsia="宋体" w:cs="Times New Roman"/>
                <w:snapToGrid w:val="0"/>
                <w:color w:val="auto"/>
                <w:spacing w:val="-8"/>
                <w:kern w:val="0"/>
                <w:position w:val="6"/>
                <w:sz w:val="13"/>
                <w:szCs w:val="13"/>
              </w:rPr>
              <w:t>-4</w:t>
            </w:r>
            <w:r>
              <w:rPr>
                <w:rFonts w:hint="default" w:ascii="Times New Roman" w:hAnsi="Times New Roman" w:eastAsia="宋体" w:cs="Times New Roman"/>
                <w:snapToGrid w:val="0"/>
                <w:color w:val="auto"/>
                <w:spacing w:val="-8"/>
                <w:kern w:val="0"/>
                <w:sz w:val="21"/>
                <w:szCs w:val="21"/>
              </w:rPr>
              <w:t>/a</w:t>
            </w:r>
          </w:p>
          <w:p w14:paraId="0952FFB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9"/>
                <w:kern w:val="0"/>
                <w:sz w:val="21"/>
                <w:szCs w:val="21"/>
              </w:rPr>
              <w:t>5</w:t>
            </w:r>
            <w:r>
              <w:rPr>
                <w:rFonts w:hint="default" w:ascii="Times New Roman" w:hAnsi="Times New Roman" w:eastAsia="宋体" w:cs="Times New Roman"/>
                <w:snapToGrid w:val="0"/>
                <w:color w:val="auto"/>
                <w:spacing w:val="-7"/>
                <w:kern w:val="0"/>
                <w:sz w:val="21"/>
                <w:szCs w:val="21"/>
              </w:rPr>
              <w:t>.00×10</w:t>
            </w:r>
            <w:r>
              <w:rPr>
                <w:rFonts w:hint="default" w:ascii="Times New Roman" w:hAnsi="Times New Roman" w:eastAsia="宋体" w:cs="Times New Roman"/>
                <w:snapToGrid w:val="0"/>
                <w:color w:val="auto"/>
                <w:spacing w:val="-7"/>
                <w:kern w:val="0"/>
                <w:position w:val="6"/>
                <w:sz w:val="13"/>
                <w:szCs w:val="13"/>
              </w:rPr>
              <w:t>-6</w:t>
            </w:r>
            <w:r>
              <w:rPr>
                <w:rFonts w:hint="default" w:ascii="Times New Roman" w:hAnsi="Times New Roman" w:eastAsia="宋体" w:cs="Times New Roman"/>
                <w:snapToGrid w:val="0"/>
                <w:color w:val="auto"/>
                <w:spacing w:val="-7"/>
                <w:kern w:val="0"/>
                <w:sz w:val="21"/>
                <w:szCs w:val="21"/>
              </w:rPr>
              <w:t>/a</w:t>
            </w:r>
          </w:p>
          <w:p w14:paraId="601A321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9"/>
                <w:kern w:val="0"/>
                <w:sz w:val="21"/>
                <w:szCs w:val="21"/>
              </w:rPr>
              <w:t>5</w:t>
            </w:r>
            <w:r>
              <w:rPr>
                <w:rFonts w:hint="default" w:ascii="Times New Roman" w:hAnsi="Times New Roman" w:eastAsia="宋体" w:cs="Times New Roman"/>
                <w:snapToGrid w:val="0"/>
                <w:color w:val="auto"/>
                <w:spacing w:val="-7"/>
                <w:kern w:val="0"/>
                <w:sz w:val="21"/>
                <w:szCs w:val="21"/>
              </w:rPr>
              <w:t>.00×10</w:t>
            </w:r>
            <w:r>
              <w:rPr>
                <w:rFonts w:hint="default" w:ascii="Times New Roman" w:hAnsi="Times New Roman" w:eastAsia="宋体" w:cs="Times New Roman"/>
                <w:snapToGrid w:val="0"/>
                <w:color w:val="auto"/>
                <w:spacing w:val="-7"/>
                <w:kern w:val="0"/>
                <w:position w:val="6"/>
                <w:sz w:val="13"/>
                <w:szCs w:val="13"/>
              </w:rPr>
              <w:t>-6</w:t>
            </w:r>
            <w:r>
              <w:rPr>
                <w:rFonts w:hint="default" w:ascii="Times New Roman" w:hAnsi="Times New Roman" w:eastAsia="宋体" w:cs="Times New Roman"/>
                <w:snapToGrid w:val="0"/>
                <w:color w:val="auto"/>
                <w:spacing w:val="-7"/>
                <w:kern w:val="0"/>
                <w:sz w:val="21"/>
                <w:szCs w:val="21"/>
              </w:rPr>
              <w:t>/a</w:t>
            </w:r>
          </w:p>
        </w:tc>
      </w:tr>
      <w:tr w14:paraId="19650F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1218" w:type="pct"/>
            <w:tcBorders>
              <w:left w:val="single" w:color="000000" w:sz="10" w:space="0"/>
            </w:tcBorders>
            <w:vAlign w:val="center"/>
          </w:tcPr>
          <w:p w14:paraId="4BD9D08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常压单包容储罐</w:t>
            </w:r>
          </w:p>
        </w:tc>
        <w:tc>
          <w:tcPr>
            <w:tcW w:w="2672" w:type="pct"/>
            <w:vAlign w:val="center"/>
          </w:tcPr>
          <w:p w14:paraId="45E150B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泄漏孔径为10mm 孔径</w:t>
            </w:r>
          </w:p>
          <w:p w14:paraId="4AE393F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10min内储罐泄漏完</w:t>
            </w:r>
          </w:p>
          <w:p w14:paraId="54276DA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储罐全破裂</w:t>
            </w:r>
          </w:p>
        </w:tc>
        <w:tc>
          <w:tcPr>
            <w:tcW w:w="1108" w:type="pct"/>
            <w:tcBorders>
              <w:right w:val="single" w:color="000000" w:sz="10" w:space="0"/>
            </w:tcBorders>
            <w:vAlign w:val="center"/>
          </w:tcPr>
          <w:p w14:paraId="7CA2FDD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4"/>
                <w:kern w:val="0"/>
                <w:sz w:val="21"/>
                <w:szCs w:val="21"/>
              </w:rPr>
              <w:t>1</w:t>
            </w:r>
            <w:r>
              <w:rPr>
                <w:rFonts w:hint="default" w:ascii="Times New Roman" w:hAnsi="Times New Roman" w:eastAsia="宋体" w:cs="Times New Roman"/>
                <w:snapToGrid w:val="0"/>
                <w:color w:val="auto"/>
                <w:spacing w:val="-8"/>
                <w:kern w:val="0"/>
                <w:sz w:val="21"/>
                <w:szCs w:val="21"/>
              </w:rPr>
              <w:t>.00×10</w:t>
            </w:r>
            <w:r>
              <w:rPr>
                <w:rFonts w:hint="default" w:ascii="Times New Roman" w:hAnsi="Times New Roman" w:eastAsia="宋体" w:cs="Times New Roman"/>
                <w:snapToGrid w:val="0"/>
                <w:color w:val="auto"/>
                <w:spacing w:val="-8"/>
                <w:kern w:val="0"/>
                <w:position w:val="6"/>
                <w:sz w:val="13"/>
                <w:szCs w:val="13"/>
              </w:rPr>
              <w:t>-4</w:t>
            </w:r>
            <w:r>
              <w:rPr>
                <w:rFonts w:hint="default" w:ascii="Times New Roman" w:hAnsi="Times New Roman" w:eastAsia="宋体" w:cs="Times New Roman"/>
                <w:snapToGrid w:val="0"/>
                <w:color w:val="auto"/>
                <w:spacing w:val="-8"/>
                <w:kern w:val="0"/>
                <w:sz w:val="21"/>
                <w:szCs w:val="21"/>
              </w:rPr>
              <w:t>/a</w:t>
            </w:r>
          </w:p>
          <w:p w14:paraId="706C2D5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9"/>
                <w:kern w:val="0"/>
                <w:sz w:val="21"/>
                <w:szCs w:val="21"/>
              </w:rPr>
              <w:t>5</w:t>
            </w:r>
            <w:r>
              <w:rPr>
                <w:rFonts w:hint="default" w:ascii="Times New Roman" w:hAnsi="Times New Roman" w:eastAsia="宋体" w:cs="Times New Roman"/>
                <w:snapToGrid w:val="0"/>
                <w:color w:val="auto"/>
                <w:spacing w:val="-7"/>
                <w:kern w:val="0"/>
                <w:sz w:val="21"/>
                <w:szCs w:val="21"/>
              </w:rPr>
              <w:t>.00×10</w:t>
            </w:r>
            <w:r>
              <w:rPr>
                <w:rFonts w:hint="default" w:ascii="Times New Roman" w:hAnsi="Times New Roman" w:eastAsia="宋体" w:cs="Times New Roman"/>
                <w:snapToGrid w:val="0"/>
                <w:color w:val="auto"/>
                <w:spacing w:val="-7"/>
                <w:kern w:val="0"/>
                <w:position w:val="6"/>
                <w:sz w:val="13"/>
                <w:szCs w:val="13"/>
              </w:rPr>
              <w:t>-6</w:t>
            </w:r>
            <w:r>
              <w:rPr>
                <w:rFonts w:hint="default" w:ascii="Times New Roman" w:hAnsi="Times New Roman" w:eastAsia="宋体" w:cs="Times New Roman"/>
                <w:snapToGrid w:val="0"/>
                <w:color w:val="auto"/>
                <w:spacing w:val="-7"/>
                <w:kern w:val="0"/>
                <w:sz w:val="21"/>
                <w:szCs w:val="21"/>
              </w:rPr>
              <w:t>/a</w:t>
            </w:r>
          </w:p>
          <w:p w14:paraId="61D8B9B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9"/>
                <w:kern w:val="0"/>
                <w:sz w:val="21"/>
                <w:szCs w:val="21"/>
              </w:rPr>
              <w:t>5</w:t>
            </w:r>
            <w:r>
              <w:rPr>
                <w:rFonts w:hint="default" w:ascii="Times New Roman" w:hAnsi="Times New Roman" w:eastAsia="宋体" w:cs="Times New Roman"/>
                <w:snapToGrid w:val="0"/>
                <w:color w:val="auto"/>
                <w:spacing w:val="-7"/>
                <w:kern w:val="0"/>
                <w:sz w:val="21"/>
                <w:szCs w:val="21"/>
              </w:rPr>
              <w:t>.00×10</w:t>
            </w:r>
            <w:r>
              <w:rPr>
                <w:rFonts w:hint="default" w:ascii="Times New Roman" w:hAnsi="Times New Roman" w:eastAsia="宋体" w:cs="Times New Roman"/>
                <w:snapToGrid w:val="0"/>
                <w:color w:val="auto"/>
                <w:spacing w:val="-7"/>
                <w:kern w:val="0"/>
                <w:position w:val="6"/>
                <w:sz w:val="13"/>
                <w:szCs w:val="13"/>
              </w:rPr>
              <w:t>-6</w:t>
            </w:r>
            <w:r>
              <w:rPr>
                <w:rFonts w:hint="default" w:ascii="Times New Roman" w:hAnsi="Times New Roman" w:eastAsia="宋体" w:cs="Times New Roman"/>
                <w:snapToGrid w:val="0"/>
                <w:color w:val="auto"/>
                <w:spacing w:val="-7"/>
                <w:kern w:val="0"/>
                <w:sz w:val="21"/>
                <w:szCs w:val="21"/>
              </w:rPr>
              <w:t>/a</w:t>
            </w:r>
          </w:p>
        </w:tc>
      </w:tr>
      <w:tr w14:paraId="3C98E2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2" w:hRule="atLeast"/>
        </w:trPr>
        <w:tc>
          <w:tcPr>
            <w:tcW w:w="1218" w:type="pct"/>
            <w:tcBorders>
              <w:left w:val="single" w:color="000000" w:sz="10" w:space="0"/>
            </w:tcBorders>
            <w:vAlign w:val="center"/>
          </w:tcPr>
          <w:p w14:paraId="06DCC57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常压双包容储罐</w:t>
            </w:r>
          </w:p>
        </w:tc>
        <w:tc>
          <w:tcPr>
            <w:tcW w:w="2672" w:type="pct"/>
            <w:vAlign w:val="center"/>
          </w:tcPr>
          <w:p w14:paraId="4526D7EE">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泄漏孔径为10mm孔径</w:t>
            </w:r>
          </w:p>
          <w:p w14:paraId="01A26C10">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10min内储罐泄漏完</w:t>
            </w:r>
          </w:p>
          <w:p w14:paraId="6A606A7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储罐全破裂</w:t>
            </w:r>
          </w:p>
        </w:tc>
        <w:tc>
          <w:tcPr>
            <w:tcW w:w="1108" w:type="pct"/>
            <w:tcBorders>
              <w:right w:val="single" w:color="000000" w:sz="10" w:space="0"/>
            </w:tcBorders>
            <w:vAlign w:val="center"/>
          </w:tcPr>
          <w:p w14:paraId="656C350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4"/>
                <w:kern w:val="0"/>
                <w:sz w:val="21"/>
                <w:szCs w:val="21"/>
              </w:rPr>
              <w:t>1</w:t>
            </w:r>
            <w:r>
              <w:rPr>
                <w:rFonts w:hint="default" w:ascii="Times New Roman" w:hAnsi="Times New Roman" w:eastAsia="宋体" w:cs="Times New Roman"/>
                <w:snapToGrid w:val="0"/>
                <w:color w:val="auto"/>
                <w:spacing w:val="-8"/>
                <w:kern w:val="0"/>
                <w:sz w:val="21"/>
                <w:szCs w:val="21"/>
              </w:rPr>
              <w:t>.00×10</w:t>
            </w:r>
            <w:r>
              <w:rPr>
                <w:rFonts w:hint="default" w:ascii="Times New Roman" w:hAnsi="Times New Roman" w:eastAsia="宋体" w:cs="Times New Roman"/>
                <w:snapToGrid w:val="0"/>
                <w:color w:val="auto"/>
                <w:spacing w:val="-8"/>
                <w:kern w:val="0"/>
                <w:position w:val="6"/>
                <w:sz w:val="13"/>
                <w:szCs w:val="13"/>
              </w:rPr>
              <w:t>-4</w:t>
            </w:r>
            <w:r>
              <w:rPr>
                <w:rFonts w:hint="default" w:ascii="Times New Roman" w:hAnsi="Times New Roman" w:eastAsia="宋体" w:cs="Times New Roman"/>
                <w:snapToGrid w:val="0"/>
                <w:color w:val="auto"/>
                <w:spacing w:val="-8"/>
                <w:kern w:val="0"/>
                <w:sz w:val="21"/>
                <w:szCs w:val="21"/>
              </w:rPr>
              <w:t>/a</w:t>
            </w:r>
          </w:p>
          <w:p w14:paraId="1374D1A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4"/>
                <w:kern w:val="0"/>
                <w:sz w:val="21"/>
                <w:szCs w:val="21"/>
              </w:rPr>
              <w:t>1</w:t>
            </w:r>
            <w:r>
              <w:rPr>
                <w:rFonts w:hint="default" w:ascii="Times New Roman" w:hAnsi="Times New Roman" w:eastAsia="宋体" w:cs="Times New Roman"/>
                <w:snapToGrid w:val="0"/>
                <w:color w:val="auto"/>
                <w:spacing w:val="-8"/>
                <w:kern w:val="0"/>
                <w:sz w:val="21"/>
                <w:szCs w:val="21"/>
              </w:rPr>
              <w:t>.25×10</w:t>
            </w:r>
            <w:r>
              <w:rPr>
                <w:rFonts w:hint="default" w:ascii="Times New Roman" w:hAnsi="Times New Roman" w:eastAsia="宋体" w:cs="Times New Roman"/>
                <w:snapToGrid w:val="0"/>
                <w:color w:val="auto"/>
                <w:spacing w:val="-8"/>
                <w:kern w:val="0"/>
                <w:position w:val="6"/>
                <w:sz w:val="13"/>
                <w:szCs w:val="13"/>
              </w:rPr>
              <w:t>-8</w:t>
            </w:r>
            <w:r>
              <w:rPr>
                <w:rFonts w:hint="default" w:ascii="Times New Roman" w:hAnsi="Times New Roman" w:eastAsia="宋体" w:cs="Times New Roman"/>
                <w:snapToGrid w:val="0"/>
                <w:color w:val="auto"/>
                <w:spacing w:val="-8"/>
                <w:kern w:val="0"/>
                <w:sz w:val="21"/>
                <w:szCs w:val="21"/>
              </w:rPr>
              <w:t>/a</w:t>
            </w:r>
          </w:p>
          <w:p w14:paraId="533B0E3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4"/>
                <w:kern w:val="0"/>
                <w:sz w:val="21"/>
                <w:szCs w:val="21"/>
              </w:rPr>
              <w:t>1</w:t>
            </w:r>
            <w:r>
              <w:rPr>
                <w:rFonts w:hint="default" w:ascii="Times New Roman" w:hAnsi="Times New Roman" w:eastAsia="宋体" w:cs="Times New Roman"/>
                <w:snapToGrid w:val="0"/>
                <w:color w:val="auto"/>
                <w:spacing w:val="-8"/>
                <w:kern w:val="0"/>
                <w:sz w:val="21"/>
                <w:szCs w:val="21"/>
              </w:rPr>
              <w:t>.25×10</w:t>
            </w:r>
            <w:r>
              <w:rPr>
                <w:rFonts w:hint="default" w:ascii="Times New Roman" w:hAnsi="Times New Roman" w:eastAsia="宋体" w:cs="Times New Roman"/>
                <w:snapToGrid w:val="0"/>
                <w:color w:val="auto"/>
                <w:spacing w:val="-8"/>
                <w:kern w:val="0"/>
                <w:position w:val="6"/>
                <w:sz w:val="13"/>
                <w:szCs w:val="13"/>
              </w:rPr>
              <w:t>-8</w:t>
            </w:r>
            <w:r>
              <w:rPr>
                <w:rFonts w:hint="default" w:ascii="Times New Roman" w:hAnsi="Times New Roman" w:eastAsia="宋体" w:cs="Times New Roman"/>
                <w:snapToGrid w:val="0"/>
                <w:color w:val="auto"/>
                <w:spacing w:val="-8"/>
                <w:kern w:val="0"/>
                <w:sz w:val="21"/>
                <w:szCs w:val="21"/>
              </w:rPr>
              <w:t>/a</w:t>
            </w:r>
          </w:p>
        </w:tc>
      </w:tr>
      <w:tr w14:paraId="30CECC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3" w:hRule="atLeast"/>
        </w:trPr>
        <w:tc>
          <w:tcPr>
            <w:tcW w:w="1218" w:type="pct"/>
            <w:tcBorders>
              <w:left w:val="single" w:color="000000" w:sz="10" w:space="0"/>
            </w:tcBorders>
            <w:vAlign w:val="center"/>
          </w:tcPr>
          <w:p w14:paraId="7202BC22">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常压全包容储罐</w:t>
            </w:r>
          </w:p>
        </w:tc>
        <w:tc>
          <w:tcPr>
            <w:tcW w:w="2672" w:type="pct"/>
            <w:vAlign w:val="center"/>
          </w:tcPr>
          <w:p w14:paraId="34AC848A">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储罐全破裂</w:t>
            </w:r>
          </w:p>
        </w:tc>
        <w:tc>
          <w:tcPr>
            <w:tcW w:w="1108" w:type="pct"/>
            <w:tcBorders>
              <w:right w:val="single" w:color="000000" w:sz="10" w:space="0"/>
            </w:tcBorders>
            <w:vAlign w:val="center"/>
          </w:tcPr>
          <w:p w14:paraId="4BA686F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4"/>
                <w:kern w:val="0"/>
                <w:sz w:val="21"/>
                <w:szCs w:val="21"/>
              </w:rPr>
              <w:t>1</w:t>
            </w:r>
            <w:r>
              <w:rPr>
                <w:rFonts w:hint="default" w:ascii="Times New Roman" w:hAnsi="Times New Roman" w:eastAsia="宋体" w:cs="Times New Roman"/>
                <w:snapToGrid w:val="0"/>
                <w:color w:val="auto"/>
                <w:spacing w:val="-8"/>
                <w:kern w:val="0"/>
                <w:sz w:val="21"/>
                <w:szCs w:val="21"/>
              </w:rPr>
              <w:t>.00×10</w:t>
            </w:r>
            <w:r>
              <w:rPr>
                <w:rFonts w:hint="default" w:ascii="Times New Roman" w:hAnsi="Times New Roman" w:eastAsia="宋体" w:cs="Times New Roman"/>
                <w:snapToGrid w:val="0"/>
                <w:color w:val="auto"/>
                <w:spacing w:val="-8"/>
                <w:kern w:val="0"/>
                <w:position w:val="6"/>
                <w:sz w:val="13"/>
                <w:szCs w:val="13"/>
              </w:rPr>
              <w:t>-8</w:t>
            </w:r>
            <w:r>
              <w:rPr>
                <w:rFonts w:hint="default" w:ascii="Times New Roman" w:hAnsi="Times New Roman" w:eastAsia="宋体" w:cs="Times New Roman"/>
                <w:snapToGrid w:val="0"/>
                <w:color w:val="auto"/>
                <w:spacing w:val="-8"/>
                <w:kern w:val="0"/>
                <w:sz w:val="21"/>
                <w:szCs w:val="21"/>
              </w:rPr>
              <w:t>/a</w:t>
            </w:r>
          </w:p>
        </w:tc>
      </w:tr>
      <w:tr w14:paraId="30C0C5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2" w:hRule="atLeast"/>
        </w:trPr>
        <w:tc>
          <w:tcPr>
            <w:tcW w:w="1218" w:type="pct"/>
            <w:tcBorders>
              <w:left w:val="single" w:color="000000" w:sz="10" w:space="0"/>
            </w:tcBorders>
            <w:vAlign w:val="center"/>
          </w:tcPr>
          <w:p w14:paraId="5BF81C5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内径≤75mm的管道</w:t>
            </w:r>
          </w:p>
        </w:tc>
        <w:tc>
          <w:tcPr>
            <w:tcW w:w="2672" w:type="pct"/>
            <w:vAlign w:val="center"/>
          </w:tcPr>
          <w:p w14:paraId="7DCE2355">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泄漏孔径为10%孔径</w:t>
            </w:r>
          </w:p>
          <w:p w14:paraId="533FC307">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全管径泄漏</w:t>
            </w:r>
          </w:p>
        </w:tc>
        <w:tc>
          <w:tcPr>
            <w:tcW w:w="1108" w:type="pct"/>
            <w:tcBorders>
              <w:right w:val="single" w:color="000000" w:sz="10" w:space="0"/>
            </w:tcBorders>
            <w:vAlign w:val="center"/>
          </w:tcPr>
          <w:p w14:paraId="12803A54">
            <w:pPr>
              <w:keepNext w:val="0"/>
              <w:keepLines w:val="0"/>
              <w:pageBreakBefore w:val="0"/>
              <w:widowControl/>
              <w:kinsoku w:val="0"/>
              <w:wordWrap/>
              <w:overflowPunct/>
              <w:topLinePunct w:val="0"/>
              <w:autoSpaceDE w:val="0"/>
              <w:autoSpaceDN w:val="0"/>
              <w:bidi w:val="0"/>
              <w:adjustRightInd w:val="0"/>
              <w:snapToGrid w:val="0"/>
              <w:spacing w:line="240" w:lineRule="auto"/>
              <w:ind w:left="0" w:right="238" w:hanging="14"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9"/>
                <w:kern w:val="0"/>
                <w:sz w:val="21"/>
                <w:szCs w:val="21"/>
              </w:rPr>
              <w:t>5</w:t>
            </w:r>
            <w:r>
              <w:rPr>
                <w:rFonts w:hint="default" w:ascii="Times New Roman" w:hAnsi="Times New Roman" w:eastAsia="宋体" w:cs="Times New Roman"/>
                <w:snapToGrid w:val="0"/>
                <w:color w:val="auto"/>
                <w:spacing w:val="-5"/>
                <w:kern w:val="0"/>
                <w:sz w:val="21"/>
                <w:szCs w:val="21"/>
              </w:rPr>
              <w:t>.00×10</w:t>
            </w:r>
            <w:r>
              <w:rPr>
                <w:rFonts w:hint="default" w:ascii="Times New Roman" w:hAnsi="Times New Roman" w:eastAsia="宋体" w:cs="Times New Roman"/>
                <w:snapToGrid w:val="0"/>
                <w:color w:val="auto"/>
                <w:spacing w:val="-5"/>
                <w:kern w:val="0"/>
                <w:position w:val="6"/>
                <w:sz w:val="13"/>
                <w:szCs w:val="13"/>
              </w:rPr>
              <w:t>-6</w:t>
            </w:r>
            <w:r>
              <w:rPr>
                <w:rFonts w:hint="default" w:ascii="Times New Roman" w:hAnsi="Times New Roman" w:eastAsia="宋体" w:cs="Times New Roman"/>
                <w:snapToGrid w:val="0"/>
                <w:color w:val="auto"/>
                <w:spacing w:val="-5"/>
                <w:kern w:val="0"/>
                <w:sz w:val="21"/>
                <w:szCs w:val="21"/>
              </w:rPr>
              <w:t>/ (m·a)</w:t>
            </w:r>
            <w:r>
              <w:rPr>
                <w:rFonts w:hint="default" w:ascii="Times New Roman" w:hAnsi="Times New Roman" w:eastAsia="宋体" w:cs="Times New Roman"/>
                <w:snapToGrid w:val="0"/>
                <w:color w:val="auto"/>
                <w:kern w:val="0"/>
                <w:sz w:val="21"/>
                <w:szCs w:val="21"/>
              </w:rPr>
              <w:t xml:space="preserve"> </w:t>
            </w:r>
            <w:r>
              <w:rPr>
                <w:rFonts w:hint="default" w:ascii="Times New Roman" w:hAnsi="Times New Roman" w:eastAsia="宋体" w:cs="Times New Roman"/>
                <w:snapToGrid w:val="0"/>
                <w:color w:val="auto"/>
                <w:spacing w:val="-9"/>
                <w:kern w:val="0"/>
                <w:sz w:val="21"/>
                <w:szCs w:val="21"/>
              </w:rPr>
              <w:t>1</w:t>
            </w:r>
            <w:r>
              <w:rPr>
                <w:rFonts w:hint="default" w:ascii="Times New Roman" w:hAnsi="Times New Roman" w:eastAsia="宋体" w:cs="Times New Roman"/>
                <w:snapToGrid w:val="0"/>
                <w:color w:val="auto"/>
                <w:spacing w:val="-6"/>
                <w:kern w:val="0"/>
                <w:sz w:val="21"/>
                <w:szCs w:val="21"/>
              </w:rPr>
              <w:t>.00×10</w:t>
            </w:r>
            <w:r>
              <w:rPr>
                <w:rFonts w:hint="default" w:ascii="Times New Roman" w:hAnsi="Times New Roman" w:eastAsia="宋体" w:cs="Times New Roman"/>
                <w:snapToGrid w:val="0"/>
                <w:color w:val="auto"/>
                <w:spacing w:val="-6"/>
                <w:kern w:val="0"/>
                <w:position w:val="6"/>
                <w:sz w:val="13"/>
                <w:szCs w:val="13"/>
              </w:rPr>
              <w:t>-6</w:t>
            </w:r>
            <w:r>
              <w:rPr>
                <w:rFonts w:hint="default" w:ascii="Times New Roman" w:hAnsi="Times New Roman" w:eastAsia="宋体" w:cs="Times New Roman"/>
                <w:snapToGrid w:val="0"/>
                <w:color w:val="auto"/>
                <w:spacing w:val="-6"/>
                <w:kern w:val="0"/>
                <w:sz w:val="21"/>
                <w:szCs w:val="21"/>
              </w:rPr>
              <w:t>/ (m·a)</w:t>
            </w:r>
          </w:p>
        </w:tc>
      </w:tr>
      <w:tr w14:paraId="30AADFF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218" w:type="pct"/>
            <w:tcBorders>
              <w:left w:val="single" w:color="000000" w:sz="10" w:space="0"/>
            </w:tcBorders>
            <w:vAlign w:val="center"/>
          </w:tcPr>
          <w:p w14:paraId="7342878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75mm&lt;内径≤150mm的管道</w:t>
            </w:r>
          </w:p>
        </w:tc>
        <w:tc>
          <w:tcPr>
            <w:tcW w:w="2672" w:type="pct"/>
            <w:vAlign w:val="center"/>
          </w:tcPr>
          <w:p w14:paraId="05754FCA">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泄漏孔径为 10%孔径</w:t>
            </w:r>
          </w:p>
          <w:p w14:paraId="3FD05D62">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全管径泄漏</w:t>
            </w:r>
          </w:p>
        </w:tc>
        <w:tc>
          <w:tcPr>
            <w:tcW w:w="1108" w:type="pct"/>
            <w:tcBorders>
              <w:right w:val="single" w:color="000000" w:sz="10" w:space="0"/>
            </w:tcBorders>
            <w:vAlign w:val="center"/>
          </w:tcPr>
          <w:p w14:paraId="1F6F4ABE">
            <w:pPr>
              <w:keepNext w:val="0"/>
              <w:keepLines w:val="0"/>
              <w:pageBreakBefore w:val="0"/>
              <w:widowControl/>
              <w:kinsoku w:val="0"/>
              <w:wordWrap/>
              <w:overflowPunct/>
              <w:topLinePunct w:val="0"/>
              <w:autoSpaceDE w:val="0"/>
              <w:autoSpaceDN w:val="0"/>
              <w:bidi w:val="0"/>
              <w:adjustRightInd w:val="0"/>
              <w:snapToGrid w:val="0"/>
              <w:spacing w:line="240" w:lineRule="auto"/>
              <w:ind w:left="0" w:right="238" w:hanging="4"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5"/>
                <w:kern w:val="0"/>
                <w:sz w:val="21"/>
                <w:szCs w:val="21"/>
              </w:rPr>
              <w:t>2.00×10</w:t>
            </w:r>
            <w:r>
              <w:rPr>
                <w:rFonts w:hint="default" w:ascii="Times New Roman" w:hAnsi="Times New Roman" w:eastAsia="宋体" w:cs="Times New Roman"/>
                <w:snapToGrid w:val="0"/>
                <w:color w:val="auto"/>
                <w:spacing w:val="-5"/>
                <w:kern w:val="0"/>
                <w:position w:val="6"/>
                <w:sz w:val="13"/>
                <w:szCs w:val="13"/>
              </w:rPr>
              <w:t>-6</w:t>
            </w:r>
            <w:r>
              <w:rPr>
                <w:rFonts w:hint="default" w:ascii="Times New Roman" w:hAnsi="Times New Roman" w:eastAsia="宋体" w:cs="Times New Roman"/>
                <w:snapToGrid w:val="0"/>
                <w:color w:val="auto"/>
                <w:spacing w:val="-5"/>
                <w:kern w:val="0"/>
                <w:sz w:val="21"/>
                <w:szCs w:val="21"/>
              </w:rPr>
              <w:t>/ (m·</w:t>
            </w:r>
            <w:r>
              <w:rPr>
                <w:rFonts w:hint="default" w:ascii="Times New Roman" w:hAnsi="Times New Roman" w:eastAsia="宋体" w:cs="Times New Roman"/>
                <w:snapToGrid w:val="0"/>
                <w:color w:val="auto"/>
                <w:spacing w:val="-3"/>
                <w:kern w:val="0"/>
                <w:sz w:val="21"/>
                <w:szCs w:val="21"/>
              </w:rPr>
              <w:t>a</w:t>
            </w:r>
            <w:r>
              <w:rPr>
                <w:rFonts w:hint="default" w:ascii="Times New Roman" w:hAnsi="Times New Roman" w:eastAsia="宋体" w:cs="Times New Roman"/>
                <w:snapToGrid w:val="0"/>
                <w:color w:val="auto"/>
                <w:spacing w:val="-5"/>
                <w:kern w:val="0"/>
                <w:sz w:val="21"/>
                <w:szCs w:val="21"/>
              </w:rPr>
              <w:t>)</w:t>
            </w:r>
            <w:r>
              <w:rPr>
                <w:rFonts w:hint="default" w:ascii="Times New Roman" w:hAnsi="Times New Roman" w:eastAsia="宋体" w:cs="Times New Roman"/>
                <w:snapToGrid w:val="0"/>
                <w:color w:val="auto"/>
                <w:kern w:val="0"/>
                <w:sz w:val="21"/>
                <w:szCs w:val="21"/>
              </w:rPr>
              <w:t xml:space="preserve"> </w:t>
            </w:r>
            <w:r>
              <w:rPr>
                <w:rFonts w:hint="default" w:ascii="Times New Roman" w:hAnsi="Times New Roman" w:eastAsia="宋体" w:cs="Times New Roman"/>
                <w:snapToGrid w:val="0"/>
                <w:color w:val="auto"/>
                <w:spacing w:val="-8"/>
                <w:kern w:val="0"/>
                <w:sz w:val="21"/>
                <w:szCs w:val="21"/>
              </w:rPr>
              <w:t>3</w:t>
            </w:r>
            <w:r>
              <w:rPr>
                <w:rFonts w:hint="default" w:ascii="Times New Roman" w:hAnsi="Times New Roman" w:eastAsia="宋体" w:cs="Times New Roman"/>
                <w:snapToGrid w:val="0"/>
                <w:color w:val="auto"/>
                <w:spacing w:val="-5"/>
                <w:kern w:val="0"/>
                <w:sz w:val="21"/>
                <w:szCs w:val="21"/>
              </w:rPr>
              <w:t>.00×10</w:t>
            </w:r>
            <w:r>
              <w:rPr>
                <w:rFonts w:hint="default" w:ascii="Times New Roman" w:hAnsi="Times New Roman" w:eastAsia="宋体" w:cs="Times New Roman"/>
                <w:snapToGrid w:val="0"/>
                <w:color w:val="auto"/>
                <w:spacing w:val="-5"/>
                <w:kern w:val="0"/>
                <w:position w:val="6"/>
                <w:sz w:val="13"/>
                <w:szCs w:val="13"/>
              </w:rPr>
              <w:t>-7</w:t>
            </w:r>
            <w:r>
              <w:rPr>
                <w:rFonts w:hint="default" w:ascii="Times New Roman" w:hAnsi="Times New Roman" w:eastAsia="宋体" w:cs="Times New Roman"/>
                <w:snapToGrid w:val="0"/>
                <w:color w:val="auto"/>
                <w:spacing w:val="-5"/>
                <w:kern w:val="0"/>
                <w:sz w:val="21"/>
                <w:szCs w:val="21"/>
              </w:rPr>
              <w:t>/ (m·a)</w:t>
            </w:r>
          </w:p>
        </w:tc>
      </w:tr>
      <w:tr w14:paraId="049088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218" w:type="pct"/>
            <w:tcBorders>
              <w:left w:val="single" w:color="000000" w:sz="10" w:space="0"/>
            </w:tcBorders>
            <w:vAlign w:val="center"/>
          </w:tcPr>
          <w:p w14:paraId="6C7620F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内径&gt;150mm的管道</w:t>
            </w:r>
          </w:p>
        </w:tc>
        <w:tc>
          <w:tcPr>
            <w:tcW w:w="2672" w:type="pct"/>
            <w:vAlign w:val="center"/>
          </w:tcPr>
          <w:p w14:paraId="6952E4BB">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泄漏孔径为10%孔径(最50mm) 全管径泄漏</w:t>
            </w:r>
          </w:p>
        </w:tc>
        <w:tc>
          <w:tcPr>
            <w:tcW w:w="1108" w:type="pct"/>
            <w:tcBorders>
              <w:right w:val="single" w:color="000000" w:sz="10" w:space="0"/>
            </w:tcBorders>
            <w:vAlign w:val="center"/>
          </w:tcPr>
          <w:p w14:paraId="4C3234A7">
            <w:pPr>
              <w:keepNext w:val="0"/>
              <w:keepLines w:val="0"/>
              <w:pageBreakBefore w:val="0"/>
              <w:widowControl/>
              <w:kinsoku w:val="0"/>
              <w:wordWrap/>
              <w:overflowPunct/>
              <w:topLinePunct w:val="0"/>
              <w:autoSpaceDE w:val="0"/>
              <w:autoSpaceDN w:val="0"/>
              <w:bidi w:val="0"/>
              <w:adjustRightInd w:val="0"/>
              <w:snapToGrid w:val="0"/>
              <w:spacing w:line="240" w:lineRule="auto"/>
              <w:ind w:left="0" w:right="238" w:hanging="2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5"/>
                <w:kern w:val="0"/>
                <w:sz w:val="21"/>
                <w:szCs w:val="21"/>
              </w:rPr>
              <w:t>2.40×10</w:t>
            </w:r>
            <w:r>
              <w:rPr>
                <w:rFonts w:hint="default" w:ascii="Times New Roman" w:hAnsi="Times New Roman" w:eastAsia="宋体" w:cs="Times New Roman"/>
                <w:snapToGrid w:val="0"/>
                <w:color w:val="auto"/>
                <w:spacing w:val="-5"/>
                <w:kern w:val="0"/>
                <w:position w:val="6"/>
                <w:sz w:val="13"/>
                <w:szCs w:val="13"/>
              </w:rPr>
              <w:t>-6</w:t>
            </w:r>
            <w:r>
              <w:rPr>
                <w:rFonts w:hint="default" w:ascii="Times New Roman" w:hAnsi="Times New Roman" w:eastAsia="宋体" w:cs="Times New Roman"/>
                <w:snapToGrid w:val="0"/>
                <w:color w:val="auto"/>
                <w:spacing w:val="-5"/>
                <w:kern w:val="0"/>
                <w:sz w:val="21"/>
                <w:szCs w:val="21"/>
              </w:rPr>
              <w:t>/ (m·</w:t>
            </w:r>
            <w:r>
              <w:rPr>
                <w:rFonts w:hint="default" w:ascii="Times New Roman" w:hAnsi="Times New Roman" w:eastAsia="宋体" w:cs="Times New Roman"/>
                <w:snapToGrid w:val="0"/>
                <w:color w:val="auto"/>
                <w:spacing w:val="-3"/>
                <w:kern w:val="0"/>
                <w:sz w:val="21"/>
                <w:szCs w:val="21"/>
              </w:rPr>
              <w:t>a</w:t>
            </w:r>
            <w:r>
              <w:rPr>
                <w:rFonts w:hint="default" w:ascii="Times New Roman" w:hAnsi="Times New Roman" w:eastAsia="宋体" w:cs="Times New Roman"/>
                <w:snapToGrid w:val="0"/>
                <w:color w:val="auto"/>
                <w:spacing w:val="-5"/>
                <w:kern w:val="0"/>
                <w:sz w:val="21"/>
                <w:szCs w:val="21"/>
              </w:rPr>
              <w:t>)</w:t>
            </w:r>
            <w:r>
              <w:rPr>
                <w:rFonts w:hint="default" w:ascii="Times New Roman" w:hAnsi="Times New Roman" w:eastAsia="宋体" w:cs="Times New Roman"/>
                <w:snapToGrid w:val="0"/>
                <w:color w:val="auto"/>
                <w:kern w:val="0"/>
                <w:sz w:val="21"/>
                <w:szCs w:val="21"/>
              </w:rPr>
              <w:t xml:space="preserve"> </w:t>
            </w:r>
            <w:r>
              <w:rPr>
                <w:rFonts w:hint="default" w:ascii="Times New Roman" w:hAnsi="Times New Roman" w:eastAsia="宋体" w:cs="Times New Roman"/>
                <w:snapToGrid w:val="0"/>
                <w:color w:val="auto"/>
                <w:spacing w:val="-9"/>
                <w:kern w:val="0"/>
                <w:sz w:val="21"/>
                <w:szCs w:val="21"/>
              </w:rPr>
              <w:t>1</w:t>
            </w:r>
            <w:r>
              <w:rPr>
                <w:rFonts w:hint="default" w:ascii="Times New Roman" w:hAnsi="Times New Roman" w:eastAsia="宋体" w:cs="Times New Roman"/>
                <w:snapToGrid w:val="0"/>
                <w:color w:val="auto"/>
                <w:spacing w:val="-6"/>
                <w:kern w:val="0"/>
                <w:sz w:val="21"/>
                <w:szCs w:val="21"/>
              </w:rPr>
              <w:t>.00×10</w:t>
            </w:r>
            <w:r>
              <w:rPr>
                <w:rFonts w:hint="default" w:ascii="Times New Roman" w:hAnsi="Times New Roman" w:eastAsia="宋体" w:cs="Times New Roman"/>
                <w:snapToGrid w:val="0"/>
                <w:color w:val="auto"/>
                <w:spacing w:val="-6"/>
                <w:kern w:val="0"/>
                <w:position w:val="6"/>
                <w:sz w:val="13"/>
                <w:szCs w:val="13"/>
              </w:rPr>
              <w:t>-7</w:t>
            </w:r>
            <w:r>
              <w:rPr>
                <w:rFonts w:hint="default" w:ascii="Times New Roman" w:hAnsi="Times New Roman" w:eastAsia="宋体" w:cs="Times New Roman"/>
                <w:snapToGrid w:val="0"/>
                <w:color w:val="auto"/>
                <w:spacing w:val="-6"/>
                <w:kern w:val="0"/>
                <w:sz w:val="21"/>
                <w:szCs w:val="21"/>
              </w:rPr>
              <w:t>/ (m·a)</w:t>
            </w:r>
          </w:p>
        </w:tc>
      </w:tr>
      <w:tr w14:paraId="0E0912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4" w:hRule="atLeast"/>
        </w:trPr>
        <w:tc>
          <w:tcPr>
            <w:tcW w:w="1218" w:type="pct"/>
            <w:tcBorders>
              <w:left w:val="single" w:color="000000" w:sz="10" w:space="0"/>
            </w:tcBorders>
            <w:vAlign w:val="center"/>
          </w:tcPr>
          <w:p w14:paraId="222720CB">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泵体和压缩机</w:t>
            </w:r>
          </w:p>
        </w:tc>
        <w:tc>
          <w:tcPr>
            <w:tcW w:w="2672" w:type="pct"/>
            <w:vAlign w:val="center"/>
          </w:tcPr>
          <w:p w14:paraId="4E407D0B">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泵体和压缩机最大连接管泄漏孔径为10%孔径</w:t>
            </w:r>
          </w:p>
          <w:p w14:paraId="157AF29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(最大 50mm)</w:t>
            </w:r>
          </w:p>
          <w:p w14:paraId="2A113419">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泵体和压缩机最大连接管全管径泄漏</w:t>
            </w:r>
          </w:p>
        </w:tc>
        <w:tc>
          <w:tcPr>
            <w:tcW w:w="1108" w:type="pct"/>
            <w:tcBorders>
              <w:right w:val="single" w:color="000000" w:sz="10" w:space="0"/>
            </w:tcBorders>
            <w:vAlign w:val="center"/>
          </w:tcPr>
          <w:p w14:paraId="4ED9674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9"/>
                <w:kern w:val="0"/>
                <w:sz w:val="21"/>
                <w:szCs w:val="21"/>
              </w:rPr>
              <w:t>5</w:t>
            </w:r>
            <w:r>
              <w:rPr>
                <w:rFonts w:hint="default" w:ascii="Times New Roman" w:hAnsi="Times New Roman" w:eastAsia="宋体" w:cs="Times New Roman"/>
                <w:snapToGrid w:val="0"/>
                <w:color w:val="auto"/>
                <w:spacing w:val="-7"/>
                <w:kern w:val="0"/>
                <w:sz w:val="21"/>
                <w:szCs w:val="21"/>
              </w:rPr>
              <w:t>.00×10</w:t>
            </w:r>
            <w:r>
              <w:rPr>
                <w:rFonts w:hint="default" w:ascii="Times New Roman" w:hAnsi="Times New Roman" w:eastAsia="宋体" w:cs="Times New Roman"/>
                <w:snapToGrid w:val="0"/>
                <w:color w:val="auto"/>
                <w:spacing w:val="-7"/>
                <w:kern w:val="0"/>
                <w:position w:val="6"/>
                <w:sz w:val="13"/>
                <w:szCs w:val="13"/>
              </w:rPr>
              <w:t>-4</w:t>
            </w:r>
            <w:r>
              <w:rPr>
                <w:rFonts w:hint="default" w:ascii="Times New Roman" w:hAnsi="Times New Roman" w:eastAsia="宋体" w:cs="Times New Roman"/>
                <w:snapToGrid w:val="0"/>
                <w:color w:val="auto"/>
                <w:spacing w:val="-7"/>
                <w:kern w:val="0"/>
                <w:sz w:val="21"/>
                <w:szCs w:val="21"/>
              </w:rPr>
              <w:t>/a</w:t>
            </w:r>
          </w:p>
          <w:p w14:paraId="0C27D81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4"/>
                <w:kern w:val="0"/>
                <w:sz w:val="21"/>
                <w:szCs w:val="21"/>
              </w:rPr>
              <w:t>1</w:t>
            </w:r>
            <w:r>
              <w:rPr>
                <w:rFonts w:hint="default" w:ascii="Times New Roman" w:hAnsi="Times New Roman" w:eastAsia="宋体" w:cs="Times New Roman"/>
                <w:snapToGrid w:val="0"/>
                <w:color w:val="auto"/>
                <w:spacing w:val="-8"/>
                <w:kern w:val="0"/>
                <w:sz w:val="21"/>
                <w:szCs w:val="21"/>
              </w:rPr>
              <w:t>.00×10</w:t>
            </w:r>
            <w:r>
              <w:rPr>
                <w:rFonts w:hint="default" w:ascii="Times New Roman" w:hAnsi="Times New Roman" w:eastAsia="宋体" w:cs="Times New Roman"/>
                <w:snapToGrid w:val="0"/>
                <w:color w:val="auto"/>
                <w:spacing w:val="-8"/>
                <w:kern w:val="0"/>
                <w:position w:val="6"/>
                <w:sz w:val="13"/>
                <w:szCs w:val="13"/>
              </w:rPr>
              <w:t>-4</w:t>
            </w:r>
            <w:r>
              <w:rPr>
                <w:rFonts w:hint="default" w:ascii="Times New Roman" w:hAnsi="Times New Roman" w:eastAsia="宋体" w:cs="Times New Roman"/>
                <w:snapToGrid w:val="0"/>
                <w:color w:val="auto"/>
                <w:spacing w:val="-8"/>
                <w:kern w:val="0"/>
                <w:sz w:val="21"/>
                <w:szCs w:val="21"/>
              </w:rPr>
              <w:t>/a</w:t>
            </w:r>
          </w:p>
        </w:tc>
      </w:tr>
    </w:tbl>
    <w:p w14:paraId="6639B245">
      <w:pPr>
        <w:widowControl w:val="0"/>
        <w:adjustRightInd w:val="0"/>
        <w:snapToGrid w:val="0"/>
        <w:spacing w:after="120" w:line="360" w:lineRule="atLeast"/>
        <w:ind w:firstLine="480" w:firstLineChars="200"/>
        <w:textAlignment w:val="baseline"/>
        <w:rPr>
          <w:rFonts w:hint="eastAsia" w:ascii="宋体" w:hAnsi="Times New Roman" w:eastAsia="宋体" w:cs="Times New Roman"/>
          <w:color w:val="auto"/>
          <w:sz w:val="24"/>
          <w:lang w:val="en-US" w:eastAsia="zh-CN" w:bidi="ar-SA"/>
        </w:rPr>
      </w:pPr>
    </w:p>
    <w:p w14:paraId="5048EA39">
      <w:pPr>
        <w:widowControl w:val="0"/>
        <w:adjustRightInd/>
        <w:snapToGrid/>
        <w:spacing w:line="360" w:lineRule="auto"/>
        <w:ind w:firstLine="480" w:firstLineChars="200"/>
        <w:jc w:val="both"/>
        <w:rPr>
          <w:rFonts w:hint="eastAsia" w:cs="Times New Roman"/>
          <w:color w:val="auto"/>
          <w:kern w:val="2"/>
          <w:sz w:val="24"/>
          <w:szCs w:val="22"/>
        </w:rPr>
      </w:pPr>
      <w:r>
        <w:rPr>
          <w:rFonts w:hint="eastAsia" w:cs="Times New Roman"/>
          <w:color w:val="auto"/>
          <w:kern w:val="2"/>
          <w:sz w:val="24"/>
          <w:szCs w:val="22"/>
        </w:rPr>
        <w:t>物料</w:t>
      </w:r>
      <w:r>
        <w:rPr>
          <w:rFonts w:hint="eastAsia" w:cs="Times New Roman"/>
          <w:color w:val="auto"/>
          <w:kern w:val="2"/>
          <w:sz w:val="24"/>
          <w:szCs w:val="22"/>
        </w:rPr>
        <w:fldChar w:fldCharType="begin"/>
      </w:r>
      <w:r>
        <w:rPr>
          <w:rFonts w:hint="eastAsia" w:cs="Times New Roman"/>
          <w:color w:val="auto"/>
          <w:kern w:val="2"/>
          <w:sz w:val="24"/>
          <w:szCs w:val="22"/>
        </w:rPr>
        <w:instrText xml:space="preserve"> HYPERLINK \l "_bookmark127" </w:instrText>
      </w:r>
      <w:r>
        <w:rPr>
          <w:rFonts w:hint="eastAsia" w:cs="Times New Roman"/>
          <w:color w:val="auto"/>
          <w:kern w:val="2"/>
          <w:sz w:val="24"/>
          <w:szCs w:val="22"/>
        </w:rPr>
        <w:fldChar w:fldCharType="separate"/>
      </w:r>
      <w:r>
        <w:rPr>
          <w:rFonts w:hint="eastAsia" w:cs="Times New Roman"/>
          <w:color w:val="auto"/>
          <w:kern w:val="2"/>
          <w:sz w:val="24"/>
          <w:szCs w:val="22"/>
        </w:rPr>
        <w:t>泄漏主要原因包括垫圈破损、仪表失灵、连接密封不良等，具体见表</w:t>
      </w:r>
      <w:r>
        <w:rPr>
          <w:rFonts w:hint="eastAsia" w:cs="Times New Roman"/>
          <w:color w:val="auto"/>
          <w:kern w:val="2"/>
          <w:sz w:val="24"/>
          <w:szCs w:val="22"/>
        </w:rPr>
        <w:fldChar w:fldCharType="end"/>
      </w:r>
      <w:r>
        <w:rPr>
          <w:rFonts w:hint="eastAsia" w:cs="Times New Roman"/>
          <w:color w:val="auto"/>
          <w:kern w:val="2"/>
          <w:sz w:val="24"/>
          <w:szCs w:val="22"/>
          <w:lang w:val="en-US" w:eastAsia="zh-CN"/>
        </w:rPr>
        <w:t>3.1-2</w:t>
      </w:r>
      <w:r>
        <w:rPr>
          <w:rFonts w:hint="eastAsia" w:cs="Times New Roman"/>
          <w:color w:val="auto"/>
          <w:kern w:val="2"/>
          <w:sz w:val="24"/>
          <w:szCs w:val="22"/>
        </w:rPr>
        <w:t>。</w:t>
      </w:r>
    </w:p>
    <w:p w14:paraId="69ACA38B">
      <w:pPr>
        <w:widowControl w:val="0"/>
        <w:adjustRightInd/>
        <w:snapToGrid/>
        <w:spacing w:line="360" w:lineRule="auto"/>
        <w:ind w:firstLine="482" w:firstLineChars="200"/>
        <w:jc w:val="center"/>
        <w:rPr>
          <w:rFonts w:hint="eastAsia" w:cs="Times New Roman"/>
          <w:b/>
          <w:bCs/>
          <w:color w:val="auto"/>
          <w:kern w:val="2"/>
          <w:sz w:val="24"/>
          <w:szCs w:val="22"/>
        </w:rPr>
      </w:pPr>
      <w:bookmarkStart w:id="13" w:name="_bookmark128"/>
      <w:bookmarkEnd w:id="13"/>
      <w:bookmarkStart w:id="14" w:name="_bookmark127"/>
      <w:bookmarkEnd w:id="14"/>
      <w:r>
        <w:rPr>
          <w:rFonts w:hint="eastAsia" w:cs="Times New Roman"/>
          <w:b/>
          <w:bCs/>
          <w:color w:val="auto"/>
          <w:kern w:val="2"/>
          <w:sz w:val="24"/>
          <w:szCs w:val="22"/>
        </w:rPr>
        <w:t>表</w:t>
      </w:r>
      <w:r>
        <w:rPr>
          <w:rFonts w:hint="eastAsia" w:cs="Times New Roman"/>
          <w:b/>
          <w:bCs/>
          <w:color w:val="auto"/>
          <w:kern w:val="2"/>
          <w:sz w:val="24"/>
          <w:szCs w:val="22"/>
          <w:lang w:val="en-US" w:eastAsia="zh-CN"/>
        </w:rPr>
        <w:t>3.1-2</w:t>
      </w:r>
      <w:r>
        <w:rPr>
          <w:rFonts w:hint="eastAsia" w:cs="Times New Roman"/>
          <w:b/>
          <w:bCs/>
          <w:color w:val="auto"/>
          <w:kern w:val="2"/>
          <w:sz w:val="24"/>
          <w:szCs w:val="22"/>
        </w:rPr>
        <w:t xml:space="preserve">   物料泄漏事故原因统计表</w:t>
      </w:r>
    </w:p>
    <w:p w14:paraId="7D5B7408">
      <w:pPr>
        <w:widowControl/>
        <w:kinsoku w:val="0"/>
        <w:autoSpaceDE w:val="0"/>
        <w:autoSpaceDN w:val="0"/>
        <w:adjustRightInd w:val="0"/>
        <w:snapToGrid w:val="0"/>
        <w:spacing w:line="33" w:lineRule="exact"/>
        <w:ind w:firstLine="0" w:firstLineChars="0"/>
        <w:jc w:val="left"/>
        <w:textAlignment w:val="baseline"/>
        <w:rPr>
          <w:rFonts w:ascii="Arial" w:hAnsi="Arial" w:eastAsia="Arial" w:cs="Arial"/>
          <w:snapToGrid w:val="0"/>
          <w:color w:val="auto"/>
          <w:kern w:val="0"/>
          <w:sz w:val="21"/>
          <w:szCs w:val="21"/>
        </w:rPr>
      </w:pPr>
    </w:p>
    <w:tbl>
      <w:tblPr>
        <w:tblStyle w:val="84"/>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668"/>
        <w:gridCol w:w="2162"/>
        <w:gridCol w:w="2333"/>
        <w:gridCol w:w="2150"/>
      </w:tblGrid>
      <w:tr w14:paraId="207FB0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1003" w:type="pct"/>
            <w:tcBorders>
              <w:top w:val="single" w:color="auto" w:sz="4" w:space="0"/>
              <w:left w:val="single" w:color="auto" w:sz="4" w:space="0"/>
              <w:bottom w:val="single" w:color="auto" w:sz="4" w:space="0"/>
              <w:right w:val="single" w:color="auto" w:sz="4" w:space="0"/>
            </w:tcBorders>
            <w:vAlign w:val="center"/>
          </w:tcPr>
          <w:p w14:paraId="7ABC69FA">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序号</w:t>
            </w:r>
          </w:p>
        </w:tc>
        <w:tc>
          <w:tcPr>
            <w:tcW w:w="1299" w:type="pct"/>
            <w:tcBorders>
              <w:top w:val="single" w:color="auto" w:sz="4" w:space="0"/>
              <w:left w:val="single" w:color="auto" w:sz="4" w:space="0"/>
              <w:bottom w:val="single" w:color="auto" w:sz="4" w:space="0"/>
              <w:right w:val="single" w:color="auto" w:sz="4" w:space="0"/>
            </w:tcBorders>
            <w:vAlign w:val="center"/>
          </w:tcPr>
          <w:p w14:paraId="7A0C19FB">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事故原因</w:t>
            </w:r>
          </w:p>
        </w:tc>
        <w:tc>
          <w:tcPr>
            <w:tcW w:w="1403" w:type="pct"/>
            <w:tcBorders>
              <w:top w:val="single" w:color="auto" w:sz="4" w:space="0"/>
              <w:left w:val="single" w:color="auto" w:sz="4" w:space="0"/>
              <w:bottom w:val="single" w:color="auto" w:sz="4" w:space="0"/>
              <w:right w:val="single" w:color="auto" w:sz="4" w:space="0"/>
            </w:tcBorders>
            <w:vAlign w:val="center"/>
          </w:tcPr>
          <w:p w14:paraId="7E95D65A">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发生概率(次/年)</w:t>
            </w:r>
          </w:p>
        </w:tc>
        <w:tc>
          <w:tcPr>
            <w:tcW w:w="1293" w:type="pct"/>
            <w:tcBorders>
              <w:top w:val="single" w:color="auto" w:sz="4" w:space="0"/>
              <w:left w:val="single" w:color="auto" w:sz="4" w:space="0"/>
              <w:bottom w:val="single" w:color="auto" w:sz="4" w:space="0"/>
              <w:right w:val="single" w:color="auto" w:sz="4" w:space="0"/>
            </w:tcBorders>
            <w:vAlign w:val="center"/>
          </w:tcPr>
          <w:p w14:paraId="6767708A">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占比例(%)</w:t>
            </w:r>
          </w:p>
        </w:tc>
      </w:tr>
      <w:tr w14:paraId="5C3AA9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trPr>
        <w:tc>
          <w:tcPr>
            <w:tcW w:w="1003" w:type="pct"/>
            <w:tcBorders>
              <w:top w:val="single" w:color="auto" w:sz="4" w:space="0"/>
              <w:left w:val="single" w:color="auto" w:sz="4" w:space="0"/>
              <w:bottom w:val="single" w:color="auto" w:sz="4" w:space="0"/>
              <w:right w:val="single" w:color="auto" w:sz="4" w:space="0"/>
            </w:tcBorders>
            <w:vAlign w:val="center"/>
          </w:tcPr>
          <w:p w14:paraId="1BEDA945">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1</w:t>
            </w:r>
          </w:p>
        </w:tc>
        <w:tc>
          <w:tcPr>
            <w:tcW w:w="1299" w:type="pct"/>
            <w:tcBorders>
              <w:top w:val="single" w:color="auto" w:sz="4" w:space="0"/>
              <w:left w:val="single" w:color="auto" w:sz="4" w:space="0"/>
              <w:bottom w:val="single" w:color="auto" w:sz="4" w:space="0"/>
              <w:right w:val="single" w:color="auto" w:sz="4" w:space="0"/>
            </w:tcBorders>
            <w:vAlign w:val="center"/>
          </w:tcPr>
          <w:p w14:paraId="0F9FD5F0">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垫圈破损</w:t>
            </w:r>
          </w:p>
        </w:tc>
        <w:tc>
          <w:tcPr>
            <w:tcW w:w="1403" w:type="pct"/>
            <w:tcBorders>
              <w:top w:val="single" w:color="auto" w:sz="4" w:space="0"/>
              <w:left w:val="single" w:color="auto" w:sz="4" w:space="0"/>
              <w:bottom w:val="single" w:color="auto" w:sz="4" w:space="0"/>
              <w:right w:val="single" w:color="auto" w:sz="4" w:space="0"/>
            </w:tcBorders>
            <w:vAlign w:val="center"/>
          </w:tcPr>
          <w:p w14:paraId="3378C01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8"/>
                <w:kern w:val="0"/>
                <w:sz w:val="21"/>
                <w:szCs w:val="21"/>
              </w:rPr>
              <w:t>2</w:t>
            </w:r>
            <w:r>
              <w:rPr>
                <w:rFonts w:hint="default" w:ascii="Times New Roman" w:hAnsi="Times New Roman" w:eastAsia="宋体" w:cs="Times New Roman"/>
                <w:snapToGrid w:val="0"/>
                <w:color w:val="auto"/>
                <w:spacing w:val="-5"/>
                <w:kern w:val="0"/>
                <w:sz w:val="21"/>
                <w:szCs w:val="21"/>
              </w:rPr>
              <w:t>.</w:t>
            </w:r>
            <w:r>
              <w:rPr>
                <w:rFonts w:hint="default" w:ascii="Times New Roman" w:hAnsi="Times New Roman" w:eastAsia="宋体" w:cs="Times New Roman"/>
                <w:snapToGrid w:val="0"/>
                <w:color w:val="auto"/>
                <w:spacing w:val="-4"/>
                <w:kern w:val="0"/>
                <w:sz w:val="21"/>
                <w:szCs w:val="21"/>
              </w:rPr>
              <w:t>5</w:t>
            </w:r>
            <w:r>
              <w:rPr>
                <w:rFonts w:hint="eastAsia" w:ascii="Times New Roman" w:hAnsi="Times New Roman" w:eastAsia="宋体" w:cs="Times New Roman"/>
                <w:snapToGrid w:val="0"/>
                <w:color w:val="auto"/>
                <w:spacing w:val="-4"/>
                <w:kern w:val="0"/>
                <w:sz w:val="21"/>
                <w:szCs w:val="21"/>
                <w:lang w:val="en-US" w:eastAsia="zh-CN"/>
              </w:rPr>
              <w:t>×</w:t>
            </w:r>
            <w:r>
              <w:rPr>
                <w:rFonts w:hint="default" w:ascii="Times New Roman" w:hAnsi="Times New Roman" w:eastAsia="宋体" w:cs="Times New Roman"/>
                <w:snapToGrid w:val="0"/>
                <w:color w:val="auto"/>
                <w:spacing w:val="-4"/>
                <w:kern w:val="0"/>
                <w:sz w:val="21"/>
                <w:szCs w:val="21"/>
              </w:rPr>
              <w:t>10</w:t>
            </w:r>
            <w:r>
              <w:rPr>
                <w:rFonts w:hint="eastAsia" w:ascii="Times New Roman" w:hAnsi="Times New Roman" w:eastAsia="宋体" w:cs="Times New Roman"/>
                <w:snapToGrid w:val="0"/>
                <w:color w:val="auto"/>
                <w:spacing w:val="-4"/>
                <w:kern w:val="0"/>
                <w:sz w:val="21"/>
                <w:szCs w:val="21"/>
                <w:vertAlign w:val="superscript"/>
                <w:lang w:val="en-US" w:eastAsia="zh-CN"/>
              </w:rPr>
              <w:t>-2</w:t>
            </w:r>
          </w:p>
        </w:tc>
        <w:tc>
          <w:tcPr>
            <w:tcW w:w="1293" w:type="pct"/>
            <w:tcBorders>
              <w:top w:val="single" w:color="auto" w:sz="4" w:space="0"/>
              <w:left w:val="single" w:color="auto" w:sz="4" w:space="0"/>
              <w:bottom w:val="single" w:color="auto" w:sz="4" w:space="0"/>
              <w:right w:val="single" w:color="auto" w:sz="4" w:space="0"/>
            </w:tcBorders>
            <w:vAlign w:val="center"/>
          </w:tcPr>
          <w:p w14:paraId="58C34FD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7"/>
                <w:kern w:val="0"/>
                <w:sz w:val="21"/>
                <w:szCs w:val="21"/>
              </w:rPr>
              <w:t>4</w:t>
            </w:r>
            <w:r>
              <w:rPr>
                <w:rFonts w:hint="default" w:ascii="Times New Roman" w:hAnsi="Times New Roman" w:eastAsia="宋体" w:cs="Times New Roman"/>
                <w:snapToGrid w:val="0"/>
                <w:color w:val="auto"/>
                <w:spacing w:val="-5"/>
                <w:kern w:val="0"/>
                <w:sz w:val="21"/>
                <w:szCs w:val="21"/>
              </w:rPr>
              <w:t>6.1</w:t>
            </w:r>
          </w:p>
        </w:tc>
      </w:tr>
      <w:tr w14:paraId="449530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003" w:type="pct"/>
            <w:tcBorders>
              <w:top w:val="single" w:color="auto" w:sz="4" w:space="0"/>
              <w:left w:val="single" w:color="auto" w:sz="4" w:space="0"/>
              <w:bottom w:val="single" w:color="auto" w:sz="4" w:space="0"/>
              <w:right w:val="single" w:color="auto" w:sz="4" w:space="0"/>
            </w:tcBorders>
            <w:vAlign w:val="center"/>
          </w:tcPr>
          <w:p w14:paraId="073CC174">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2</w:t>
            </w:r>
          </w:p>
        </w:tc>
        <w:tc>
          <w:tcPr>
            <w:tcW w:w="1299" w:type="pct"/>
            <w:tcBorders>
              <w:top w:val="single" w:color="auto" w:sz="4" w:space="0"/>
              <w:left w:val="single" w:color="auto" w:sz="4" w:space="0"/>
              <w:bottom w:val="single" w:color="auto" w:sz="4" w:space="0"/>
              <w:right w:val="single" w:color="auto" w:sz="4" w:space="0"/>
            </w:tcBorders>
            <w:vAlign w:val="center"/>
          </w:tcPr>
          <w:p w14:paraId="673EFB43">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仪表失灵</w:t>
            </w:r>
          </w:p>
        </w:tc>
        <w:tc>
          <w:tcPr>
            <w:tcW w:w="1403" w:type="pct"/>
            <w:tcBorders>
              <w:top w:val="single" w:color="auto" w:sz="4" w:space="0"/>
              <w:left w:val="single" w:color="auto" w:sz="4" w:space="0"/>
              <w:bottom w:val="single" w:color="auto" w:sz="4" w:space="0"/>
              <w:right w:val="single" w:color="auto" w:sz="4" w:space="0"/>
            </w:tcBorders>
            <w:vAlign w:val="center"/>
          </w:tcPr>
          <w:p w14:paraId="3B6A989D">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6"/>
                <w:kern w:val="0"/>
                <w:sz w:val="21"/>
                <w:szCs w:val="21"/>
              </w:rPr>
              <w:t>8.3</w:t>
            </w:r>
            <w:r>
              <w:rPr>
                <w:rFonts w:hint="eastAsia" w:ascii="Times New Roman" w:hAnsi="Times New Roman" w:eastAsia="宋体" w:cs="Times New Roman"/>
                <w:snapToGrid w:val="0"/>
                <w:color w:val="auto"/>
                <w:spacing w:val="-4"/>
                <w:kern w:val="0"/>
                <w:sz w:val="21"/>
                <w:szCs w:val="21"/>
                <w:lang w:val="en-US" w:eastAsia="zh-CN"/>
              </w:rPr>
              <w:t>×</w:t>
            </w:r>
            <w:r>
              <w:rPr>
                <w:rFonts w:hint="default" w:ascii="Times New Roman" w:hAnsi="Times New Roman" w:eastAsia="宋体" w:cs="Times New Roman"/>
                <w:snapToGrid w:val="0"/>
                <w:color w:val="auto"/>
                <w:spacing w:val="-6"/>
                <w:kern w:val="0"/>
                <w:sz w:val="21"/>
                <w:szCs w:val="21"/>
              </w:rPr>
              <w:t>10</w:t>
            </w:r>
            <w:r>
              <w:rPr>
                <w:rFonts w:hint="eastAsia" w:ascii="Times New Roman" w:hAnsi="Times New Roman" w:eastAsia="宋体" w:cs="Times New Roman"/>
                <w:snapToGrid w:val="0"/>
                <w:color w:val="auto"/>
                <w:spacing w:val="-4"/>
                <w:kern w:val="0"/>
                <w:sz w:val="21"/>
                <w:szCs w:val="21"/>
                <w:vertAlign w:val="superscript"/>
                <w:lang w:val="en-US" w:eastAsia="zh-CN"/>
              </w:rPr>
              <w:t>-</w:t>
            </w:r>
            <w:r>
              <w:rPr>
                <w:rFonts w:hint="eastAsia" w:cs="Times New Roman"/>
                <w:snapToGrid w:val="0"/>
                <w:color w:val="auto"/>
                <w:spacing w:val="-4"/>
                <w:kern w:val="0"/>
                <w:sz w:val="21"/>
                <w:szCs w:val="21"/>
                <w:vertAlign w:val="superscript"/>
                <w:lang w:val="en-US" w:eastAsia="zh-CN"/>
              </w:rPr>
              <w:t>3</w:t>
            </w:r>
          </w:p>
        </w:tc>
        <w:tc>
          <w:tcPr>
            <w:tcW w:w="1293" w:type="pct"/>
            <w:tcBorders>
              <w:top w:val="single" w:color="auto" w:sz="4" w:space="0"/>
              <w:left w:val="single" w:color="auto" w:sz="4" w:space="0"/>
              <w:bottom w:val="single" w:color="auto" w:sz="4" w:space="0"/>
              <w:right w:val="single" w:color="auto" w:sz="4" w:space="0"/>
            </w:tcBorders>
            <w:vAlign w:val="center"/>
          </w:tcPr>
          <w:p w14:paraId="137185DD">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0"/>
                <w:kern w:val="0"/>
                <w:sz w:val="21"/>
                <w:szCs w:val="21"/>
              </w:rPr>
              <w:t>1</w:t>
            </w:r>
            <w:r>
              <w:rPr>
                <w:rFonts w:hint="default" w:ascii="Times New Roman" w:hAnsi="Times New Roman" w:eastAsia="宋体" w:cs="Times New Roman"/>
                <w:snapToGrid w:val="0"/>
                <w:color w:val="auto"/>
                <w:spacing w:val="-9"/>
                <w:kern w:val="0"/>
                <w:sz w:val="21"/>
                <w:szCs w:val="21"/>
              </w:rPr>
              <w:t>5.4</w:t>
            </w:r>
          </w:p>
        </w:tc>
      </w:tr>
      <w:tr w14:paraId="382E52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003" w:type="pct"/>
            <w:tcBorders>
              <w:top w:val="single" w:color="auto" w:sz="4" w:space="0"/>
              <w:left w:val="single" w:color="auto" w:sz="4" w:space="0"/>
              <w:bottom w:val="single" w:color="auto" w:sz="4" w:space="0"/>
              <w:right w:val="single" w:color="auto" w:sz="4" w:space="0"/>
            </w:tcBorders>
            <w:vAlign w:val="center"/>
          </w:tcPr>
          <w:p w14:paraId="2E9EFC66">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3</w:t>
            </w:r>
          </w:p>
        </w:tc>
        <w:tc>
          <w:tcPr>
            <w:tcW w:w="1299" w:type="pct"/>
            <w:tcBorders>
              <w:top w:val="single" w:color="auto" w:sz="4" w:space="0"/>
              <w:left w:val="single" w:color="auto" w:sz="4" w:space="0"/>
              <w:bottom w:val="single" w:color="auto" w:sz="4" w:space="0"/>
              <w:right w:val="single" w:color="auto" w:sz="4" w:space="0"/>
            </w:tcBorders>
            <w:vAlign w:val="center"/>
          </w:tcPr>
          <w:p w14:paraId="73CEE207">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连接密封不良</w:t>
            </w:r>
          </w:p>
        </w:tc>
        <w:tc>
          <w:tcPr>
            <w:tcW w:w="1403" w:type="pct"/>
            <w:tcBorders>
              <w:top w:val="single" w:color="auto" w:sz="4" w:space="0"/>
              <w:left w:val="single" w:color="auto" w:sz="4" w:space="0"/>
              <w:bottom w:val="single" w:color="auto" w:sz="4" w:space="0"/>
              <w:right w:val="single" w:color="auto" w:sz="4" w:space="0"/>
            </w:tcBorders>
            <w:vAlign w:val="center"/>
          </w:tcPr>
          <w:p w14:paraId="3582055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6"/>
                <w:kern w:val="0"/>
                <w:sz w:val="21"/>
                <w:szCs w:val="21"/>
              </w:rPr>
              <w:t>8.3</w:t>
            </w:r>
            <w:r>
              <w:rPr>
                <w:rFonts w:hint="eastAsia" w:ascii="Times New Roman" w:hAnsi="Times New Roman" w:eastAsia="宋体" w:cs="Times New Roman"/>
                <w:snapToGrid w:val="0"/>
                <w:color w:val="auto"/>
                <w:spacing w:val="-4"/>
                <w:kern w:val="0"/>
                <w:sz w:val="21"/>
                <w:szCs w:val="21"/>
                <w:lang w:val="en-US" w:eastAsia="zh-CN"/>
              </w:rPr>
              <w:t>×</w:t>
            </w:r>
            <w:r>
              <w:rPr>
                <w:rFonts w:hint="default" w:ascii="Times New Roman" w:hAnsi="Times New Roman" w:eastAsia="宋体" w:cs="Times New Roman"/>
                <w:snapToGrid w:val="0"/>
                <w:color w:val="auto"/>
                <w:spacing w:val="-6"/>
                <w:kern w:val="0"/>
                <w:sz w:val="21"/>
                <w:szCs w:val="21"/>
              </w:rPr>
              <w:t>10</w:t>
            </w:r>
            <w:r>
              <w:rPr>
                <w:rFonts w:hint="eastAsia" w:ascii="Times New Roman" w:hAnsi="Times New Roman" w:eastAsia="宋体" w:cs="Times New Roman"/>
                <w:snapToGrid w:val="0"/>
                <w:color w:val="auto"/>
                <w:spacing w:val="-4"/>
                <w:kern w:val="0"/>
                <w:sz w:val="21"/>
                <w:szCs w:val="21"/>
                <w:vertAlign w:val="superscript"/>
                <w:lang w:val="en-US" w:eastAsia="zh-CN"/>
              </w:rPr>
              <w:t>-</w:t>
            </w:r>
            <w:r>
              <w:rPr>
                <w:rFonts w:hint="eastAsia" w:cs="Times New Roman"/>
                <w:snapToGrid w:val="0"/>
                <w:color w:val="auto"/>
                <w:spacing w:val="-4"/>
                <w:kern w:val="0"/>
                <w:sz w:val="21"/>
                <w:szCs w:val="21"/>
                <w:vertAlign w:val="superscript"/>
                <w:lang w:val="en-US" w:eastAsia="zh-CN"/>
              </w:rPr>
              <w:t>3</w:t>
            </w:r>
          </w:p>
        </w:tc>
        <w:tc>
          <w:tcPr>
            <w:tcW w:w="1293" w:type="pct"/>
            <w:tcBorders>
              <w:top w:val="single" w:color="auto" w:sz="4" w:space="0"/>
              <w:left w:val="single" w:color="auto" w:sz="4" w:space="0"/>
              <w:bottom w:val="single" w:color="auto" w:sz="4" w:space="0"/>
              <w:right w:val="single" w:color="auto" w:sz="4" w:space="0"/>
            </w:tcBorders>
            <w:vAlign w:val="center"/>
          </w:tcPr>
          <w:p w14:paraId="390636B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0"/>
                <w:kern w:val="0"/>
                <w:sz w:val="21"/>
                <w:szCs w:val="21"/>
              </w:rPr>
              <w:t>1</w:t>
            </w:r>
            <w:r>
              <w:rPr>
                <w:rFonts w:hint="default" w:ascii="Times New Roman" w:hAnsi="Times New Roman" w:eastAsia="宋体" w:cs="Times New Roman"/>
                <w:snapToGrid w:val="0"/>
                <w:color w:val="auto"/>
                <w:spacing w:val="-9"/>
                <w:kern w:val="0"/>
                <w:sz w:val="21"/>
                <w:szCs w:val="21"/>
              </w:rPr>
              <w:t>5.4</w:t>
            </w:r>
          </w:p>
        </w:tc>
      </w:tr>
      <w:tr w14:paraId="1C8894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003" w:type="pct"/>
            <w:tcBorders>
              <w:top w:val="single" w:color="auto" w:sz="4" w:space="0"/>
              <w:left w:val="single" w:color="auto" w:sz="4" w:space="0"/>
              <w:bottom w:val="single" w:color="auto" w:sz="4" w:space="0"/>
              <w:right w:val="single" w:color="auto" w:sz="4" w:space="0"/>
            </w:tcBorders>
            <w:vAlign w:val="center"/>
          </w:tcPr>
          <w:p w14:paraId="58D03953">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4</w:t>
            </w:r>
          </w:p>
        </w:tc>
        <w:tc>
          <w:tcPr>
            <w:tcW w:w="1299" w:type="pct"/>
            <w:tcBorders>
              <w:top w:val="single" w:color="auto" w:sz="4" w:space="0"/>
              <w:left w:val="single" w:color="auto" w:sz="4" w:space="0"/>
              <w:bottom w:val="single" w:color="auto" w:sz="4" w:space="0"/>
              <w:right w:val="single" w:color="auto" w:sz="4" w:space="0"/>
            </w:tcBorders>
            <w:vAlign w:val="center"/>
          </w:tcPr>
          <w:p w14:paraId="364EF770">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泵故障</w:t>
            </w:r>
          </w:p>
        </w:tc>
        <w:tc>
          <w:tcPr>
            <w:tcW w:w="1403" w:type="pct"/>
            <w:tcBorders>
              <w:top w:val="single" w:color="auto" w:sz="4" w:space="0"/>
              <w:left w:val="single" w:color="auto" w:sz="4" w:space="0"/>
              <w:bottom w:val="single" w:color="auto" w:sz="4" w:space="0"/>
              <w:right w:val="single" w:color="auto" w:sz="4" w:space="0"/>
            </w:tcBorders>
            <w:vAlign w:val="center"/>
          </w:tcPr>
          <w:p w14:paraId="292DAF2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8"/>
                <w:kern w:val="0"/>
                <w:sz w:val="21"/>
                <w:szCs w:val="21"/>
              </w:rPr>
              <w:t>4</w:t>
            </w:r>
            <w:r>
              <w:rPr>
                <w:rFonts w:hint="default" w:ascii="Times New Roman" w:hAnsi="Times New Roman" w:eastAsia="宋体" w:cs="Times New Roman"/>
                <w:snapToGrid w:val="0"/>
                <w:color w:val="auto"/>
                <w:spacing w:val="-4"/>
                <w:kern w:val="0"/>
                <w:sz w:val="21"/>
                <w:szCs w:val="21"/>
              </w:rPr>
              <w:t>.2</w:t>
            </w:r>
            <w:r>
              <w:rPr>
                <w:rFonts w:hint="eastAsia" w:ascii="Times New Roman" w:hAnsi="Times New Roman" w:eastAsia="宋体" w:cs="Times New Roman"/>
                <w:snapToGrid w:val="0"/>
                <w:color w:val="auto"/>
                <w:spacing w:val="-4"/>
                <w:kern w:val="0"/>
                <w:sz w:val="21"/>
                <w:szCs w:val="21"/>
                <w:lang w:val="en-US" w:eastAsia="zh-CN"/>
              </w:rPr>
              <w:t>×</w:t>
            </w:r>
            <w:r>
              <w:rPr>
                <w:rFonts w:hint="default" w:ascii="Times New Roman" w:hAnsi="Times New Roman" w:eastAsia="宋体" w:cs="Times New Roman"/>
                <w:snapToGrid w:val="0"/>
                <w:color w:val="auto"/>
                <w:spacing w:val="-6"/>
                <w:kern w:val="0"/>
                <w:sz w:val="21"/>
                <w:szCs w:val="21"/>
              </w:rPr>
              <w:t>10</w:t>
            </w:r>
            <w:r>
              <w:rPr>
                <w:rFonts w:hint="eastAsia" w:ascii="Times New Roman" w:hAnsi="Times New Roman" w:eastAsia="宋体" w:cs="Times New Roman"/>
                <w:snapToGrid w:val="0"/>
                <w:color w:val="auto"/>
                <w:spacing w:val="-4"/>
                <w:kern w:val="0"/>
                <w:sz w:val="21"/>
                <w:szCs w:val="21"/>
                <w:vertAlign w:val="superscript"/>
                <w:lang w:val="en-US" w:eastAsia="zh-CN"/>
              </w:rPr>
              <w:t>-</w:t>
            </w:r>
            <w:r>
              <w:rPr>
                <w:rFonts w:hint="eastAsia" w:cs="Times New Roman"/>
                <w:snapToGrid w:val="0"/>
                <w:color w:val="auto"/>
                <w:spacing w:val="-4"/>
                <w:kern w:val="0"/>
                <w:sz w:val="21"/>
                <w:szCs w:val="21"/>
                <w:vertAlign w:val="superscript"/>
                <w:lang w:val="en-US" w:eastAsia="zh-CN"/>
              </w:rPr>
              <w:t>3</w:t>
            </w:r>
          </w:p>
        </w:tc>
        <w:tc>
          <w:tcPr>
            <w:tcW w:w="1293" w:type="pct"/>
            <w:tcBorders>
              <w:top w:val="single" w:color="auto" w:sz="4" w:space="0"/>
              <w:left w:val="single" w:color="auto" w:sz="4" w:space="0"/>
              <w:bottom w:val="single" w:color="auto" w:sz="4" w:space="0"/>
              <w:right w:val="single" w:color="auto" w:sz="4" w:space="0"/>
            </w:tcBorders>
            <w:vAlign w:val="center"/>
          </w:tcPr>
          <w:p w14:paraId="076CC35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6"/>
                <w:kern w:val="0"/>
                <w:sz w:val="21"/>
                <w:szCs w:val="21"/>
              </w:rPr>
              <w:t>7</w:t>
            </w:r>
            <w:r>
              <w:rPr>
                <w:rFonts w:hint="default" w:ascii="Times New Roman" w:hAnsi="Times New Roman" w:eastAsia="宋体" w:cs="Times New Roman"/>
                <w:snapToGrid w:val="0"/>
                <w:color w:val="auto"/>
                <w:spacing w:val="-5"/>
                <w:kern w:val="0"/>
                <w:sz w:val="21"/>
                <w:szCs w:val="21"/>
              </w:rPr>
              <w:t>.7</w:t>
            </w:r>
          </w:p>
        </w:tc>
      </w:tr>
      <w:tr w14:paraId="37FC37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1003" w:type="pct"/>
            <w:tcBorders>
              <w:top w:val="single" w:color="auto" w:sz="4" w:space="0"/>
              <w:left w:val="single" w:color="auto" w:sz="4" w:space="0"/>
              <w:bottom w:val="single" w:color="auto" w:sz="4" w:space="0"/>
              <w:right w:val="single" w:color="auto" w:sz="4" w:space="0"/>
            </w:tcBorders>
            <w:vAlign w:val="center"/>
          </w:tcPr>
          <w:p w14:paraId="4CA6BD6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5</w:t>
            </w:r>
          </w:p>
        </w:tc>
        <w:tc>
          <w:tcPr>
            <w:tcW w:w="1299" w:type="pct"/>
            <w:tcBorders>
              <w:top w:val="single" w:color="auto" w:sz="4" w:space="0"/>
              <w:left w:val="single" w:color="auto" w:sz="4" w:space="0"/>
              <w:bottom w:val="single" w:color="auto" w:sz="4" w:space="0"/>
              <w:right w:val="single" w:color="auto" w:sz="4" w:space="0"/>
            </w:tcBorders>
            <w:vAlign w:val="center"/>
          </w:tcPr>
          <w:p w14:paraId="1AF4ACDD">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人为事故</w:t>
            </w:r>
          </w:p>
        </w:tc>
        <w:tc>
          <w:tcPr>
            <w:tcW w:w="1403" w:type="pct"/>
            <w:tcBorders>
              <w:top w:val="single" w:color="auto" w:sz="4" w:space="0"/>
              <w:left w:val="single" w:color="auto" w:sz="4" w:space="0"/>
              <w:bottom w:val="single" w:color="auto" w:sz="4" w:space="0"/>
              <w:right w:val="single" w:color="auto" w:sz="4" w:space="0"/>
            </w:tcBorders>
            <w:vAlign w:val="center"/>
          </w:tcPr>
          <w:p w14:paraId="2742263C">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6"/>
                <w:kern w:val="0"/>
                <w:sz w:val="21"/>
                <w:szCs w:val="21"/>
              </w:rPr>
              <w:t>8.3</w:t>
            </w:r>
            <w:r>
              <w:rPr>
                <w:rFonts w:hint="eastAsia" w:ascii="Times New Roman" w:hAnsi="Times New Roman" w:eastAsia="宋体" w:cs="Times New Roman"/>
                <w:snapToGrid w:val="0"/>
                <w:color w:val="auto"/>
                <w:spacing w:val="-4"/>
                <w:kern w:val="0"/>
                <w:sz w:val="21"/>
                <w:szCs w:val="21"/>
                <w:lang w:val="en-US" w:eastAsia="zh-CN"/>
              </w:rPr>
              <w:t>×</w:t>
            </w:r>
            <w:r>
              <w:rPr>
                <w:rFonts w:hint="default" w:ascii="Times New Roman" w:hAnsi="Times New Roman" w:eastAsia="宋体" w:cs="Times New Roman"/>
                <w:snapToGrid w:val="0"/>
                <w:color w:val="auto"/>
                <w:spacing w:val="-6"/>
                <w:kern w:val="0"/>
                <w:sz w:val="21"/>
                <w:szCs w:val="21"/>
              </w:rPr>
              <w:t>10</w:t>
            </w:r>
            <w:r>
              <w:rPr>
                <w:rFonts w:hint="eastAsia" w:ascii="Times New Roman" w:hAnsi="Times New Roman" w:eastAsia="宋体" w:cs="Times New Roman"/>
                <w:snapToGrid w:val="0"/>
                <w:color w:val="auto"/>
                <w:spacing w:val="-4"/>
                <w:kern w:val="0"/>
                <w:sz w:val="21"/>
                <w:szCs w:val="21"/>
                <w:vertAlign w:val="superscript"/>
                <w:lang w:val="en-US" w:eastAsia="zh-CN"/>
              </w:rPr>
              <w:t>-</w:t>
            </w:r>
            <w:r>
              <w:rPr>
                <w:rFonts w:hint="eastAsia" w:cs="Times New Roman"/>
                <w:snapToGrid w:val="0"/>
                <w:color w:val="auto"/>
                <w:spacing w:val="-4"/>
                <w:kern w:val="0"/>
                <w:sz w:val="21"/>
                <w:szCs w:val="21"/>
                <w:vertAlign w:val="superscript"/>
                <w:lang w:val="en-US" w:eastAsia="zh-CN"/>
              </w:rPr>
              <w:t>3</w:t>
            </w:r>
          </w:p>
        </w:tc>
        <w:tc>
          <w:tcPr>
            <w:tcW w:w="1293" w:type="pct"/>
            <w:tcBorders>
              <w:top w:val="single" w:color="auto" w:sz="4" w:space="0"/>
              <w:left w:val="single" w:color="auto" w:sz="4" w:space="0"/>
              <w:bottom w:val="single" w:color="auto" w:sz="4" w:space="0"/>
              <w:right w:val="single" w:color="auto" w:sz="4" w:space="0"/>
            </w:tcBorders>
            <w:vAlign w:val="center"/>
          </w:tcPr>
          <w:p w14:paraId="3FB2BBB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0"/>
                <w:kern w:val="0"/>
                <w:sz w:val="21"/>
                <w:szCs w:val="21"/>
              </w:rPr>
              <w:t>1</w:t>
            </w:r>
            <w:r>
              <w:rPr>
                <w:rFonts w:hint="default" w:ascii="Times New Roman" w:hAnsi="Times New Roman" w:eastAsia="宋体" w:cs="Times New Roman"/>
                <w:snapToGrid w:val="0"/>
                <w:color w:val="auto"/>
                <w:spacing w:val="-9"/>
                <w:kern w:val="0"/>
                <w:sz w:val="21"/>
                <w:szCs w:val="21"/>
              </w:rPr>
              <w:t>5.4</w:t>
            </w:r>
          </w:p>
        </w:tc>
      </w:tr>
      <w:tr w14:paraId="7F9E18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8" w:hRule="atLeast"/>
        </w:trPr>
        <w:tc>
          <w:tcPr>
            <w:tcW w:w="2303" w:type="pct"/>
            <w:gridSpan w:val="2"/>
            <w:tcBorders>
              <w:top w:val="single" w:color="auto" w:sz="4" w:space="0"/>
              <w:left w:val="single" w:color="auto" w:sz="4" w:space="0"/>
              <w:bottom w:val="single" w:color="auto" w:sz="4" w:space="0"/>
              <w:right w:val="single" w:color="auto" w:sz="4" w:space="0"/>
            </w:tcBorders>
            <w:vAlign w:val="center"/>
          </w:tcPr>
          <w:p w14:paraId="2AEA3907">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合计</w:t>
            </w:r>
          </w:p>
        </w:tc>
        <w:tc>
          <w:tcPr>
            <w:tcW w:w="1403" w:type="pct"/>
            <w:tcBorders>
              <w:top w:val="single" w:color="auto" w:sz="4" w:space="0"/>
              <w:left w:val="single" w:color="auto" w:sz="4" w:space="0"/>
              <w:bottom w:val="single" w:color="auto" w:sz="4" w:space="0"/>
              <w:right w:val="single" w:color="auto" w:sz="4" w:space="0"/>
            </w:tcBorders>
            <w:vAlign w:val="center"/>
          </w:tcPr>
          <w:p w14:paraId="7E9108E5">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6"/>
                <w:kern w:val="0"/>
                <w:sz w:val="21"/>
                <w:szCs w:val="21"/>
              </w:rPr>
              <w:t>5.41</w:t>
            </w:r>
            <w:r>
              <w:rPr>
                <w:rFonts w:hint="eastAsia" w:ascii="Times New Roman" w:hAnsi="Times New Roman" w:eastAsia="宋体" w:cs="Times New Roman"/>
                <w:snapToGrid w:val="0"/>
                <w:color w:val="auto"/>
                <w:spacing w:val="-4"/>
                <w:kern w:val="0"/>
                <w:sz w:val="21"/>
                <w:szCs w:val="21"/>
                <w:lang w:val="en-US" w:eastAsia="zh-CN"/>
              </w:rPr>
              <w:t>×</w:t>
            </w:r>
            <w:r>
              <w:rPr>
                <w:rFonts w:hint="default" w:ascii="Times New Roman" w:hAnsi="Times New Roman" w:eastAsia="宋体" w:cs="Times New Roman"/>
                <w:snapToGrid w:val="0"/>
                <w:color w:val="auto"/>
                <w:spacing w:val="-6"/>
                <w:kern w:val="0"/>
                <w:sz w:val="21"/>
                <w:szCs w:val="21"/>
              </w:rPr>
              <w:t>10</w:t>
            </w:r>
            <w:r>
              <w:rPr>
                <w:rFonts w:hint="eastAsia" w:ascii="Times New Roman" w:hAnsi="Times New Roman" w:eastAsia="宋体" w:cs="Times New Roman"/>
                <w:snapToGrid w:val="0"/>
                <w:color w:val="auto"/>
                <w:spacing w:val="-4"/>
                <w:kern w:val="0"/>
                <w:sz w:val="21"/>
                <w:szCs w:val="21"/>
                <w:vertAlign w:val="superscript"/>
                <w:lang w:val="en-US" w:eastAsia="zh-CN"/>
              </w:rPr>
              <w:t>-</w:t>
            </w:r>
            <w:r>
              <w:rPr>
                <w:rFonts w:hint="eastAsia" w:cs="Times New Roman"/>
                <w:snapToGrid w:val="0"/>
                <w:color w:val="auto"/>
                <w:spacing w:val="-4"/>
                <w:kern w:val="0"/>
                <w:sz w:val="21"/>
                <w:szCs w:val="21"/>
                <w:vertAlign w:val="superscript"/>
                <w:lang w:val="en-US" w:eastAsia="zh-CN"/>
              </w:rPr>
              <w:t>2</w:t>
            </w:r>
          </w:p>
        </w:tc>
        <w:tc>
          <w:tcPr>
            <w:tcW w:w="1293" w:type="pct"/>
            <w:tcBorders>
              <w:top w:val="single" w:color="auto" w:sz="4" w:space="0"/>
              <w:left w:val="single" w:color="auto" w:sz="4" w:space="0"/>
              <w:bottom w:val="single" w:color="auto" w:sz="4" w:space="0"/>
              <w:right w:val="single" w:color="auto" w:sz="4" w:space="0"/>
            </w:tcBorders>
            <w:vAlign w:val="center"/>
          </w:tcPr>
          <w:p w14:paraId="5F8FFF4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auto"/>
                <w:kern w:val="0"/>
                <w:sz w:val="21"/>
                <w:szCs w:val="21"/>
              </w:rPr>
            </w:pPr>
            <w:r>
              <w:rPr>
                <w:rFonts w:hint="default" w:ascii="Times New Roman" w:hAnsi="Times New Roman" w:eastAsia="宋体" w:cs="Times New Roman"/>
                <w:snapToGrid w:val="0"/>
                <w:color w:val="auto"/>
                <w:spacing w:val="-11"/>
                <w:kern w:val="0"/>
                <w:sz w:val="21"/>
                <w:szCs w:val="21"/>
              </w:rPr>
              <w:t>1</w:t>
            </w:r>
            <w:r>
              <w:rPr>
                <w:rFonts w:hint="default" w:ascii="Times New Roman" w:hAnsi="Times New Roman" w:eastAsia="宋体" w:cs="Times New Roman"/>
                <w:snapToGrid w:val="0"/>
                <w:color w:val="auto"/>
                <w:spacing w:val="-9"/>
                <w:kern w:val="0"/>
                <w:sz w:val="21"/>
                <w:szCs w:val="21"/>
              </w:rPr>
              <w:t>00</w:t>
            </w:r>
          </w:p>
        </w:tc>
      </w:tr>
    </w:tbl>
    <w:p w14:paraId="2BF0F07E">
      <w:pPr>
        <w:widowControl/>
        <w:adjustRightInd w:val="0"/>
        <w:snapToGrid w:val="0"/>
        <w:spacing w:line="360" w:lineRule="auto"/>
        <w:ind w:firstLine="480" w:firstLineChars="200"/>
        <w:jc w:val="both"/>
        <w:rPr>
          <w:rFonts w:hint="default" w:cs="宋体"/>
          <w:color w:val="auto"/>
          <w:kern w:val="0"/>
          <w:sz w:val="24"/>
          <w:szCs w:val="20"/>
          <w:lang w:val="en-US" w:eastAsia="zh-CN"/>
        </w:rPr>
      </w:pPr>
      <w:r>
        <w:rPr>
          <w:rFonts w:hint="default" w:cs="宋体"/>
          <w:color w:val="auto"/>
          <w:kern w:val="0"/>
          <w:sz w:val="24"/>
          <w:szCs w:val="20"/>
          <w:lang w:val="en-US" w:eastAsia="zh-CN"/>
        </w:rPr>
        <w:t>参照国际上和国内先进化工企业，泄漏事故概率统计调查分析，此类事故发生概率国外先进的化工企业为0.0541次/年，而国内较先进的化工企业约为0.2~0.4次/年。</w:t>
      </w:r>
    </w:p>
    <w:p w14:paraId="03AAF9ED">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eastAsia" w:ascii="Times New Roman" w:hAnsi="Times New Roman" w:eastAsia="宋体" w:cs="Times New Roman"/>
          <w:b w:val="0"/>
          <w:color w:val="auto"/>
          <w:kern w:val="2"/>
          <w:sz w:val="28"/>
          <w:szCs w:val="24"/>
          <w:lang w:val="en-US" w:eastAsia="zh-CN" w:bidi="ar-SA"/>
        </w:rPr>
      </w:pPr>
      <w:bookmarkStart w:id="15" w:name="_Toc29004"/>
      <w:bookmarkStart w:id="16" w:name="_Toc4335"/>
      <w:r>
        <w:rPr>
          <w:rFonts w:hint="eastAsia" w:ascii="Times New Roman" w:hAnsi="Times New Roman" w:eastAsia="宋体" w:cs="Times New Roman"/>
          <w:b w:val="0"/>
          <w:color w:val="auto"/>
          <w:kern w:val="2"/>
          <w:sz w:val="28"/>
          <w:szCs w:val="24"/>
          <w:lang w:val="en-US" w:eastAsia="zh-CN" w:bidi="ar-SA"/>
        </w:rPr>
        <w:t>最大可信事故</w:t>
      </w:r>
      <w:bookmarkEnd w:id="15"/>
      <w:bookmarkEnd w:id="16"/>
      <w:r>
        <w:rPr>
          <w:rFonts w:hint="eastAsia" w:ascii="Times New Roman" w:hAnsi="Times New Roman" w:eastAsia="宋体" w:cs="Times New Roman"/>
          <w:b w:val="0"/>
          <w:color w:val="auto"/>
          <w:kern w:val="2"/>
          <w:sz w:val="28"/>
          <w:szCs w:val="24"/>
          <w:lang w:val="en-US" w:eastAsia="zh-CN" w:bidi="ar-SA"/>
        </w:rPr>
        <w:t xml:space="preserve"> </w:t>
      </w:r>
    </w:p>
    <w:p w14:paraId="3287AE45">
      <w:pPr>
        <w:widowControl/>
        <w:bidi w:val="0"/>
        <w:adjustRightInd w:val="0"/>
        <w:snapToGrid w:val="0"/>
        <w:spacing w:line="360" w:lineRule="auto"/>
        <w:ind w:firstLine="480" w:firstLineChars="200"/>
        <w:jc w:val="left"/>
        <w:rPr>
          <w:rFonts w:cs="宋体"/>
          <w:color w:val="auto"/>
          <w:kern w:val="0"/>
          <w:sz w:val="24"/>
          <w:szCs w:val="20"/>
        </w:rPr>
      </w:pPr>
      <w:r>
        <w:rPr>
          <w:rFonts w:cs="宋体"/>
          <w:color w:val="auto"/>
          <w:kern w:val="0"/>
          <w:sz w:val="24"/>
          <w:szCs w:val="20"/>
        </w:rPr>
        <w:t>根据《建设项目环境风险评价技术导则》(HJ 169-2018)，最大可信事故的定义为基于经验统计分析，在一定可能性区间内发生的事故中，造成环境危害最严重的事故。</w:t>
      </w:r>
    </w:p>
    <w:p w14:paraId="4DBACA5A">
      <w:pPr>
        <w:keepNext w:val="0"/>
        <w:keepLines w:val="0"/>
        <w:pageBreakBefore w:val="0"/>
        <w:widowControl w:val="0"/>
        <w:numPr>
          <w:ilvl w:val="3"/>
          <w:numId w:val="3"/>
        </w:numPr>
        <w:tabs>
          <w:tab w:val="left" w:pos="1086"/>
          <w:tab w:val="left" w:pos="1374"/>
        </w:tabs>
        <w:kinsoku/>
        <w:wordWrap/>
        <w:overflowPunct/>
        <w:topLinePunct w:val="0"/>
        <w:autoSpaceDE/>
        <w:autoSpaceDN/>
        <w:bidi w:val="0"/>
        <w:adjustRightInd/>
        <w:snapToGrid w:val="0"/>
        <w:spacing w:line="360" w:lineRule="auto"/>
        <w:ind w:left="1372" w:leftChars="0" w:hanging="862" w:firstLineChars="0"/>
        <w:jc w:val="both"/>
        <w:textAlignment w:val="auto"/>
        <w:outlineLvl w:val="2"/>
        <w:rPr>
          <w:rFonts w:hint="eastAsia" w:ascii="Times New Roman" w:hAnsi="Times New Roman" w:eastAsia="宋体" w:cs="Times New Roman"/>
          <w:b w:val="0"/>
          <w:color w:val="auto"/>
          <w:kern w:val="2"/>
          <w:sz w:val="24"/>
          <w:szCs w:val="24"/>
          <w:lang w:val="en-US" w:eastAsia="zh-CN" w:bidi="ar-SA"/>
        </w:rPr>
      </w:pPr>
      <w:r>
        <w:rPr>
          <w:rFonts w:hint="eastAsia" w:ascii="Times New Roman" w:hAnsi="Times New Roman" w:eastAsia="宋体" w:cs="Times New Roman"/>
          <w:b w:val="0"/>
          <w:color w:val="auto"/>
          <w:kern w:val="2"/>
          <w:sz w:val="24"/>
          <w:szCs w:val="24"/>
          <w:lang w:val="en-US" w:eastAsia="zh-CN" w:bidi="ar-SA"/>
        </w:rPr>
        <w:t xml:space="preserve">最大可信事故判定 </w:t>
      </w:r>
    </w:p>
    <w:p w14:paraId="6EABD80E">
      <w:pPr>
        <w:widowControl w:val="0"/>
        <w:adjustRightInd/>
        <w:snapToGrid/>
        <w:spacing w:line="360" w:lineRule="auto"/>
        <w:ind w:firstLine="480" w:firstLineChars="200"/>
        <w:jc w:val="both"/>
        <w:rPr>
          <w:rFonts w:cs="Times New Roman"/>
          <w:color w:val="auto"/>
          <w:kern w:val="2"/>
          <w:sz w:val="24"/>
          <w:szCs w:val="22"/>
        </w:rPr>
      </w:pPr>
      <w:r>
        <w:rPr>
          <w:rFonts w:hint="eastAsia" w:cs="Times New Roman"/>
          <w:color w:val="auto"/>
          <w:kern w:val="2"/>
          <w:sz w:val="24"/>
          <w:szCs w:val="22"/>
        </w:rPr>
        <w:t xml:space="preserve">根据物质危险性分析、重大危险源辨识，以及国内外风险事故的调查分析，本项目主要风险事故为火灾、爆炸及有毒有害物质泄漏。根据对本项目周围环境敏感点的调查，在风险事故中潜在环境影响因素主要为，火灾爆炸可能造成携带物料的消防水污染地表水，有毒有害的液体泄漏可能对地下水造成影响，有害的液体泄漏并挥发及有毒有害气体泄漏可能对环境空气造成重大影响。事故出现几率大的设备主要是阀门管线和罐区，本项目最大可信事故为储罐区发生泄露引发的环境污染事故。 </w:t>
      </w:r>
    </w:p>
    <w:p w14:paraId="14C6F102">
      <w:pPr>
        <w:keepNext w:val="0"/>
        <w:keepLines w:val="0"/>
        <w:pageBreakBefore w:val="0"/>
        <w:widowControl w:val="0"/>
        <w:numPr>
          <w:ilvl w:val="3"/>
          <w:numId w:val="3"/>
        </w:numPr>
        <w:tabs>
          <w:tab w:val="left" w:pos="1086"/>
          <w:tab w:val="left" w:pos="1374"/>
        </w:tabs>
        <w:kinsoku/>
        <w:wordWrap/>
        <w:overflowPunct/>
        <w:topLinePunct w:val="0"/>
        <w:autoSpaceDE/>
        <w:autoSpaceDN/>
        <w:bidi w:val="0"/>
        <w:adjustRightInd/>
        <w:snapToGrid w:val="0"/>
        <w:spacing w:line="360" w:lineRule="auto"/>
        <w:ind w:left="1372" w:leftChars="0" w:hanging="862" w:firstLineChars="0"/>
        <w:jc w:val="both"/>
        <w:textAlignment w:val="auto"/>
        <w:outlineLvl w:val="2"/>
        <w:rPr>
          <w:rFonts w:hint="eastAsia" w:ascii="Times New Roman" w:hAnsi="Times New Roman" w:eastAsia="宋体" w:cs="Times New Roman"/>
          <w:b w:val="0"/>
          <w:color w:val="auto"/>
          <w:kern w:val="2"/>
          <w:sz w:val="24"/>
          <w:szCs w:val="24"/>
          <w:lang w:val="en-US" w:eastAsia="zh-CN" w:bidi="ar-SA"/>
        </w:rPr>
      </w:pPr>
      <w:r>
        <w:rPr>
          <w:rFonts w:hint="eastAsia" w:ascii="Times New Roman" w:hAnsi="Times New Roman" w:eastAsia="宋体" w:cs="Times New Roman"/>
          <w:b w:val="0"/>
          <w:color w:val="auto"/>
          <w:kern w:val="2"/>
          <w:sz w:val="24"/>
          <w:szCs w:val="24"/>
          <w:lang w:val="en-US" w:eastAsia="zh-CN" w:bidi="ar-SA"/>
        </w:rPr>
        <w:t xml:space="preserve">最大可信事故概率 </w:t>
      </w:r>
    </w:p>
    <w:p w14:paraId="480C9473">
      <w:pPr>
        <w:widowControl w:val="0"/>
        <w:adjustRightInd/>
        <w:snapToGrid/>
        <w:spacing w:line="360" w:lineRule="auto"/>
        <w:ind w:firstLine="480" w:firstLineChars="200"/>
        <w:jc w:val="both"/>
        <w:rPr>
          <w:rFonts w:cs="Times New Roman"/>
          <w:color w:val="auto"/>
          <w:kern w:val="2"/>
          <w:sz w:val="24"/>
          <w:szCs w:val="22"/>
        </w:rPr>
      </w:pPr>
      <w:r>
        <w:rPr>
          <w:rFonts w:hint="eastAsia" w:cs="Times New Roman"/>
          <w:color w:val="auto"/>
          <w:kern w:val="2"/>
          <w:sz w:val="24"/>
          <w:szCs w:val="22"/>
        </w:rPr>
        <w:t>风险的含义包括了风险事故的发生概率和事故后果的危害两方面的内容。企业事故单元所造成的不同程度事故的发生概率和对策见表</w:t>
      </w:r>
      <w:r>
        <w:rPr>
          <w:rFonts w:hint="eastAsia" w:cs="Times New Roman"/>
          <w:color w:val="auto"/>
          <w:kern w:val="2"/>
          <w:sz w:val="24"/>
          <w:szCs w:val="22"/>
          <w:lang w:val="en-US" w:eastAsia="zh-CN"/>
        </w:rPr>
        <w:t>3.</w:t>
      </w:r>
      <w:r>
        <w:rPr>
          <w:rFonts w:hint="eastAsia" w:cs="Times New Roman"/>
          <w:color w:val="auto"/>
          <w:kern w:val="2"/>
          <w:sz w:val="24"/>
          <w:szCs w:val="22"/>
        </w:rPr>
        <w:t>；对于工业活动，采用人员伤亡风险为风险评价的评价标准。</w:t>
      </w:r>
    </w:p>
    <w:p w14:paraId="74AA1BA3">
      <w:pPr>
        <w:widowControl w:val="0"/>
        <w:adjustRightInd/>
        <w:snapToGrid/>
        <w:spacing w:line="360" w:lineRule="auto"/>
        <w:ind w:firstLine="480" w:firstLineChars="200"/>
        <w:jc w:val="both"/>
        <w:rPr>
          <w:rFonts w:cs="Times New Roman"/>
          <w:color w:val="auto"/>
          <w:kern w:val="2"/>
          <w:sz w:val="24"/>
          <w:szCs w:val="22"/>
        </w:rPr>
      </w:pPr>
      <w:bookmarkStart w:id="17" w:name="_Toc9069"/>
      <w:bookmarkStart w:id="18" w:name="_Toc12259"/>
      <w:r>
        <w:rPr>
          <w:rFonts w:hint="eastAsia" w:cs="Times New Roman"/>
          <w:color w:val="auto"/>
          <w:kern w:val="2"/>
          <w:sz w:val="24"/>
          <w:szCs w:val="22"/>
        </w:rPr>
        <w:t>储罐、管道发生泄漏性事故概率一般10</w:t>
      </w:r>
      <w:r>
        <w:rPr>
          <w:rFonts w:hint="eastAsia" w:cs="Times New Roman"/>
          <w:color w:val="auto"/>
          <w:kern w:val="2"/>
          <w:sz w:val="24"/>
          <w:szCs w:val="22"/>
          <w:vertAlign w:val="superscript"/>
        </w:rPr>
        <w:t>-3</w:t>
      </w:r>
      <w:r>
        <w:rPr>
          <w:rFonts w:hint="eastAsia" w:cs="Times New Roman"/>
          <w:color w:val="auto"/>
          <w:kern w:val="2"/>
          <w:sz w:val="24"/>
          <w:szCs w:val="22"/>
        </w:rPr>
        <w:t>至10</w:t>
      </w:r>
      <w:r>
        <w:rPr>
          <w:rFonts w:hint="eastAsia" w:cs="Times New Roman"/>
          <w:color w:val="auto"/>
          <w:kern w:val="2"/>
          <w:sz w:val="24"/>
          <w:szCs w:val="22"/>
          <w:vertAlign w:val="superscript"/>
        </w:rPr>
        <w:t>-4</w:t>
      </w:r>
      <w:r>
        <w:rPr>
          <w:rFonts w:hint="eastAsia" w:cs="Times New Roman"/>
          <w:color w:val="auto"/>
          <w:kern w:val="2"/>
          <w:sz w:val="24"/>
          <w:szCs w:val="22"/>
        </w:rPr>
        <w:t>数量级。据资料统计，国内储罐物料泄漏的事故概率在0.5~1×10</w:t>
      </w:r>
      <w:r>
        <w:rPr>
          <w:rFonts w:hint="eastAsia" w:cs="Times New Roman"/>
          <w:color w:val="auto"/>
          <w:kern w:val="2"/>
          <w:sz w:val="24"/>
          <w:szCs w:val="22"/>
          <w:vertAlign w:val="superscript"/>
        </w:rPr>
        <w:t>-4</w:t>
      </w:r>
      <w:r>
        <w:rPr>
          <w:rFonts w:hint="eastAsia" w:cs="Times New Roman"/>
          <w:color w:val="auto"/>
          <w:kern w:val="2"/>
          <w:sz w:val="24"/>
          <w:szCs w:val="22"/>
        </w:rPr>
        <w:t>。</w:t>
      </w:r>
      <w:bookmarkEnd w:id="17"/>
      <w:bookmarkEnd w:id="18"/>
    </w:p>
    <w:p w14:paraId="5819AC7C">
      <w:pPr>
        <w:widowControl w:val="0"/>
        <w:adjustRightInd/>
        <w:snapToGrid/>
        <w:spacing w:line="360" w:lineRule="auto"/>
        <w:ind w:firstLine="480" w:firstLineChars="200"/>
        <w:jc w:val="both"/>
        <w:rPr>
          <w:rFonts w:hint="default" w:ascii="Times New Roman" w:hAnsi="Times New Roman" w:cs="Times New Roman"/>
          <w:color w:val="auto"/>
          <w:kern w:val="2"/>
          <w:sz w:val="24"/>
          <w:szCs w:val="22"/>
        </w:rPr>
      </w:pPr>
      <w:bookmarkStart w:id="19" w:name="_Toc7629"/>
      <w:bookmarkStart w:id="20" w:name="_Toc9408"/>
      <w:r>
        <w:rPr>
          <w:rFonts w:hint="default" w:ascii="Times New Roman" w:hAnsi="Times New Roman" w:cs="Times New Roman"/>
          <w:color w:val="auto"/>
          <w:kern w:val="2"/>
          <w:sz w:val="24"/>
          <w:szCs w:val="22"/>
        </w:rPr>
        <w:t>通过以上类比分析，企业最大可信事故为涉及危险物质的装置或储罐的物料泄漏、涉及危险物质的装置或储罐在发生火灾爆炸事故时导致的伴生/次生污染物(如未燃烧完全的泄漏物、次生污染物CO等)对周围环境的影响，具体最大可信事故情形见表</w:t>
      </w:r>
      <w:r>
        <w:rPr>
          <w:rFonts w:hint="eastAsia" w:cs="Times New Roman"/>
          <w:color w:val="auto"/>
          <w:kern w:val="2"/>
          <w:sz w:val="24"/>
          <w:szCs w:val="22"/>
          <w:lang w:val="en-US" w:eastAsia="zh-CN"/>
        </w:rPr>
        <w:t>3.1</w:t>
      </w:r>
      <w:r>
        <w:rPr>
          <w:rFonts w:hint="default" w:ascii="Times New Roman" w:hAnsi="Times New Roman" w:cs="Times New Roman"/>
          <w:color w:val="auto"/>
          <w:kern w:val="2"/>
          <w:sz w:val="24"/>
          <w:szCs w:val="22"/>
        </w:rPr>
        <w:t>-</w:t>
      </w:r>
      <w:r>
        <w:rPr>
          <w:rFonts w:hint="eastAsia" w:cs="Times New Roman"/>
          <w:color w:val="auto"/>
          <w:kern w:val="2"/>
          <w:sz w:val="24"/>
          <w:szCs w:val="22"/>
          <w:lang w:val="en-US" w:eastAsia="zh-CN"/>
        </w:rPr>
        <w:t>3</w:t>
      </w:r>
      <w:r>
        <w:rPr>
          <w:rFonts w:hint="default" w:ascii="Times New Roman" w:hAnsi="Times New Roman" w:cs="Times New Roman"/>
          <w:color w:val="auto"/>
          <w:kern w:val="2"/>
          <w:sz w:val="24"/>
          <w:szCs w:val="22"/>
        </w:rPr>
        <w:t>。</w:t>
      </w:r>
    </w:p>
    <w:p w14:paraId="45837949">
      <w:pPr>
        <w:widowControl/>
        <w:adjustRightInd/>
        <w:snapToGrid/>
        <w:spacing w:line="360" w:lineRule="auto"/>
        <w:ind w:firstLine="482" w:firstLineChars="200"/>
        <w:jc w:val="center"/>
        <w:rPr>
          <w:rFonts w:hint="default" w:ascii="Times New Roman" w:hAnsi="Times New Roman" w:cs="Times New Roman"/>
          <w:b/>
          <w:bCs/>
          <w:color w:val="auto"/>
          <w:kern w:val="0"/>
          <w:sz w:val="24"/>
          <w:szCs w:val="24"/>
          <w:lang w:bidi="ar"/>
        </w:rPr>
      </w:pPr>
      <w:r>
        <w:rPr>
          <w:rFonts w:hint="default" w:ascii="Times New Roman" w:hAnsi="Times New Roman" w:cs="Times New Roman"/>
          <w:b/>
          <w:bCs/>
          <w:color w:val="auto"/>
          <w:kern w:val="0"/>
          <w:sz w:val="24"/>
          <w:szCs w:val="24"/>
          <w:lang w:bidi="ar"/>
        </w:rPr>
        <w:t>表</w:t>
      </w:r>
      <w:r>
        <w:rPr>
          <w:rFonts w:hint="eastAsia" w:cs="Times New Roman"/>
          <w:b/>
          <w:bCs/>
          <w:color w:val="auto"/>
          <w:kern w:val="0"/>
          <w:sz w:val="24"/>
          <w:szCs w:val="24"/>
          <w:lang w:val="en-US" w:eastAsia="zh-CN" w:bidi="ar"/>
        </w:rPr>
        <w:t>3.1</w:t>
      </w:r>
      <w:r>
        <w:rPr>
          <w:rFonts w:hint="default" w:ascii="Times New Roman" w:hAnsi="Times New Roman" w:cs="Times New Roman"/>
          <w:b/>
          <w:bCs/>
          <w:color w:val="auto"/>
          <w:kern w:val="0"/>
          <w:sz w:val="24"/>
          <w:szCs w:val="24"/>
          <w:lang w:val="en-US" w:eastAsia="zh-CN" w:bidi="ar"/>
        </w:rPr>
        <w:t>-</w:t>
      </w:r>
      <w:r>
        <w:rPr>
          <w:rFonts w:hint="eastAsia" w:cs="Times New Roman"/>
          <w:b/>
          <w:bCs/>
          <w:color w:val="auto"/>
          <w:kern w:val="0"/>
          <w:sz w:val="24"/>
          <w:szCs w:val="24"/>
          <w:lang w:val="en-US" w:eastAsia="zh-CN" w:bidi="ar"/>
        </w:rPr>
        <w:t>3</w:t>
      </w:r>
      <w:r>
        <w:rPr>
          <w:rFonts w:hint="default" w:ascii="Times New Roman" w:hAnsi="Times New Roman" w:cs="Times New Roman"/>
          <w:b/>
          <w:bCs/>
          <w:color w:val="auto"/>
          <w:kern w:val="0"/>
          <w:sz w:val="24"/>
          <w:szCs w:val="24"/>
          <w:lang w:bidi="ar"/>
        </w:rPr>
        <w:t xml:space="preserve">   最大可信事故情形汇总表</w:t>
      </w:r>
    </w:p>
    <w:tbl>
      <w:tblPr>
        <w:tblStyle w:val="84"/>
        <w:tblW w:w="5133"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29"/>
        <w:gridCol w:w="943"/>
        <w:gridCol w:w="938"/>
        <w:gridCol w:w="938"/>
        <w:gridCol w:w="1203"/>
        <w:gridCol w:w="2158"/>
        <w:gridCol w:w="1845"/>
      </w:tblGrid>
      <w:tr w14:paraId="14EDF2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8" w:hRule="atLeast"/>
        </w:trPr>
        <w:tc>
          <w:tcPr>
            <w:tcW w:w="309" w:type="pct"/>
            <w:tcBorders>
              <w:left w:val="single" w:color="000000" w:sz="10" w:space="0"/>
            </w:tcBorders>
            <w:vAlign w:val="center"/>
          </w:tcPr>
          <w:p w14:paraId="54F4CC14">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序号</w:t>
            </w:r>
          </w:p>
        </w:tc>
        <w:tc>
          <w:tcPr>
            <w:tcW w:w="551" w:type="pct"/>
            <w:vAlign w:val="center"/>
          </w:tcPr>
          <w:p w14:paraId="2D494A10">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风险类型</w:t>
            </w:r>
          </w:p>
        </w:tc>
        <w:tc>
          <w:tcPr>
            <w:tcW w:w="548" w:type="pct"/>
            <w:vAlign w:val="center"/>
          </w:tcPr>
          <w:p w14:paraId="66CDD7F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风险源</w:t>
            </w:r>
          </w:p>
        </w:tc>
        <w:tc>
          <w:tcPr>
            <w:tcW w:w="548" w:type="pct"/>
            <w:vAlign w:val="center"/>
          </w:tcPr>
          <w:p w14:paraId="04E2510F">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危险单元</w:t>
            </w:r>
          </w:p>
        </w:tc>
        <w:tc>
          <w:tcPr>
            <w:tcW w:w="703" w:type="pct"/>
            <w:vAlign w:val="center"/>
          </w:tcPr>
          <w:p w14:paraId="53BA176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主要危险物质</w:t>
            </w:r>
          </w:p>
        </w:tc>
        <w:tc>
          <w:tcPr>
            <w:tcW w:w="1261" w:type="pct"/>
            <w:vAlign w:val="center"/>
          </w:tcPr>
          <w:p w14:paraId="1DBCE12A">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环境影响途径</w:t>
            </w:r>
          </w:p>
        </w:tc>
        <w:tc>
          <w:tcPr>
            <w:tcW w:w="1078" w:type="pct"/>
            <w:tcBorders>
              <w:right w:val="single" w:color="000000" w:sz="10" w:space="0"/>
            </w:tcBorders>
            <w:vAlign w:val="center"/>
          </w:tcPr>
          <w:p w14:paraId="72659DB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备注</w:t>
            </w:r>
          </w:p>
        </w:tc>
      </w:tr>
      <w:tr w14:paraId="31716F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 w:hRule="atLeast"/>
        </w:trPr>
        <w:tc>
          <w:tcPr>
            <w:tcW w:w="309" w:type="pct"/>
            <w:tcBorders>
              <w:left w:val="single" w:color="000000" w:sz="10" w:space="0"/>
            </w:tcBorders>
            <w:vAlign w:val="center"/>
          </w:tcPr>
          <w:p w14:paraId="5485582F">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1</w:t>
            </w:r>
          </w:p>
        </w:tc>
        <w:tc>
          <w:tcPr>
            <w:tcW w:w="551" w:type="pct"/>
            <w:vAlign w:val="center"/>
          </w:tcPr>
          <w:p w14:paraId="4831EAA0">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物料泄漏</w:t>
            </w:r>
          </w:p>
        </w:tc>
        <w:tc>
          <w:tcPr>
            <w:tcW w:w="548" w:type="pct"/>
            <w:vAlign w:val="center"/>
          </w:tcPr>
          <w:p w14:paraId="09DD8D76">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储罐区</w:t>
            </w:r>
          </w:p>
        </w:tc>
        <w:tc>
          <w:tcPr>
            <w:tcW w:w="548" w:type="pct"/>
            <w:vAlign w:val="center"/>
          </w:tcPr>
          <w:p w14:paraId="3C5BE6C9">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eastAsia" w:ascii="Times New Roman" w:hAnsi="Times New Roman" w:eastAsia="宋体" w:cs="宋体"/>
                <w:color w:val="auto"/>
                <w:sz w:val="21"/>
                <w:szCs w:val="21"/>
                <w:lang w:val="en-US" w:eastAsia="zh-CN" w:bidi="ar-SA"/>
              </w:rPr>
              <w:t>LPG</w:t>
            </w:r>
            <w:r>
              <w:rPr>
                <w:rFonts w:hint="default" w:ascii="Times New Roman" w:hAnsi="Times New Roman" w:eastAsia="宋体" w:cs="宋体"/>
                <w:color w:val="auto"/>
                <w:sz w:val="21"/>
                <w:szCs w:val="21"/>
                <w:lang w:val="en-US" w:eastAsia="zh-CN" w:bidi="ar-SA"/>
              </w:rPr>
              <w:t>储罐</w:t>
            </w:r>
          </w:p>
          <w:p w14:paraId="56419E4C">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eastAsia" w:ascii="Times New Roman" w:hAnsi="Times New Roman" w:eastAsia="宋体" w:cs="宋体"/>
                <w:color w:val="auto"/>
                <w:sz w:val="21"/>
                <w:szCs w:val="21"/>
                <w:lang w:val="en-US" w:eastAsia="zh-CN" w:bidi="ar-SA"/>
              </w:rPr>
              <w:t>丙烷储罐</w:t>
            </w:r>
          </w:p>
        </w:tc>
        <w:tc>
          <w:tcPr>
            <w:tcW w:w="703" w:type="pct"/>
            <w:vAlign w:val="center"/>
          </w:tcPr>
          <w:p w14:paraId="38A6B058">
            <w:pPr>
              <w:bidi w:val="0"/>
              <w:adjustRightInd w:val="0"/>
              <w:snapToGrid w:val="0"/>
              <w:spacing w:line="240" w:lineRule="auto"/>
              <w:ind w:firstLine="0" w:firstLineChars="0"/>
              <w:jc w:val="center"/>
              <w:rPr>
                <w:rFonts w:hint="eastAsia" w:ascii="Times New Roman" w:hAnsi="Times New Roman" w:eastAsia="宋体" w:cs="宋体"/>
                <w:color w:val="auto"/>
                <w:sz w:val="21"/>
                <w:szCs w:val="21"/>
                <w:lang w:val="en-US" w:eastAsia="zh-CN" w:bidi="ar-SA"/>
              </w:rPr>
            </w:pPr>
            <w:r>
              <w:rPr>
                <w:rFonts w:hint="eastAsia" w:ascii="Times New Roman" w:hAnsi="Times New Roman" w:eastAsia="宋体" w:cs="宋体"/>
                <w:color w:val="auto"/>
                <w:sz w:val="21"/>
                <w:szCs w:val="21"/>
                <w:lang w:val="en-US" w:eastAsia="zh-CN" w:bidi="ar-SA"/>
              </w:rPr>
              <w:t>液化石油气</w:t>
            </w:r>
          </w:p>
          <w:p w14:paraId="0D1B696B">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eastAsia" w:ascii="Times New Roman" w:hAnsi="Times New Roman" w:eastAsia="宋体" w:cs="宋体"/>
                <w:color w:val="auto"/>
                <w:sz w:val="21"/>
                <w:szCs w:val="21"/>
                <w:lang w:val="en-US" w:eastAsia="zh-CN" w:bidi="ar-SA"/>
              </w:rPr>
              <w:t>丙烷</w:t>
            </w:r>
          </w:p>
        </w:tc>
        <w:tc>
          <w:tcPr>
            <w:tcW w:w="1261" w:type="pct"/>
            <w:vAlign w:val="center"/>
          </w:tcPr>
          <w:p w14:paraId="279EFB9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大气</w:t>
            </w:r>
          </w:p>
        </w:tc>
        <w:tc>
          <w:tcPr>
            <w:tcW w:w="1078" w:type="pct"/>
            <w:tcBorders>
              <w:right w:val="single" w:color="000000" w:sz="10" w:space="0"/>
            </w:tcBorders>
            <w:vAlign w:val="center"/>
          </w:tcPr>
          <w:p w14:paraId="449BB5E7">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p>
        </w:tc>
      </w:tr>
      <w:tr w14:paraId="6F83A67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3" w:hRule="atLeast"/>
        </w:trPr>
        <w:tc>
          <w:tcPr>
            <w:tcW w:w="309" w:type="pct"/>
            <w:tcBorders>
              <w:left w:val="single" w:color="000000" w:sz="10" w:space="0"/>
            </w:tcBorders>
            <w:vAlign w:val="center"/>
          </w:tcPr>
          <w:p w14:paraId="5AA2ACB4">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eastAsia" w:ascii="Times New Roman" w:hAnsi="Times New Roman" w:eastAsia="宋体" w:cs="宋体"/>
                <w:color w:val="auto"/>
                <w:sz w:val="21"/>
                <w:szCs w:val="21"/>
                <w:lang w:val="en-US" w:eastAsia="zh-CN" w:bidi="ar-SA"/>
              </w:rPr>
              <w:t>2</w:t>
            </w:r>
          </w:p>
        </w:tc>
        <w:tc>
          <w:tcPr>
            <w:tcW w:w="551" w:type="pct"/>
            <w:vAlign w:val="center"/>
          </w:tcPr>
          <w:p w14:paraId="55148FC9">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default" w:ascii="Times New Roman" w:hAnsi="Times New Roman" w:eastAsia="宋体" w:cs="宋体"/>
                <w:color w:val="auto"/>
                <w:sz w:val="21"/>
                <w:szCs w:val="21"/>
                <w:lang w:val="en-US" w:eastAsia="zh-CN" w:bidi="ar-SA"/>
              </w:rPr>
              <w:t>火灾</w:t>
            </w:r>
          </w:p>
        </w:tc>
        <w:tc>
          <w:tcPr>
            <w:tcW w:w="548" w:type="pct"/>
            <w:shd w:val="clear" w:color="auto" w:fill="auto"/>
            <w:vAlign w:val="center"/>
          </w:tcPr>
          <w:p w14:paraId="1EF4DDA7">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default" w:ascii="Times New Roman" w:hAnsi="Times New Roman" w:eastAsia="宋体" w:cs="宋体"/>
                <w:color w:val="auto"/>
                <w:sz w:val="21"/>
                <w:szCs w:val="21"/>
                <w:lang w:val="en-US" w:eastAsia="zh-CN" w:bidi="ar-SA"/>
              </w:rPr>
              <w:t>储罐区</w:t>
            </w:r>
          </w:p>
        </w:tc>
        <w:tc>
          <w:tcPr>
            <w:tcW w:w="548" w:type="pct"/>
            <w:shd w:val="clear" w:color="auto" w:fill="auto"/>
            <w:vAlign w:val="center"/>
          </w:tcPr>
          <w:p w14:paraId="7200C5C8">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eastAsia" w:ascii="Times New Roman" w:hAnsi="Times New Roman" w:eastAsia="宋体" w:cs="宋体"/>
                <w:color w:val="auto"/>
                <w:sz w:val="21"/>
                <w:szCs w:val="21"/>
                <w:lang w:val="en-US" w:eastAsia="zh-CN" w:bidi="ar-SA"/>
              </w:rPr>
              <w:t>LPG</w:t>
            </w:r>
            <w:r>
              <w:rPr>
                <w:rFonts w:hint="default" w:ascii="Times New Roman" w:hAnsi="Times New Roman" w:eastAsia="宋体" w:cs="宋体"/>
                <w:color w:val="auto"/>
                <w:sz w:val="21"/>
                <w:szCs w:val="21"/>
                <w:lang w:val="en-US" w:eastAsia="zh-CN" w:bidi="ar-SA"/>
              </w:rPr>
              <w:t>储罐</w:t>
            </w:r>
          </w:p>
          <w:p w14:paraId="51F67F60">
            <w:pPr>
              <w:bidi w:val="0"/>
              <w:adjustRightInd w:val="0"/>
              <w:snapToGrid w:val="0"/>
              <w:spacing w:line="240" w:lineRule="auto"/>
              <w:ind w:firstLine="0" w:firstLineChars="0"/>
              <w:jc w:val="center"/>
              <w:rPr>
                <w:rFonts w:hint="eastAsia"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 w:val="21"/>
                <w:szCs w:val="21"/>
                <w:lang w:val="en-US" w:eastAsia="zh-CN" w:bidi="ar-SA"/>
              </w:rPr>
              <w:t>丙烷储罐</w:t>
            </w:r>
          </w:p>
        </w:tc>
        <w:tc>
          <w:tcPr>
            <w:tcW w:w="703" w:type="pct"/>
            <w:shd w:val="clear" w:color="auto" w:fill="auto"/>
            <w:vAlign w:val="center"/>
          </w:tcPr>
          <w:p w14:paraId="1E8A2AD6">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eastAsia" w:cs="宋体"/>
                <w:color w:val="auto"/>
                <w:kern w:val="2"/>
                <w:sz w:val="21"/>
                <w:szCs w:val="21"/>
                <w:lang w:val="en-US" w:eastAsia="zh-CN" w:bidi="ar-SA"/>
              </w:rPr>
              <w:t>CO</w:t>
            </w:r>
          </w:p>
        </w:tc>
        <w:tc>
          <w:tcPr>
            <w:tcW w:w="1261" w:type="pct"/>
            <w:shd w:val="clear" w:color="auto" w:fill="auto"/>
            <w:vAlign w:val="center"/>
          </w:tcPr>
          <w:p w14:paraId="0369BA80">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default" w:ascii="Times New Roman" w:hAnsi="Times New Roman" w:eastAsia="宋体" w:cs="宋体"/>
                <w:color w:val="auto"/>
                <w:sz w:val="21"/>
                <w:szCs w:val="21"/>
                <w:lang w:val="en-US" w:eastAsia="zh-CN" w:bidi="ar-SA"/>
              </w:rPr>
              <w:t>大气</w:t>
            </w:r>
          </w:p>
        </w:tc>
        <w:tc>
          <w:tcPr>
            <w:tcW w:w="1078" w:type="pct"/>
            <w:tcBorders>
              <w:right w:val="single" w:color="000000" w:sz="10" w:space="0"/>
            </w:tcBorders>
            <w:shd w:val="clear" w:color="auto" w:fill="auto"/>
            <w:vAlign w:val="center"/>
          </w:tcPr>
          <w:p w14:paraId="4C2018B6">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default" w:ascii="Times New Roman" w:hAnsi="Times New Roman" w:eastAsia="宋体" w:cs="宋体"/>
                <w:color w:val="auto"/>
                <w:sz w:val="21"/>
                <w:szCs w:val="21"/>
                <w:lang w:val="en-US" w:eastAsia="zh-CN" w:bidi="ar-SA"/>
              </w:rPr>
              <w:t>伴生/次生污染物</w:t>
            </w:r>
          </w:p>
        </w:tc>
      </w:tr>
      <w:tr w14:paraId="49CE6C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309" w:type="pct"/>
            <w:vMerge w:val="restart"/>
            <w:tcBorders>
              <w:left w:val="single" w:color="000000" w:sz="10" w:space="0"/>
            </w:tcBorders>
            <w:vAlign w:val="center"/>
          </w:tcPr>
          <w:p w14:paraId="79CE2569">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eastAsia" w:ascii="Times New Roman" w:hAnsi="Times New Roman" w:eastAsia="宋体" w:cs="宋体"/>
                <w:color w:val="auto"/>
                <w:sz w:val="21"/>
                <w:szCs w:val="21"/>
                <w:lang w:val="en-US" w:eastAsia="zh-CN" w:bidi="ar-SA"/>
              </w:rPr>
              <w:t>3</w:t>
            </w:r>
          </w:p>
        </w:tc>
        <w:tc>
          <w:tcPr>
            <w:tcW w:w="551" w:type="pct"/>
            <w:vMerge w:val="restart"/>
            <w:shd w:val="clear" w:color="auto" w:fill="auto"/>
            <w:vAlign w:val="center"/>
          </w:tcPr>
          <w:p w14:paraId="316DB067">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eastAsia" w:cs="宋体"/>
                <w:color w:val="auto"/>
                <w:kern w:val="2"/>
                <w:sz w:val="21"/>
                <w:szCs w:val="21"/>
                <w:lang w:val="en-US" w:eastAsia="zh-CN" w:bidi="ar-SA"/>
              </w:rPr>
              <w:t>泄漏</w:t>
            </w:r>
          </w:p>
        </w:tc>
        <w:tc>
          <w:tcPr>
            <w:tcW w:w="548" w:type="pct"/>
            <w:shd w:val="clear" w:color="auto" w:fill="auto"/>
            <w:vAlign w:val="center"/>
          </w:tcPr>
          <w:p w14:paraId="64085D6F">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 w:val="21"/>
                <w:szCs w:val="21"/>
                <w:lang w:val="en-US" w:eastAsia="zh-CN" w:bidi="ar-SA"/>
              </w:rPr>
              <w:t>废矿物油</w:t>
            </w:r>
          </w:p>
        </w:tc>
        <w:tc>
          <w:tcPr>
            <w:tcW w:w="548" w:type="pct"/>
            <w:vMerge w:val="restart"/>
            <w:shd w:val="clear" w:color="auto" w:fill="auto"/>
            <w:vAlign w:val="center"/>
          </w:tcPr>
          <w:p w14:paraId="143439B5">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eastAsia" w:ascii="Times New Roman" w:hAnsi="Times New Roman" w:eastAsia="宋体" w:cs="宋体"/>
                <w:color w:val="auto"/>
                <w:sz w:val="21"/>
                <w:szCs w:val="21"/>
                <w:lang w:val="en-US" w:eastAsia="zh-CN" w:bidi="ar-SA"/>
              </w:rPr>
              <w:t>危废间</w:t>
            </w:r>
          </w:p>
        </w:tc>
        <w:tc>
          <w:tcPr>
            <w:tcW w:w="703" w:type="pct"/>
            <w:vMerge w:val="restart"/>
            <w:shd w:val="clear" w:color="auto" w:fill="auto"/>
            <w:vAlign w:val="center"/>
          </w:tcPr>
          <w:p w14:paraId="1056EB80">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eastAsia" w:cs="宋体"/>
                <w:color w:val="auto"/>
                <w:kern w:val="2"/>
                <w:sz w:val="21"/>
                <w:szCs w:val="21"/>
                <w:lang w:val="en-US" w:eastAsia="zh-CN" w:bidi="ar-SA"/>
              </w:rPr>
              <w:t>石油烃类</w:t>
            </w:r>
          </w:p>
        </w:tc>
        <w:tc>
          <w:tcPr>
            <w:tcW w:w="1261" w:type="pct"/>
            <w:vMerge w:val="restart"/>
            <w:shd w:val="clear" w:color="auto" w:fill="auto"/>
            <w:vAlign w:val="center"/>
          </w:tcPr>
          <w:p w14:paraId="720EC57A">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eastAsia" w:cs="宋体"/>
                <w:color w:val="auto"/>
                <w:kern w:val="2"/>
                <w:sz w:val="21"/>
                <w:szCs w:val="21"/>
                <w:lang w:val="en-US" w:eastAsia="zh-CN" w:bidi="ar-SA"/>
              </w:rPr>
              <w:t>土壤、地下水</w:t>
            </w:r>
          </w:p>
        </w:tc>
        <w:tc>
          <w:tcPr>
            <w:tcW w:w="1078" w:type="pct"/>
            <w:vMerge w:val="restart"/>
            <w:tcBorders>
              <w:right w:val="single" w:color="000000" w:sz="10" w:space="0"/>
            </w:tcBorders>
            <w:shd w:val="clear" w:color="auto" w:fill="auto"/>
            <w:vAlign w:val="center"/>
          </w:tcPr>
          <w:p w14:paraId="67726BC0">
            <w:pPr>
              <w:bidi w:val="0"/>
              <w:adjustRightInd w:val="0"/>
              <w:snapToGrid w:val="0"/>
              <w:spacing w:line="240" w:lineRule="auto"/>
              <w:ind w:firstLine="0" w:firstLineChars="0"/>
              <w:jc w:val="center"/>
              <w:rPr>
                <w:rFonts w:hint="default" w:ascii="Times New Roman" w:hAnsi="Times New Roman" w:eastAsia="宋体" w:cs="宋体"/>
                <w:color w:val="auto"/>
                <w:kern w:val="2"/>
                <w:sz w:val="21"/>
                <w:szCs w:val="21"/>
                <w:lang w:val="en-US" w:eastAsia="zh-CN" w:bidi="ar-SA"/>
              </w:rPr>
            </w:pPr>
            <w:r>
              <w:rPr>
                <w:rFonts w:hint="eastAsia" w:cs="宋体"/>
                <w:color w:val="auto"/>
                <w:kern w:val="2"/>
                <w:sz w:val="21"/>
                <w:szCs w:val="21"/>
                <w:lang w:val="en-US" w:eastAsia="zh-CN" w:bidi="ar-SA"/>
              </w:rPr>
              <w:t>/</w:t>
            </w:r>
          </w:p>
        </w:tc>
      </w:tr>
      <w:tr w14:paraId="1A3105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309" w:type="pct"/>
            <w:vMerge w:val="continue"/>
            <w:tcBorders>
              <w:left w:val="single" w:color="000000" w:sz="10" w:space="0"/>
            </w:tcBorders>
            <w:vAlign w:val="center"/>
          </w:tcPr>
          <w:p w14:paraId="760C76DF">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p>
        </w:tc>
        <w:tc>
          <w:tcPr>
            <w:tcW w:w="551" w:type="pct"/>
            <w:vMerge w:val="continue"/>
            <w:shd w:val="clear" w:color="auto" w:fill="auto"/>
            <w:vAlign w:val="center"/>
          </w:tcPr>
          <w:p w14:paraId="3D351A02">
            <w:pPr>
              <w:bidi w:val="0"/>
              <w:adjustRightInd w:val="0"/>
              <w:snapToGrid w:val="0"/>
              <w:spacing w:line="240" w:lineRule="auto"/>
              <w:ind w:firstLine="0" w:firstLineChars="0"/>
              <w:jc w:val="center"/>
              <w:rPr>
                <w:rFonts w:hint="eastAsia" w:cs="宋体"/>
                <w:color w:val="auto"/>
                <w:kern w:val="2"/>
                <w:sz w:val="21"/>
                <w:szCs w:val="21"/>
                <w:lang w:val="en-US" w:eastAsia="zh-CN" w:bidi="ar-SA"/>
              </w:rPr>
            </w:pPr>
          </w:p>
        </w:tc>
        <w:tc>
          <w:tcPr>
            <w:tcW w:w="548" w:type="pct"/>
            <w:shd w:val="clear" w:color="auto" w:fill="auto"/>
            <w:vAlign w:val="center"/>
          </w:tcPr>
          <w:p w14:paraId="63B00595">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r>
              <w:rPr>
                <w:rFonts w:hint="eastAsia" w:cs="宋体"/>
                <w:color w:val="auto"/>
                <w:sz w:val="21"/>
                <w:szCs w:val="21"/>
                <w:lang w:val="en-US" w:eastAsia="zh-CN" w:bidi="ar-SA"/>
              </w:rPr>
              <w:t>LPG残液</w:t>
            </w:r>
          </w:p>
        </w:tc>
        <w:tc>
          <w:tcPr>
            <w:tcW w:w="548" w:type="pct"/>
            <w:vMerge w:val="continue"/>
            <w:shd w:val="clear" w:color="auto" w:fill="auto"/>
            <w:vAlign w:val="center"/>
          </w:tcPr>
          <w:p w14:paraId="4AFB1462">
            <w:pPr>
              <w:bidi w:val="0"/>
              <w:adjustRightInd w:val="0"/>
              <w:snapToGrid w:val="0"/>
              <w:spacing w:line="240" w:lineRule="auto"/>
              <w:ind w:firstLine="0" w:firstLineChars="0"/>
              <w:jc w:val="center"/>
              <w:rPr>
                <w:rFonts w:hint="eastAsia" w:ascii="Times New Roman" w:hAnsi="Times New Roman" w:eastAsia="宋体" w:cs="宋体"/>
                <w:color w:val="auto"/>
                <w:sz w:val="21"/>
                <w:szCs w:val="21"/>
                <w:lang w:val="en-US" w:eastAsia="zh-CN" w:bidi="ar-SA"/>
              </w:rPr>
            </w:pPr>
          </w:p>
        </w:tc>
        <w:tc>
          <w:tcPr>
            <w:tcW w:w="703" w:type="pct"/>
            <w:vMerge w:val="continue"/>
            <w:shd w:val="clear" w:color="auto" w:fill="auto"/>
            <w:vAlign w:val="center"/>
          </w:tcPr>
          <w:p w14:paraId="081659C5">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p>
        </w:tc>
        <w:tc>
          <w:tcPr>
            <w:tcW w:w="1261" w:type="pct"/>
            <w:vMerge w:val="continue"/>
            <w:shd w:val="clear" w:color="auto" w:fill="auto"/>
            <w:vAlign w:val="center"/>
          </w:tcPr>
          <w:p w14:paraId="0D06CB64">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p>
        </w:tc>
        <w:tc>
          <w:tcPr>
            <w:tcW w:w="1078" w:type="pct"/>
            <w:vMerge w:val="continue"/>
            <w:tcBorders>
              <w:right w:val="single" w:color="000000" w:sz="10" w:space="0"/>
            </w:tcBorders>
            <w:shd w:val="clear" w:color="auto" w:fill="auto"/>
            <w:vAlign w:val="center"/>
          </w:tcPr>
          <w:p w14:paraId="619CFD3B">
            <w:pPr>
              <w:bidi w:val="0"/>
              <w:adjustRightInd w:val="0"/>
              <w:snapToGrid w:val="0"/>
              <w:spacing w:line="240" w:lineRule="auto"/>
              <w:ind w:firstLine="0" w:firstLineChars="0"/>
              <w:jc w:val="center"/>
              <w:rPr>
                <w:rFonts w:hint="default" w:ascii="Times New Roman" w:hAnsi="Times New Roman" w:eastAsia="宋体" w:cs="宋体"/>
                <w:color w:val="auto"/>
                <w:sz w:val="21"/>
                <w:szCs w:val="21"/>
                <w:lang w:val="en-US" w:eastAsia="zh-CN" w:bidi="ar-SA"/>
              </w:rPr>
            </w:pPr>
          </w:p>
        </w:tc>
      </w:tr>
    </w:tbl>
    <w:p w14:paraId="524191D7">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default" w:ascii="Times New Roman" w:hAnsi="Times New Roman" w:cs="Times New Roman"/>
          <w:color w:val="auto"/>
          <w:kern w:val="2"/>
          <w:sz w:val="24"/>
          <w:szCs w:val="22"/>
        </w:rPr>
      </w:pPr>
      <w:r>
        <w:rPr>
          <w:rFonts w:hint="default" w:ascii="Times New Roman" w:hAnsi="Times New Roman" w:cs="Times New Roman"/>
          <w:color w:val="auto"/>
          <w:kern w:val="2"/>
          <w:sz w:val="24"/>
          <w:szCs w:val="22"/>
        </w:rPr>
        <w:t>本项目有较完善的安全防范措施和监控系统，建设单位也建立了完善的应急预防机制，抗事故风险能力较高，同时结合根据《环境风险评价实用技术与方法》中统计数据，确定本次评价项目最大可信事故概率确定为1×10</w:t>
      </w:r>
      <w:r>
        <w:rPr>
          <w:rFonts w:hint="default" w:ascii="Times New Roman" w:hAnsi="Times New Roman" w:cs="Times New Roman"/>
          <w:color w:val="auto"/>
          <w:kern w:val="2"/>
          <w:sz w:val="24"/>
          <w:szCs w:val="22"/>
          <w:vertAlign w:val="superscript"/>
        </w:rPr>
        <w:t>-5</w:t>
      </w:r>
      <w:r>
        <w:rPr>
          <w:rFonts w:hint="default" w:ascii="Times New Roman" w:hAnsi="Times New Roman" w:cs="Times New Roman"/>
          <w:color w:val="auto"/>
          <w:kern w:val="2"/>
          <w:sz w:val="24"/>
          <w:szCs w:val="22"/>
        </w:rPr>
        <w:t>。说明本项目既有一定风险，又可以采取预防措施加以避免，项目风险处于可接受水平。</w:t>
      </w:r>
      <w:bookmarkEnd w:id="19"/>
      <w:bookmarkEnd w:id="20"/>
    </w:p>
    <w:p w14:paraId="36069BF6">
      <w:pPr>
        <w:pStyle w:val="58"/>
        <w:keepNext w:val="0"/>
        <w:keepLines w:val="0"/>
        <w:pageBreakBefore w:val="0"/>
        <w:widowControl w:val="0"/>
        <w:kinsoku/>
        <w:wordWrap/>
        <w:overflowPunct/>
        <w:topLinePunct w:val="0"/>
        <w:autoSpaceDE/>
        <w:autoSpaceDN/>
        <w:bidi w:val="0"/>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sz w:val="24"/>
          <w:lang w:val="en-US" w:eastAsia="zh-CN" w:bidi="ar-SA"/>
        </w:rPr>
        <w:t>根据《建设项目环境风险评价技术导则》(HJ 169-2018)，最大可信事故的定义为基于经验统计分析，在一定可能性区间内发生的事故中，造成环境危害最严重的事故。</w:t>
      </w:r>
      <w:r>
        <w:rPr>
          <w:rFonts w:hint="default" w:ascii="Times New Roman" w:hAnsi="Times New Roman" w:cs="Times New Roman"/>
          <w:color w:val="auto"/>
          <w:lang w:val="en-US" w:eastAsia="zh-CN"/>
        </w:rPr>
        <w:t>根据《建设项目环境风险评价技术导则》（HJ169-2018）要求，项目环境风险识别结果应包括危险单元、风险源、主要危险物质、环境风险类型、环境影响途径、可能受影响的环境敏感目标。根据风险识别结果和环境风险事故设定的原则，本项目环境风险事故情形设定为储罐区液化石油气储罐泄露、液化石油气装卸气和充装过程泄露引发的火灾产生次生物质CO以及危险废物暂存间防渗层失效导致的废润滑油</w:t>
      </w:r>
      <w:r>
        <w:rPr>
          <w:rFonts w:hint="eastAsia" w:ascii="Times New Roman" w:hAnsi="Times New Roman" w:cs="Times New Roman"/>
          <w:color w:val="auto"/>
          <w:lang w:val="en-US" w:eastAsia="zh-CN"/>
        </w:rPr>
        <w:t>、LPG残液</w:t>
      </w:r>
      <w:r>
        <w:rPr>
          <w:rFonts w:hint="default" w:ascii="Times New Roman" w:hAnsi="Times New Roman" w:cs="Times New Roman"/>
          <w:color w:val="auto"/>
          <w:lang w:val="en-US" w:eastAsia="zh-CN"/>
        </w:rPr>
        <w:t>入渗影响地下水。各种风险事故情形设定见表3.1-</w:t>
      </w:r>
      <w:r>
        <w:rPr>
          <w:rFonts w:hint="eastAsia" w:ascii="Times New Roman" w:hAnsi="Times New Roman" w:cs="Times New Roman"/>
          <w:color w:val="auto"/>
          <w:lang w:val="en-US" w:eastAsia="zh-CN"/>
        </w:rPr>
        <w:t>4</w:t>
      </w:r>
      <w:r>
        <w:rPr>
          <w:rFonts w:hint="default" w:ascii="Times New Roman" w:hAnsi="Times New Roman" w:cs="Times New Roman"/>
          <w:color w:val="auto"/>
          <w:lang w:val="en-US" w:eastAsia="zh-CN"/>
        </w:rPr>
        <w:t>。</w:t>
      </w:r>
    </w:p>
    <w:p w14:paraId="70C2946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表3.1-</w:t>
      </w:r>
      <w:r>
        <w:rPr>
          <w:rFonts w:hint="eastAsia" w:cs="Times New Roman"/>
          <w:b/>
          <w:bCs/>
          <w:color w:val="auto"/>
          <w:sz w:val="21"/>
          <w:szCs w:val="21"/>
          <w:lang w:val="en-US" w:eastAsia="zh-CN"/>
        </w:rPr>
        <w:t>4</w:t>
      </w:r>
      <w:r>
        <w:rPr>
          <w:rFonts w:hint="default" w:ascii="Times New Roman" w:hAnsi="Times New Roman" w:eastAsia="宋体" w:cs="Times New Roman"/>
          <w:b/>
          <w:bCs/>
          <w:color w:val="auto"/>
          <w:sz w:val="21"/>
          <w:szCs w:val="21"/>
          <w:lang w:val="en-US" w:eastAsia="zh-CN"/>
        </w:rPr>
        <w:t xml:space="preserve">   本项目风险事故情形设定一览表</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8"/>
        <w:gridCol w:w="1331"/>
        <w:gridCol w:w="1449"/>
        <w:gridCol w:w="1161"/>
        <w:gridCol w:w="2223"/>
        <w:gridCol w:w="1560"/>
      </w:tblGrid>
      <w:tr w14:paraId="11201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8" w:type="dxa"/>
            <w:noWrap w:val="0"/>
            <w:vAlign w:val="center"/>
          </w:tcPr>
          <w:p w14:paraId="74A2F8EB">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危险单元</w:t>
            </w:r>
          </w:p>
        </w:tc>
        <w:tc>
          <w:tcPr>
            <w:tcW w:w="1331" w:type="dxa"/>
            <w:noWrap w:val="0"/>
            <w:vAlign w:val="center"/>
          </w:tcPr>
          <w:p w14:paraId="34BA2A5D">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风险源</w:t>
            </w:r>
          </w:p>
        </w:tc>
        <w:tc>
          <w:tcPr>
            <w:tcW w:w="1449" w:type="dxa"/>
            <w:noWrap w:val="0"/>
            <w:vAlign w:val="center"/>
          </w:tcPr>
          <w:p w14:paraId="05B893FE">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危险物质</w:t>
            </w:r>
          </w:p>
        </w:tc>
        <w:tc>
          <w:tcPr>
            <w:tcW w:w="1161" w:type="dxa"/>
            <w:noWrap w:val="0"/>
            <w:vAlign w:val="center"/>
          </w:tcPr>
          <w:p w14:paraId="76450DA5">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环境风险类型</w:t>
            </w:r>
          </w:p>
        </w:tc>
        <w:tc>
          <w:tcPr>
            <w:tcW w:w="2223" w:type="dxa"/>
            <w:noWrap w:val="0"/>
            <w:vAlign w:val="center"/>
          </w:tcPr>
          <w:p w14:paraId="6C5A8C89">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影响途径</w:t>
            </w:r>
          </w:p>
        </w:tc>
        <w:tc>
          <w:tcPr>
            <w:tcW w:w="1560" w:type="dxa"/>
            <w:noWrap w:val="0"/>
            <w:vAlign w:val="center"/>
          </w:tcPr>
          <w:p w14:paraId="7CE98FF3">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可能受影响的环境敏感目标</w:t>
            </w:r>
          </w:p>
        </w:tc>
      </w:tr>
      <w:tr w14:paraId="35D9C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8" w:type="dxa"/>
            <w:noWrap w:val="0"/>
            <w:vAlign w:val="center"/>
          </w:tcPr>
          <w:p w14:paraId="16689F08">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LPG储罐区</w:t>
            </w:r>
          </w:p>
        </w:tc>
        <w:tc>
          <w:tcPr>
            <w:tcW w:w="1331" w:type="dxa"/>
            <w:noWrap w:val="0"/>
            <w:vAlign w:val="center"/>
          </w:tcPr>
          <w:p w14:paraId="0B805A2C">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液化石油气罐、残液罐</w:t>
            </w:r>
          </w:p>
        </w:tc>
        <w:tc>
          <w:tcPr>
            <w:tcW w:w="1449" w:type="dxa"/>
            <w:vMerge w:val="restart"/>
            <w:noWrap w:val="0"/>
            <w:vAlign w:val="center"/>
          </w:tcPr>
          <w:p w14:paraId="6FD4D9B6">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液化石油气</w:t>
            </w:r>
          </w:p>
        </w:tc>
        <w:tc>
          <w:tcPr>
            <w:tcW w:w="1161" w:type="dxa"/>
            <w:noWrap w:val="0"/>
            <w:vAlign w:val="center"/>
          </w:tcPr>
          <w:p w14:paraId="1784EBE3">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火灾</w:t>
            </w:r>
          </w:p>
        </w:tc>
        <w:tc>
          <w:tcPr>
            <w:tcW w:w="2223" w:type="dxa"/>
            <w:noWrap w:val="0"/>
            <w:vAlign w:val="center"/>
          </w:tcPr>
          <w:p w14:paraId="1692FBFA">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储罐破裂或装卸气过程，液化石油气泄漏产生次生污染物CO影响大气环境</w:t>
            </w:r>
          </w:p>
        </w:tc>
        <w:tc>
          <w:tcPr>
            <w:tcW w:w="1560" w:type="dxa"/>
            <w:vMerge w:val="restart"/>
            <w:noWrap w:val="0"/>
            <w:vAlign w:val="center"/>
          </w:tcPr>
          <w:p w14:paraId="646662E2">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周边的居民</w:t>
            </w:r>
          </w:p>
        </w:tc>
      </w:tr>
      <w:tr w14:paraId="2E500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8" w:type="dxa"/>
            <w:noWrap w:val="0"/>
            <w:vAlign w:val="center"/>
          </w:tcPr>
          <w:p w14:paraId="47B5A296">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LPG灌装区</w:t>
            </w:r>
          </w:p>
        </w:tc>
        <w:tc>
          <w:tcPr>
            <w:tcW w:w="1331" w:type="dxa"/>
            <w:noWrap w:val="0"/>
            <w:vAlign w:val="center"/>
          </w:tcPr>
          <w:p w14:paraId="1E56C0FD">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管道</w:t>
            </w:r>
          </w:p>
        </w:tc>
        <w:tc>
          <w:tcPr>
            <w:tcW w:w="1449" w:type="dxa"/>
            <w:vMerge w:val="continue"/>
            <w:noWrap w:val="0"/>
            <w:vAlign w:val="center"/>
          </w:tcPr>
          <w:p w14:paraId="2819356B">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p>
        </w:tc>
        <w:tc>
          <w:tcPr>
            <w:tcW w:w="1161" w:type="dxa"/>
            <w:noWrap w:val="0"/>
            <w:vAlign w:val="center"/>
          </w:tcPr>
          <w:p w14:paraId="20691D90">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火灾</w:t>
            </w:r>
          </w:p>
        </w:tc>
        <w:tc>
          <w:tcPr>
            <w:tcW w:w="2223" w:type="dxa"/>
            <w:noWrap w:val="0"/>
            <w:vAlign w:val="center"/>
          </w:tcPr>
          <w:p w14:paraId="45231099">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充装过程泄漏至外环境引发火灾产生次生污染物CO</w:t>
            </w:r>
          </w:p>
        </w:tc>
        <w:tc>
          <w:tcPr>
            <w:tcW w:w="1560" w:type="dxa"/>
            <w:vMerge w:val="continue"/>
            <w:noWrap w:val="0"/>
            <w:vAlign w:val="center"/>
          </w:tcPr>
          <w:p w14:paraId="6EECC4B6">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p>
        </w:tc>
      </w:tr>
      <w:tr w14:paraId="7BB7D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8" w:type="dxa"/>
            <w:noWrap w:val="0"/>
            <w:vAlign w:val="center"/>
          </w:tcPr>
          <w:p w14:paraId="29332C5E">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改性丙烷储罐区</w:t>
            </w:r>
          </w:p>
        </w:tc>
        <w:tc>
          <w:tcPr>
            <w:tcW w:w="1331" w:type="dxa"/>
            <w:noWrap w:val="0"/>
            <w:vAlign w:val="center"/>
          </w:tcPr>
          <w:p w14:paraId="3890DFCB">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改性丙烷储罐</w:t>
            </w:r>
          </w:p>
        </w:tc>
        <w:tc>
          <w:tcPr>
            <w:tcW w:w="1449" w:type="dxa"/>
            <w:vMerge w:val="restart"/>
            <w:noWrap w:val="0"/>
            <w:vAlign w:val="center"/>
          </w:tcPr>
          <w:p w14:paraId="09872E5D">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丙烷</w:t>
            </w:r>
          </w:p>
        </w:tc>
        <w:tc>
          <w:tcPr>
            <w:tcW w:w="1161" w:type="dxa"/>
            <w:noWrap w:val="0"/>
            <w:vAlign w:val="center"/>
          </w:tcPr>
          <w:p w14:paraId="34C162A1">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火灾</w:t>
            </w:r>
          </w:p>
        </w:tc>
        <w:tc>
          <w:tcPr>
            <w:tcW w:w="2223" w:type="dxa"/>
            <w:noWrap w:val="0"/>
            <w:vAlign w:val="center"/>
          </w:tcPr>
          <w:p w14:paraId="04427BAC">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储罐破裂或装卸气过程，丙烷泄漏产生次生污染物CO影响大气环境</w:t>
            </w:r>
          </w:p>
        </w:tc>
        <w:tc>
          <w:tcPr>
            <w:tcW w:w="1560" w:type="dxa"/>
            <w:vMerge w:val="continue"/>
            <w:noWrap w:val="0"/>
            <w:vAlign w:val="center"/>
          </w:tcPr>
          <w:p w14:paraId="777A9E0C">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p>
        </w:tc>
      </w:tr>
      <w:tr w14:paraId="17527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8" w:type="dxa"/>
            <w:noWrap w:val="0"/>
            <w:vAlign w:val="center"/>
          </w:tcPr>
          <w:p w14:paraId="04F90B0C">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丙烷灌装区</w:t>
            </w:r>
          </w:p>
        </w:tc>
        <w:tc>
          <w:tcPr>
            <w:tcW w:w="1331" w:type="dxa"/>
            <w:noWrap w:val="0"/>
            <w:vAlign w:val="center"/>
          </w:tcPr>
          <w:p w14:paraId="05E7EEA3">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管道</w:t>
            </w:r>
          </w:p>
        </w:tc>
        <w:tc>
          <w:tcPr>
            <w:tcW w:w="1449" w:type="dxa"/>
            <w:vMerge w:val="continue"/>
            <w:noWrap w:val="0"/>
            <w:vAlign w:val="center"/>
          </w:tcPr>
          <w:p w14:paraId="09AA8E75">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p>
        </w:tc>
        <w:tc>
          <w:tcPr>
            <w:tcW w:w="1161" w:type="dxa"/>
            <w:noWrap w:val="0"/>
            <w:vAlign w:val="center"/>
          </w:tcPr>
          <w:p w14:paraId="2979B0EA">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火灾</w:t>
            </w:r>
          </w:p>
        </w:tc>
        <w:tc>
          <w:tcPr>
            <w:tcW w:w="2223" w:type="dxa"/>
            <w:noWrap w:val="0"/>
            <w:vAlign w:val="center"/>
          </w:tcPr>
          <w:p w14:paraId="58D99B01">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充装过程泄漏至外环境引发火灾产生次生污染物CO</w:t>
            </w:r>
          </w:p>
        </w:tc>
        <w:tc>
          <w:tcPr>
            <w:tcW w:w="1560" w:type="dxa"/>
            <w:vMerge w:val="continue"/>
            <w:noWrap w:val="0"/>
            <w:vAlign w:val="center"/>
          </w:tcPr>
          <w:p w14:paraId="19DADBEB">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p>
        </w:tc>
      </w:tr>
      <w:tr w14:paraId="6E748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gridSpan w:val="2"/>
            <w:noWrap w:val="0"/>
            <w:vAlign w:val="center"/>
          </w:tcPr>
          <w:p w14:paraId="63FD2BDA">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危险废物暂存间</w:t>
            </w:r>
          </w:p>
        </w:tc>
        <w:tc>
          <w:tcPr>
            <w:tcW w:w="1449" w:type="dxa"/>
            <w:noWrap w:val="0"/>
            <w:vAlign w:val="center"/>
          </w:tcPr>
          <w:p w14:paraId="4D2120B1">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废润滑油</w:t>
            </w:r>
            <w:r>
              <w:rPr>
                <w:rFonts w:hint="eastAsia" w:cs="Times New Roman"/>
                <w:i w:val="0"/>
                <w:iCs w:val="0"/>
                <w:color w:val="000000"/>
                <w:kern w:val="2"/>
                <w:sz w:val="21"/>
                <w:szCs w:val="21"/>
                <w:u w:val="none"/>
                <w:lang w:val="en-US" w:eastAsia="zh-CN" w:bidi="ar-SA"/>
              </w:rPr>
              <w:t>、LPG残液</w:t>
            </w:r>
          </w:p>
        </w:tc>
        <w:tc>
          <w:tcPr>
            <w:tcW w:w="1161" w:type="dxa"/>
            <w:noWrap w:val="0"/>
            <w:vAlign w:val="center"/>
          </w:tcPr>
          <w:p w14:paraId="124B21A1">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泄漏、火灾</w:t>
            </w:r>
          </w:p>
        </w:tc>
        <w:tc>
          <w:tcPr>
            <w:tcW w:w="2223" w:type="dxa"/>
            <w:noWrap w:val="0"/>
            <w:vAlign w:val="center"/>
          </w:tcPr>
          <w:p w14:paraId="7A8C9D91">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防渗层失效，废润滑油泄漏影响地下水、土壤</w:t>
            </w:r>
          </w:p>
        </w:tc>
        <w:tc>
          <w:tcPr>
            <w:tcW w:w="1560" w:type="dxa"/>
            <w:noWrap w:val="0"/>
            <w:vAlign w:val="center"/>
          </w:tcPr>
          <w:p w14:paraId="76E36DD4">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周边土壤、地下水</w:t>
            </w:r>
          </w:p>
        </w:tc>
      </w:tr>
      <w:tr w14:paraId="22636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gridSpan w:val="2"/>
            <w:shd w:val="clear" w:color="auto" w:fill="auto"/>
            <w:noWrap w:val="0"/>
            <w:vAlign w:val="center"/>
          </w:tcPr>
          <w:p w14:paraId="125B426C">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气瓶检测车间</w:t>
            </w:r>
          </w:p>
        </w:tc>
        <w:tc>
          <w:tcPr>
            <w:tcW w:w="1449" w:type="dxa"/>
            <w:shd w:val="clear" w:color="auto" w:fill="auto"/>
            <w:noWrap w:val="0"/>
            <w:vAlign w:val="center"/>
          </w:tcPr>
          <w:p w14:paraId="3290EF1F">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油墨</w:t>
            </w:r>
          </w:p>
          <w:p w14:paraId="538E34E0">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（环己酮）</w:t>
            </w:r>
          </w:p>
        </w:tc>
        <w:tc>
          <w:tcPr>
            <w:tcW w:w="1161" w:type="dxa"/>
            <w:shd w:val="clear" w:color="auto" w:fill="auto"/>
            <w:noWrap w:val="0"/>
            <w:vAlign w:val="center"/>
          </w:tcPr>
          <w:p w14:paraId="67C66DBF">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泄漏、火灾</w:t>
            </w:r>
          </w:p>
        </w:tc>
        <w:tc>
          <w:tcPr>
            <w:tcW w:w="2223" w:type="dxa"/>
            <w:shd w:val="clear" w:color="auto" w:fill="auto"/>
            <w:noWrap w:val="0"/>
            <w:vAlign w:val="center"/>
          </w:tcPr>
          <w:p w14:paraId="3D06D112">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泄漏至外环境引发火灾产生次生污染物CO</w:t>
            </w:r>
          </w:p>
        </w:tc>
        <w:tc>
          <w:tcPr>
            <w:tcW w:w="1560" w:type="dxa"/>
            <w:noWrap w:val="0"/>
            <w:vAlign w:val="center"/>
          </w:tcPr>
          <w:p w14:paraId="499B925B">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周边的居民</w:t>
            </w:r>
          </w:p>
        </w:tc>
      </w:tr>
      <w:tr w14:paraId="5C740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gridSpan w:val="2"/>
            <w:shd w:val="clear" w:color="auto" w:fill="auto"/>
            <w:noWrap w:val="0"/>
            <w:vAlign w:val="center"/>
          </w:tcPr>
          <w:p w14:paraId="516DC4BD">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气瓶检测车间</w:t>
            </w:r>
          </w:p>
        </w:tc>
        <w:tc>
          <w:tcPr>
            <w:tcW w:w="1449" w:type="dxa"/>
            <w:shd w:val="clear" w:color="auto" w:fill="auto"/>
            <w:noWrap w:val="0"/>
            <w:vAlign w:val="center"/>
          </w:tcPr>
          <w:p w14:paraId="5F6845BF">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石油气</w:t>
            </w:r>
          </w:p>
        </w:tc>
        <w:tc>
          <w:tcPr>
            <w:tcW w:w="1161" w:type="dxa"/>
            <w:shd w:val="clear" w:color="auto" w:fill="auto"/>
            <w:noWrap w:val="0"/>
            <w:vAlign w:val="center"/>
          </w:tcPr>
          <w:p w14:paraId="2DC4B06B">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泄漏、火灾</w:t>
            </w:r>
          </w:p>
        </w:tc>
        <w:tc>
          <w:tcPr>
            <w:tcW w:w="2223" w:type="dxa"/>
            <w:shd w:val="clear" w:color="auto" w:fill="auto"/>
            <w:noWrap w:val="0"/>
            <w:vAlign w:val="center"/>
          </w:tcPr>
          <w:p w14:paraId="094052DE">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泄漏至外环境引发火灾产生次生污染物 CO</w:t>
            </w:r>
          </w:p>
        </w:tc>
        <w:tc>
          <w:tcPr>
            <w:tcW w:w="1560" w:type="dxa"/>
            <w:noWrap w:val="0"/>
            <w:vAlign w:val="center"/>
          </w:tcPr>
          <w:p w14:paraId="0D63E8F1">
            <w:pPr>
              <w:keepNext w:val="0"/>
              <w:keepLines w:val="0"/>
              <w:widowControl/>
              <w:suppressLineNumbers w:val="0"/>
              <w:jc w:val="center"/>
              <w:textAlignment w:val="top"/>
              <w:rPr>
                <w:rFonts w:hint="default" w:cs="Times New Roman"/>
                <w:i w:val="0"/>
                <w:iCs w:val="0"/>
                <w:color w:val="000000"/>
                <w:kern w:val="2"/>
                <w:sz w:val="21"/>
                <w:szCs w:val="21"/>
                <w:u w:val="none"/>
                <w:lang w:val="en-US" w:eastAsia="zh-CN" w:bidi="ar-SA"/>
              </w:rPr>
            </w:pPr>
            <w:r>
              <w:rPr>
                <w:rFonts w:hint="default" w:cs="Times New Roman"/>
                <w:i w:val="0"/>
                <w:iCs w:val="0"/>
                <w:color w:val="000000"/>
                <w:kern w:val="2"/>
                <w:sz w:val="21"/>
                <w:szCs w:val="21"/>
                <w:u w:val="none"/>
                <w:lang w:val="en-US" w:eastAsia="zh-CN" w:bidi="ar-SA"/>
              </w:rPr>
              <w:t>周边的居民</w:t>
            </w:r>
          </w:p>
        </w:tc>
      </w:tr>
    </w:tbl>
    <w:p w14:paraId="40E24983">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eastAsia" w:ascii="Times New Roman" w:hAnsi="Times New Roman" w:eastAsia="宋体" w:cs="Times New Roman"/>
          <w:b w:val="0"/>
          <w:color w:val="auto"/>
          <w:kern w:val="2"/>
          <w:sz w:val="28"/>
          <w:szCs w:val="24"/>
          <w:lang w:val="en-US" w:eastAsia="zh-CN" w:bidi="ar-SA"/>
        </w:rPr>
      </w:pPr>
      <w:r>
        <w:rPr>
          <w:rFonts w:hint="eastAsia" w:ascii="Times New Roman" w:hAnsi="Times New Roman" w:eastAsia="宋体" w:cs="Times New Roman"/>
          <w:b w:val="0"/>
          <w:color w:val="auto"/>
          <w:kern w:val="2"/>
          <w:sz w:val="28"/>
          <w:szCs w:val="24"/>
          <w:lang w:val="en-US" w:eastAsia="zh-CN" w:bidi="ar-SA"/>
        </w:rPr>
        <w:t>事故情景假设</w:t>
      </w:r>
    </w:p>
    <w:p w14:paraId="4EEA1A92">
      <w:pPr>
        <w:pStyle w:val="58"/>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情形一：LPG储罐泄漏并发生火灾风险事故情形设定</w:t>
      </w:r>
    </w:p>
    <w:p w14:paraId="3282B75E">
      <w:pPr>
        <w:pStyle w:val="5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假设1座50m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LPG储罐泄漏并发生火灾，LPG起火全部燃烧，</w:t>
      </w:r>
      <w:r>
        <w:rPr>
          <w:rFonts w:hint="default" w:ascii="Times New Roman" w:hAnsi="Times New Roman" w:eastAsia="宋体" w:cs="Times New Roman"/>
          <w:color w:val="auto"/>
          <w:lang w:val="en-US" w:eastAsia="zh-CN"/>
        </w:rPr>
        <w:t>产生CO，对环境空气产生次生影响</w:t>
      </w:r>
      <w:r>
        <w:rPr>
          <w:rFonts w:hint="eastAsia" w:ascii="Times New Roman" w:hAnsi="Times New Roman" w:eastAsia="宋体" w:cs="Times New Roman"/>
          <w:color w:val="auto"/>
          <w:lang w:val="en-US" w:eastAsia="zh-CN"/>
        </w:rPr>
        <w:t>。</w:t>
      </w:r>
    </w:p>
    <w:p w14:paraId="36D76046">
      <w:pPr>
        <w:pStyle w:val="58"/>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情形二：丙烷储罐泄漏并发生火灾风险事故情形设定</w:t>
      </w:r>
    </w:p>
    <w:p w14:paraId="2C0D4F39">
      <w:pPr>
        <w:pStyle w:val="58"/>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假设1座50m</w:t>
      </w:r>
      <w:r>
        <w:rPr>
          <w:rFonts w:hint="eastAsia" w:ascii="Times New Roman" w:hAnsi="Times New Roman" w:eastAsia="宋体" w:cs="Times New Roman"/>
          <w:color w:val="auto"/>
          <w:vertAlign w:val="superscript"/>
          <w:lang w:val="en-US" w:eastAsia="zh-CN"/>
        </w:rPr>
        <w:t>3</w:t>
      </w:r>
      <w:r>
        <w:rPr>
          <w:rFonts w:hint="eastAsia" w:ascii="Times New Roman" w:hAnsi="Times New Roman" w:eastAsia="宋体" w:cs="Times New Roman"/>
          <w:color w:val="auto"/>
          <w:lang w:val="en-US" w:eastAsia="zh-CN"/>
        </w:rPr>
        <w:t>丙烷储罐泄漏并发生火灾，丙烷起火全部燃烧，</w:t>
      </w:r>
      <w:r>
        <w:rPr>
          <w:rFonts w:hint="default" w:ascii="Times New Roman" w:hAnsi="Times New Roman" w:eastAsia="宋体" w:cs="Times New Roman"/>
          <w:color w:val="auto"/>
          <w:lang w:val="en-US" w:eastAsia="zh-CN"/>
        </w:rPr>
        <w:t>产生CO，对环境空气产生次生影响</w:t>
      </w:r>
      <w:r>
        <w:rPr>
          <w:rFonts w:hint="eastAsia" w:ascii="Times New Roman" w:hAnsi="Times New Roman" w:eastAsia="宋体" w:cs="Times New Roman"/>
          <w:color w:val="auto"/>
          <w:lang w:val="en-US" w:eastAsia="zh-CN"/>
        </w:rPr>
        <w:t>。</w:t>
      </w:r>
    </w:p>
    <w:p w14:paraId="68216C4A">
      <w:pPr>
        <w:pStyle w:val="58"/>
        <w:bidi w:val="0"/>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情形三：危废暂存间内LPG残液灌发生泄漏，且危废间防渗层发生破裂，LPG残液泄漏下渗，对地下水环境造成影响。</w:t>
      </w:r>
    </w:p>
    <w:p w14:paraId="14786DBD">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源项分析</w:t>
      </w:r>
    </w:p>
    <w:p w14:paraId="7B6C1EA0">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8"/>
          <w:szCs w:val="24"/>
          <w:lang w:val="en-US" w:eastAsia="zh-CN" w:bidi="ar-SA"/>
        </w:rPr>
      </w:pPr>
      <w:r>
        <w:rPr>
          <w:rFonts w:hint="eastAsia" w:cs="Times New Roman"/>
          <w:b w:val="0"/>
          <w:color w:val="auto"/>
          <w:kern w:val="2"/>
          <w:sz w:val="28"/>
          <w:szCs w:val="24"/>
          <w:lang w:val="en-US" w:eastAsia="zh-CN" w:bidi="ar-SA"/>
        </w:rPr>
        <w:t>罐区</w:t>
      </w:r>
      <w:r>
        <w:rPr>
          <w:rFonts w:hint="default" w:ascii="Times New Roman" w:hAnsi="Times New Roman" w:eastAsia="宋体" w:cs="Times New Roman"/>
          <w:b w:val="0"/>
          <w:color w:val="auto"/>
          <w:kern w:val="2"/>
          <w:sz w:val="28"/>
          <w:szCs w:val="24"/>
          <w:lang w:val="en-US" w:eastAsia="zh-CN" w:bidi="ar-SA"/>
        </w:rPr>
        <w:t>危险物质发生泄漏</w:t>
      </w:r>
    </w:p>
    <w:p w14:paraId="2D187D0F">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泄漏量</w:t>
      </w:r>
    </w:p>
    <w:p w14:paraId="681085FE">
      <w:pPr>
        <w:pStyle w:val="58"/>
        <w:bidi w:val="0"/>
        <w:rPr>
          <w:rFonts w:hint="default" w:ascii="Times New Roman" w:hAnsi="Times New Roman" w:cs="Times New Roman"/>
          <w:color w:val="auto"/>
          <w:sz w:val="24"/>
          <w:szCs w:val="24"/>
        </w:rPr>
      </w:pPr>
      <w:r>
        <w:rPr>
          <w:rFonts w:hint="default" w:ascii="Times New Roman" w:hAnsi="Times New Roman" w:cs="Times New Roman"/>
          <w:color w:val="auto"/>
          <w:lang w:val="en-US" w:eastAsia="zh-CN"/>
        </w:rPr>
        <w:t>液化石油气、丙烷</w:t>
      </w:r>
      <w:r>
        <w:rPr>
          <w:rFonts w:hint="default" w:ascii="Times New Roman" w:hAnsi="Times New Roman" w:cs="Times New Roman"/>
          <w:color w:val="auto"/>
          <w:sz w:val="24"/>
          <w:szCs w:val="24"/>
        </w:rPr>
        <w:t>的泄漏是引发火灾、爆炸的先导因素，储罐或管线封闭不严，或其他事故均可导致</w:t>
      </w:r>
      <w:r>
        <w:rPr>
          <w:rFonts w:hint="default" w:ascii="Times New Roman" w:hAnsi="Times New Roman" w:cs="Times New Roman"/>
          <w:color w:val="auto"/>
          <w:lang w:val="en-US" w:eastAsia="zh-CN"/>
        </w:rPr>
        <w:t>液化石油气、丙烷</w:t>
      </w:r>
      <w:r>
        <w:rPr>
          <w:rFonts w:hint="default" w:ascii="Times New Roman" w:hAnsi="Times New Roman" w:cs="Times New Roman"/>
          <w:color w:val="auto"/>
          <w:sz w:val="24"/>
          <w:szCs w:val="24"/>
        </w:rPr>
        <w:t>泄漏，泄漏的速度与流动状态有关。</w:t>
      </w:r>
      <w:r>
        <w:rPr>
          <w:rFonts w:hint="default" w:ascii="Times New Roman" w:hAnsi="Times New Roman" w:cs="Times New Roman"/>
          <w:color w:val="auto"/>
          <w:sz w:val="24"/>
          <w:szCs w:val="24"/>
          <w:lang w:val="en-US" w:eastAsia="zh-CN"/>
        </w:rPr>
        <w:t>本项目为液化石油气储罐、丙烷储罐及残液罐均为地下储罐，且为双层储罐，发生环境风险的概率较小，本项目选取管道泄漏作为源强计算，</w:t>
      </w:r>
      <w:r>
        <w:rPr>
          <w:rFonts w:hint="default" w:ascii="Times New Roman" w:hAnsi="Times New Roman" w:cs="Times New Roman"/>
          <w:color w:val="auto"/>
          <w:kern w:val="0"/>
          <w:sz w:val="24"/>
          <w:szCs w:val="24"/>
        </w:rPr>
        <w:t>事故源强采用经验估算法，</w:t>
      </w:r>
      <w:r>
        <w:rPr>
          <w:rFonts w:hint="default" w:ascii="Times New Roman" w:hAnsi="Times New Roman" w:cs="Times New Roman"/>
          <w:color w:val="auto"/>
          <w:sz w:val="24"/>
          <w:szCs w:val="24"/>
        </w:rPr>
        <w:t>泄漏事故泄漏量根据《建设项目环境风险评价技术导则》 HJ169-2018附录F液体泄漏伯努利方程（限制条件为液体在喷口内不应有急骤蒸发），具体如下：</w:t>
      </w:r>
    </w:p>
    <w:p w14:paraId="0799D88C">
      <w:pPr>
        <w:ind w:firstLine="482"/>
        <w:jc w:val="center"/>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drawing>
          <wp:inline distT="0" distB="0" distL="114300" distR="114300">
            <wp:extent cx="1743710" cy="447040"/>
            <wp:effectExtent l="0" t="0" r="8890" b="10795"/>
            <wp:docPr id="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8"/>
                    <pic:cNvPicPr>
                      <a:picLocks noChangeAspect="1"/>
                    </pic:cNvPicPr>
                  </pic:nvPicPr>
                  <pic:blipFill>
                    <a:blip r:embed="rId55"/>
                    <a:stretch>
                      <a:fillRect/>
                    </a:stretch>
                  </pic:blipFill>
                  <pic:spPr>
                    <a:xfrm>
                      <a:off x="0" y="0"/>
                      <a:ext cx="1743710" cy="447040"/>
                    </a:xfrm>
                    <a:prstGeom prst="rect">
                      <a:avLst/>
                    </a:prstGeom>
                    <a:noFill/>
                    <a:ln>
                      <a:noFill/>
                    </a:ln>
                  </pic:spPr>
                </pic:pic>
              </a:graphicData>
            </a:graphic>
          </wp:inline>
        </w:drawing>
      </w:r>
    </w:p>
    <w:p w14:paraId="364E00F7">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式中：</w:t>
      </w:r>
    </w:p>
    <w:p w14:paraId="0B3812BC">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i/>
          <w:snapToGrid w:val="0"/>
          <w:color w:val="auto"/>
          <w:sz w:val="24"/>
          <w:szCs w:val="24"/>
        </w:rPr>
        <w:t>Q</w:t>
      </w:r>
      <w:r>
        <w:rPr>
          <w:rFonts w:hint="default" w:ascii="Times New Roman" w:hAnsi="Times New Roman" w:cs="Times New Roman"/>
          <w:i/>
          <w:snapToGrid w:val="0"/>
          <w:color w:val="auto"/>
          <w:sz w:val="24"/>
          <w:szCs w:val="24"/>
          <w:vertAlign w:val="subscript"/>
        </w:rPr>
        <w:t>L</w:t>
      </w:r>
      <w:r>
        <w:rPr>
          <w:rFonts w:hint="default" w:ascii="Times New Roman" w:hAnsi="Times New Roman" w:cs="Times New Roman"/>
          <w:snapToGrid w:val="0"/>
          <w:color w:val="auto"/>
          <w:sz w:val="24"/>
          <w:szCs w:val="24"/>
        </w:rPr>
        <w:t>——液体泄漏速度，kg/s；</w:t>
      </w:r>
    </w:p>
    <w:p w14:paraId="7A7E8F57">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P——容器内介质压力，Pa；</w:t>
      </w:r>
    </w:p>
    <w:p w14:paraId="30D619D5">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P</w:t>
      </w:r>
      <w:r>
        <w:rPr>
          <w:rFonts w:hint="default" w:ascii="Times New Roman" w:hAnsi="Times New Roman" w:cs="Times New Roman"/>
          <w:snapToGrid w:val="0"/>
          <w:color w:val="auto"/>
          <w:sz w:val="24"/>
          <w:szCs w:val="24"/>
          <w:vertAlign w:val="subscript"/>
        </w:rPr>
        <w:t>0</w:t>
      </w:r>
      <w:r>
        <w:rPr>
          <w:rFonts w:hint="default" w:ascii="Times New Roman" w:hAnsi="Times New Roman" w:cs="Times New Roman"/>
          <w:snapToGrid w:val="0"/>
          <w:color w:val="auto"/>
          <w:sz w:val="24"/>
          <w:szCs w:val="24"/>
        </w:rPr>
        <w:t>——环境压力，Pa；</w:t>
      </w:r>
    </w:p>
    <w:p w14:paraId="4B707BAF">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ρ——泄露液体密度，kg/m</w:t>
      </w:r>
      <w:r>
        <w:rPr>
          <w:rFonts w:hint="default" w:ascii="Times New Roman" w:hAnsi="Times New Roman" w:cs="Times New Roman"/>
          <w:snapToGrid w:val="0"/>
          <w:color w:val="auto"/>
          <w:sz w:val="24"/>
          <w:szCs w:val="24"/>
          <w:vertAlign w:val="superscript"/>
        </w:rPr>
        <w:t>3</w:t>
      </w:r>
      <w:r>
        <w:rPr>
          <w:rFonts w:hint="default" w:ascii="Times New Roman" w:hAnsi="Times New Roman" w:cs="Times New Roman"/>
          <w:snapToGrid w:val="0"/>
          <w:color w:val="auto"/>
          <w:sz w:val="24"/>
          <w:szCs w:val="24"/>
        </w:rPr>
        <w:t>；</w:t>
      </w:r>
    </w:p>
    <w:p w14:paraId="555458C5">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g——重力加速度；</w:t>
      </w:r>
    </w:p>
    <w:p w14:paraId="117DD007">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h——裂口之上液位高度，m；</w:t>
      </w:r>
    </w:p>
    <w:p w14:paraId="5598F0CB">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i/>
          <w:snapToGrid w:val="0"/>
          <w:color w:val="auto"/>
          <w:sz w:val="24"/>
          <w:szCs w:val="24"/>
        </w:rPr>
        <w:t>C</w:t>
      </w:r>
      <w:r>
        <w:rPr>
          <w:rFonts w:hint="default" w:ascii="Times New Roman" w:hAnsi="Times New Roman" w:cs="Times New Roman"/>
          <w:i/>
          <w:snapToGrid w:val="0"/>
          <w:color w:val="auto"/>
          <w:sz w:val="24"/>
          <w:szCs w:val="24"/>
          <w:vertAlign w:val="subscript"/>
        </w:rPr>
        <w:t>d</w:t>
      </w:r>
      <w:r>
        <w:rPr>
          <w:rFonts w:hint="default" w:ascii="Times New Roman" w:hAnsi="Times New Roman" w:cs="Times New Roman"/>
          <w:snapToGrid w:val="0"/>
          <w:color w:val="auto"/>
          <w:sz w:val="24"/>
          <w:szCs w:val="24"/>
        </w:rPr>
        <w:t>——液体泄漏系数，取0.65。</w:t>
      </w:r>
    </w:p>
    <w:p w14:paraId="45D8232C">
      <w:pPr>
        <w:spacing w:line="440" w:lineRule="exact"/>
        <w:ind w:firstLine="480"/>
        <w:rPr>
          <w:rFonts w:hint="default" w:ascii="Times New Roman" w:hAnsi="Times New Roman" w:cs="Times New Roman"/>
          <w:snapToGrid w:val="0"/>
          <w:color w:val="auto"/>
          <w:sz w:val="24"/>
          <w:szCs w:val="24"/>
        </w:rPr>
      </w:pPr>
      <w:r>
        <w:rPr>
          <w:rFonts w:hint="default" w:ascii="Times New Roman" w:hAnsi="Times New Roman" w:cs="Times New Roman"/>
          <w:snapToGrid w:val="0"/>
          <w:color w:val="auto"/>
          <w:sz w:val="24"/>
          <w:szCs w:val="24"/>
        </w:rPr>
        <w:t>A——裂口面积，m</w:t>
      </w:r>
      <w:r>
        <w:rPr>
          <w:rFonts w:hint="default" w:ascii="Times New Roman" w:hAnsi="Times New Roman" w:cs="Times New Roman"/>
          <w:snapToGrid w:val="0"/>
          <w:color w:val="auto"/>
          <w:sz w:val="24"/>
          <w:szCs w:val="24"/>
          <w:vertAlign w:val="superscript"/>
        </w:rPr>
        <w:t>2</w:t>
      </w:r>
      <w:r>
        <w:rPr>
          <w:rFonts w:hint="default" w:ascii="Times New Roman" w:hAnsi="Times New Roman" w:cs="Times New Roman"/>
          <w:snapToGrid w:val="0"/>
          <w:color w:val="auto"/>
          <w:sz w:val="24"/>
          <w:szCs w:val="24"/>
        </w:rPr>
        <w:t>；A=(5×10</w:t>
      </w:r>
      <w:r>
        <w:rPr>
          <w:rFonts w:hint="default" w:ascii="Times New Roman" w:hAnsi="Times New Roman" w:cs="Times New Roman"/>
          <w:snapToGrid w:val="0"/>
          <w:color w:val="auto"/>
          <w:sz w:val="24"/>
          <w:szCs w:val="24"/>
          <w:vertAlign w:val="superscript"/>
        </w:rPr>
        <w:t>-3</w:t>
      </w:r>
      <w:r>
        <w:rPr>
          <w:rFonts w:hint="default" w:ascii="Times New Roman" w:hAnsi="Times New Roman" w:cs="Times New Roman"/>
          <w:snapToGrid w:val="0"/>
          <w:color w:val="auto"/>
          <w:sz w:val="24"/>
          <w:szCs w:val="24"/>
        </w:rPr>
        <w:t>)</w:t>
      </w:r>
      <w:r>
        <w:rPr>
          <w:rFonts w:hint="default" w:ascii="Times New Roman" w:hAnsi="Times New Roman" w:cs="Times New Roman"/>
          <w:snapToGrid w:val="0"/>
          <w:color w:val="auto"/>
          <w:sz w:val="24"/>
          <w:szCs w:val="24"/>
          <w:vertAlign w:val="superscript"/>
        </w:rPr>
        <w:t>2</w:t>
      </w:r>
      <w:r>
        <w:rPr>
          <w:rFonts w:hint="default" w:ascii="Times New Roman" w:hAnsi="Times New Roman" w:cs="Times New Roman"/>
          <w:snapToGrid w:val="0"/>
          <w:color w:val="auto"/>
          <w:sz w:val="24"/>
          <w:szCs w:val="24"/>
        </w:rPr>
        <w:t>×3.14≈7.85×10</w:t>
      </w:r>
      <w:r>
        <w:rPr>
          <w:rFonts w:hint="default" w:ascii="Times New Roman" w:hAnsi="Times New Roman" w:cs="Times New Roman"/>
          <w:snapToGrid w:val="0"/>
          <w:color w:val="auto"/>
          <w:sz w:val="24"/>
          <w:szCs w:val="24"/>
          <w:vertAlign w:val="superscript"/>
        </w:rPr>
        <w:t>-5</w:t>
      </w:r>
      <w:r>
        <w:rPr>
          <w:rFonts w:hint="default" w:ascii="Times New Roman" w:hAnsi="Times New Roman" w:cs="Times New Roman"/>
          <w:snapToGrid w:val="0"/>
          <w:color w:val="auto"/>
          <w:sz w:val="24"/>
          <w:szCs w:val="24"/>
        </w:rPr>
        <w:t>m</w:t>
      </w:r>
      <w:r>
        <w:rPr>
          <w:rFonts w:hint="default" w:ascii="Times New Roman" w:hAnsi="Times New Roman" w:cs="Times New Roman"/>
          <w:snapToGrid w:val="0"/>
          <w:color w:val="auto"/>
          <w:sz w:val="24"/>
          <w:szCs w:val="24"/>
          <w:vertAlign w:val="superscript"/>
        </w:rPr>
        <w:t>2</w:t>
      </w:r>
      <w:r>
        <w:rPr>
          <w:rFonts w:hint="default" w:ascii="Times New Roman" w:hAnsi="Times New Roman" w:cs="Times New Roman"/>
          <w:snapToGrid w:val="0"/>
          <w:color w:val="auto"/>
          <w:sz w:val="24"/>
          <w:szCs w:val="24"/>
        </w:rPr>
        <w:t>。</w:t>
      </w:r>
    </w:p>
    <w:p w14:paraId="382B926A">
      <w:pPr>
        <w:pStyle w:val="58"/>
        <w:bidi w:val="0"/>
        <w:rPr>
          <w:rFonts w:hint="default" w:ascii="Times New Roman" w:hAnsi="Times New Roman" w:cs="Times New Roman"/>
          <w:color w:val="auto"/>
        </w:rPr>
      </w:pPr>
      <w:r>
        <w:rPr>
          <w:rFonts w:hint="default" w:ascii="Times New Roman" w:hAnsi="Times New Roman" w:cs="Times New Roman"/>
          <w:color w:val="auto"/>
          <w:lang w:val="en-US" w:eastAsia="zh-CN"/>
        </w:rPr>
        <w:t>本项目假设管道下方破裂，裂口之上液位高度为管道直径，取50mm</w:t>
      </w:r>
      <w:r>
        <w:rPr>
          <w:rFonts w:hint="default" w:ascii="Times New Roman" w:hAnsi="Times New Roman" w:cs="Times New Roman"/>
          <w:color w:val="auto"/>
        </w:rPr>
        <w:t>；泄漏量计算参数取值见表</w:t>
      </w:r>
      <w:r>
        <w:rPr>
          <w:rFonts w:hint="default" w:ascii="Times New Roman" w:hAnsi="Times New Roman" w:cs="Times New Roman"/>
          <w:color w:val="auto"/>
          <w:lang w:val="en-US" w:eastAsia="zh-CN"/>
        </w:rPr>
        <w:t>3.2-1</w:t>
      </w:r>
      <w:r>
        <w:rPr>
          <w:rFonts w:hint="default" w:ascii="Times New Roman" w:hAnsi="Times New Roman" w:cs="Times New Roman"/>
          <w:color w:val="auto"/>
        </w:rPr>
        <w:t>。</w:t>
      </w:r>
    </w:p>
    <w:p w14:paraId="408E778E">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snapToGrid w:val="0"/>
          <w:color w:val="auto"/>
          <w:sz w:val="21"/>
          <w:szCs w:val="21"/>
        </w:rPr>
      </w:pPr>
      <w:r>
        <w:rPr>
          <w:rFonts w:hint="default" w:ascii="Times New Roman" w:hAnsi="Times New Roman" w:eastAsia="宋体" w:cs="Times New Roman"/>
          <w:b/>
          <w:snapToGrid w:val="0"/>
          <w:color w:val="auto"/>
          <w:sz w:val="21"/>
          <w:szCs w:val="21"/>
        </w:rPr>
        <w:t>表</w:t>
      </w:r>
      <w:r>
        <w:rPr>
          <w:rFonts w:hint="default" w:ascii="Times New Roman" w:hAnsi="Times New Roman" w:eastAsia="宋体" w:cs="Times New Roman"/>
          <w:b/>
          <w:snapToGrid w:val="0"/>
          <w:color w:val="auto"/>
          <w:sz w:val="21"/>
          <w:szCs w:val="21"/>
          <w:lang w:val="en-US" w:eastAsia="zh-CN"/>
        </w:rPr>
        <w:t>3.2-1</w:t>
      </w:r>
      <w:r>
        <w:rPr>
          <w:rFonts w:hint="default" w:ascii="Times New Roman" w:hAnsi="Times New Roman" w:eastAsia="宋体" w:cs="Times New Roman"/>
          <w:b/>
          <w:snapToGrid w:val="0"/>
          <w:color w:val="auto"/>
          <w:sz w:val="21"/>
          <w:szCs w:val="21"/>
        </w:rPr>
        <w:t xml:space="preserve">   </w:t>
      </w:r>
      <w:r>
        <w:rPr>
          <w:rFonts w:hint="default" w:ascii="Times New Roman" w:hAnsi="Times New Roman" w:eastAsia="宋体" w:cs="Times New Roman"/>
          <w:b/>
          <w:snapToGrid w:val="0"/>
          <w:color w:val="auto"/>
          <w:sz w:val="21"/>
          <w:szCs w:val="21"/>
          <w:lang w:val="en-US" w:eastAsia="zh-CN"/>
        </w:rPr>
        <w:t>液化石油气</w:t>
      </w:r>
      <w:r>
        <w:rPr>
          <w:rFonts w:hint="default" w:ascii="Times New Roman" w:hAnsi="Times New Roman" w:eastAsia="宋体" w:cs="Times New Roman"/>
          <w:b/>
          <w:snapToGrid w:val="0"/>
          <w:color w:val="auto"/>
          <w:sz w:val="21"/>
          <w:szCs w:val="21"/>
        </w:rPr>
        <w:t>储罐泄露量计算参数取值一览表</w:t>
      </w:r>
    </w:p>
    <w:tbl>
      <w:tblPr>
        <w:tblStyle w:val="32"/>
        <w:tblW w:w="4996"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33"/>
        <w:gridCol w:w="966"/>
        <w:gridCol w:w="965"/>
        <w:gridCol w:w="1026"/>
        <w:gridCol w:w="965"/>
        <w:gridCol w:w="965"/>
        <w:gridCol w:w="965"/>
        <w:gridCol w:w="965"/>
        <w:gridCol w:w="965"/>
      </w:tblGrid>
      <w:tr w14:paraId="4AD6EC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05" w:type="pct"/>
            <w:gridSpan w:val="2"/>
            <w:tcBorders>
              <w:top w:val="single" w:color="auto" w:sz="4" w:space="0"/>
              <w:left w:val="single" w:color="auto" w:sz="4" w:space="0"/>
              <w:bottom w:val="single" w:color="auto" w:sz="4" w:space="0"/>
              <w:right w:val="single" w:color="auto" w:sz="4" w:space="0"/>
            </w:tcBorders>
            <w:noWrap w:val="0"/>
            <w:vAlign w:val="center"/>
          </w:tcPr>
          <w:p w14:paraId="4A83645A">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参数</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5592CC65">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i/>
                <w:snapToGrid w:val="0"/>
                <w:color w:val="auto"/>
                <w:sz w:val="21"/>
                <w:szCs w:val="21"/>
              </w:rPr>
              <w:t>C</w:t>
            </w:r>
            <w:r>
              <w:rPr>
                <w:rFonts w:hint="default" w:ascii="Times New Roman" w:hAnsi="Times New Roman" w:cs="Times New Roman"/>
                <w:i/>
                <w:snapToGrid w:val="0"/>
                <w:color w:val="auto"/>
                <w:sz w:val="21"/>
                <w:szCs w:val="21"/>
                <w:vertAlign w:val="subscript"/>
              </w:rPr>
              <w:t>d</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3E776F33">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A</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503E2B01">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ρ</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46FFA40E">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Ρ</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7EE33BCC">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P</w:t>
            </w:r>
            <w:r>
              <w:rPr>
                <w:rFonts w:hint="default" w:ascii="Times New Roman" w:hAnsi="Times New Roman" w:cs="Times New Roman"/>
                <w:snapToGrid w:val="0"/>
                <w:color w:val="auto"/>
                <w:sz w:val="21"/>
                <w:szCs w:val="21"/>
                <w:vertAlign w:val="subscript"/>
              </w:rPr>
              <w:t>0</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526013E7">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g</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63305357">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h</w:t>
            </w:r>
          </w:p>
        </w:tc>
      </w:tr>
      <w:tr w14:paraId="29550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05" w:type="pct"/>
            <w:gridSpan w:val="2"/>
            <w:tcBorders>
              <w:top w:val="single" w:color="auto" w:sz="4" w:space="0"/>
              <w:left w:val="single" w:color="auto" w:sz="4" w:space="0"/>
              <w:bottom w:val="single" w:color="auto" w:sz="4" w:space="0"/>
              <w:right w:val="single" w:color="auto" w:sz="4" w:space="0"/>
            </w:tcBorders>
            <w:noWrap w:val="0"/>
            <w:vAlign w:val="center"/>
          </w:tcPr>
          <w:p w14:paraId="1F863FD9">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单位</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18A72BAC">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6828CEA1">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m</w:t>
            </w:r>
            <w:r>
              <w:rPr>
                <w:rFonts w:hint="default" w:ascii="Times New Roman" w:hAnsi="Times New Roman" w:cs="Times New Roman"/>
                <w:snapToGrid w:val="0"/>
                <w:color w:val="auto"/>
                <w:sz w:val="21"/>
                <w:szCs w:val="21"/>
                <w:vertAlign w:val="superscript"/>
              </w:rPr>
              <w:t>2</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6FA0CAFD">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kg/m</w:t>
            </w:r>
            <w:r>
              <w:rPr>
                <w:rFonts w:hint="default" w:ascii="Times New Roman" w:hAnsi="Times New Roman" w:cs="Times New Roman"/>
                <w:snapToGrid w:val="0"/>
                <w:color w:val="auto"/>
                <w:sz w:val="21"/>
                <w:szCs w:val="21"/>
                <w:vertAlign w:val="superscript"/>
              </w:rPr>
              <w:t>3</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043A5017">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Pa</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08B12D03">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Pa</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48A3823E">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m/s</w:t>
            </w:r>
            <w:r>
              <w:rPr>
                <w:rFonts w:hint="default" w:ascii="Times New Roman" w:hAnsi="Times New Roman" w:cs="Times New Roman"/>
                <w:snapToGrid w:val="0"/>
                <w:color w:val="auto"/>
                <w:sz w:val="21"/>
                <w:szCs w:val="21"/>
                <w:vertAlign w:val="superscript"/>
              </w:rPr>
              <w:t>2</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4FE17D9D">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m</w:t>
            </w:r>
          </w:p>
        </w:tc>
      </w:tr>
      <w:tr w14:paraId="1E7162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434" w:type="pct"/>
            <w:vMerge w:val="restart"/>
            <w:tcBorders>
              <w:top w:val="single" w:color="auto" w:sz="4" w:space="0"/>
              <w:left w:val="single" w:color="auto" w:sz="4" w:space="0"/>
              <w:right w:val="single" w:color="auto" w:sz="4" w:space="0"/>
            </w:tcBorders>
            <w:noWrap w:val="0"/>
            <w:vAlign w:val="center"/>
          </w:tcPr>
          <w:p w14:paraId="61B724B4">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取值</w:t>
            </w:r>
          </w:p>
        </w:tc>
        <w:tc>
          <w:tcPr>
            <w:tcW w:w="571" w:type="pct"/>
            <w:tcBorders>
              <w:top w:val="single" w:color="auto" w:sz="4" w:space="0"/>
              <w:left w:val="single" w:color="auto" w:sz="4" w:space="0"/>
              <w:bottom w:val="single" w:color="auto" w:sz="4" w:space="0"/>
              <w:right w:val="single" w:color="auto" w:sz="4" w:space="0"/>
            </w:tcBorders>
            <w:noWrap w:val="0"/>
            <w:vAlign w:val="center"/>
          </w:tcPr>
          <w:p w14:paraId="7F2FAF9D">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cs="Times New Roman"/>
                <w:snapToGrid w:val="0"/>
                <w:color w:val="auto"/>
                <w:sz w:val="21"/>
                <w:szCs w:val="21"/>
                <w:lang w:val="en-US" w:eastAsia="zh-CN"/>
              </w:rPr>
              <w:t>LPG</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0F71BC30">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snapToGrid w:val="0"/>
                <w:color w:val="auto"/>
                <w:sz w:val="21"/>
                <w:szCs w:val="21"/>
                <w:lang w:val="en-US" w:eastAsia="zh-CN" w:bidi="ar-SA"/>
              </w:rPr>
            </w:pPr>
            <w:r>
              <w:rPr>
                <w:rFonts w:hint="default" w:ascii="Times New Roman" w:hAnsi="Times New Roman" w:cs="Times New Roman"/>
                <w:snapToGrid w:val="0"/>
                <w:color w:val="auto"/>
                <w:sz w:val="21"/>
                <w:szCs w:val="21"/>
              </w:rPr>
              <w:t>0.65</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325DBA98">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snapToGrid w:val="0"/>
                <w:color w:val="auto"/>
                <w:sz w:val="21"/>
                <w:szCs w:val="21"/>
                <w:lang w:val="en-US" w:eastAsia="zh-CN" w:bidi="ar-SA"/>
              </w:rPr>
            </w:pPr>
            <w:r>
              <w:rPr>
                <w:rFonts w:hint="default" w:ascii="Times New Roman" w:hAnsi="Times New Roman" w:cs="Times New Roman"/>
                <w:snapToGrid w:val="0"/>
                <w:color w:val="auto"/>
                <w:sz w:val="21"/>
                <w:szCs w:val="21"/>
              </w:rPr>
              <w:t>7.85×10</w:t>
            </w:r>
            <w:r>
              <w:rPr>
                <w:rFonts w:hint="default" w:ascii="Times New Roman" w:hAnsi="Times New Roman" w:cs="Times New Roman"/>
                <w:snapToGrid w:val="0"/>
                <w:color w:val="auto"/>
                <w:sz w:val="21"/>
                <w:szCs w:val="21"/>
                <w:vertAlign w:val="superscript"/>
              </w:rPr>
              <w:t>-5</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3ACAC029">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eastAsia="宋体" w:cs="Times New Roman"/>
                <w:snapToGrid w:val="0"/>
                <w:color w:val="auto"/>
                <w:sz w:val="21"/>
                <w:szCs w:val="21"/>
                <w:lang w:val="en-US" w:eastAsia="zh-CN" w:bidi="ar-SA"/>
              </w:rPr>
            </w:pPr>
            <w:r>
              <w:rPr>
                <w:rFonts w:hint="default" w:ascii="Times New Roman" w:hAnsi="Times New Roman" w:cs="Times New Roman"/>
                <w:snapToGrid w:val="0"/>
                <w:color w:val="auto"/>
                <w:sz w:val="21"/>
                <w:szCs w:val="21"/>
                <w:lang w:val="en-US" w:eastAsia="zh-CN"/>
              </w:rPr>
              <w:t>580</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17B61B63">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eastAsia="宋体" w:cs="Times New Roman"/>
                <w:snapToGrid w:val="0"/>
                <w:color w:val="auto"/>
                <w:sz w:val="21"/>
                <w:szCs w:val="21"/>
                <w:lang w:val="en-US" w:eastAsia="zh-CN" w:bidi="ar-SA"/>
              </w:rPr>
            </w:pPr>
            <w:r>
              <w:rPr>
                <w:rFonts w:hint="default" w:ascii="Times New Roman" w:hAnsi="Times New Roman" w:cs="Times New Roman"/>
                <w:snapToGrid w:val="0"/>
                <w:color w:val="auto"/>
                <w:sz w:val="21"/>
                <w:szCs w:val="21"/>
              </w:rPr>
              <w:t>101325</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5B6F7CC6">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snapToGrid w:val="0"/>
                <w:color w:val="auto"/>
                <w:sz w:val="21"/>
                <w:szCs w:val="21"/>
                <w:lang w:val="en-US" w:eastAsia="zh-CN" w:bidi="ar-SA"/>
              </w:rPr>
            </w:pPr>
            <w:r>
              <w:rPr>
                <w:rFonts w:hint="default" w:ascii="Times New Roman" w:hAnsi="Times New Roman" w:cs="Times New Roman"/>
                <w:snapToGrid w:val="0"/>
                <w:color w:val="auto"/>
                <w:sz w:val="21"/>
                <w:szCs w:val="21"/>
                <w:lang w:val="en-US" w:eastAsia="zh-CN" w:bidi="ar-SA"/>
              </w:rPr>
              <w:t>1770000</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091B78A8">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cs="Times New Roman"/>
                <w:snapToGrid w:val="0"/>
                <w:color w:val="auto"/>
                <w:sz w:val="21"/>
                <w:szCs w:val="21"/>
                <w:lang w:val="en-US" w:eastAsia="zh-CN" w:bidi="ar-SA"/>
              </w:rPr>
            </w:pPr>
            <w:r>
              <w:rPr>
                <w:rFonts w:hint="default" w:ascii="Times New Roman" w:hAnsi="Times New Roman" w:cs="Times New Roman"/>
                <w:snapToGrid w:val="0"/>
                <w:color w:val="auto"/>
                <w:sz w:val="21"/>
                <w:szCs w:val="21"/>
              </w:rPr>
              <w:t>9.8</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62807403">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eastAsia="宋体" w:cs="Times New Roman"/>
                <w:snapToGrid w:val="0"/>
                <w:color w:val="auto"/>
                <w:sz w:val="21"/>
                <w:szCs w:val="21"/>
                <w:lang w:val="en-US" w:eastAsia="zh-CN" w:bidi="ar-SA"/>
              </w:rPr>
            </w:pPr>
            <w:r>
              <w:rPr>
                <w:rFonts w:hint="default" w:ascii="Times New Roman" w:hAnsi="Times New Roman" w:cs="Times New Roman"/>
                <w:snapToGrid w:val="0"/>
                <w:color w:val="auto"/>
                <w:sz w:val="21"/>
                <w:szCs w:val="21"/>
                <w:lang w:val="en-US" w:eastAsia="zh-CN"/>
              </w:rPr>
              <w:t>0.4</w:t>
            </w:r>
          </w:p>
        </w:tc>
      </w:tr>
      <w:tr w14:paraId="73CEBD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56" w:hRule="atLeast"/>
        </w:trPr>
        <w:tc>
          <w:tcPr>
            <w:tcW w:w="434" w:type="pct"/>
            <w:vMerge w:val="continue"/>
            <w:tcBorders>
              <w:left w:val="single" w:color="auto" w:sz="4" w:space="0"/>
              <w:bottom w:val="single" w:color="auto" w:sz="4" w:space="0"/>
              <w:right w:val="single" w:color="auto" w:sz="4" w:space="0"/>
            </w:tcBorders>
            <w:noWrap w:val="0"/>
            <w:vAlign w:val="center"/>
          </w:tcPr>
          <w:p w14:paraId="4D9CA84B">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p>
        </w:tc>
        <w:tc>
          <w:tcPr>
            <w:tcW w:w="571" w:type="pct"/>
            <w:tcBorders>
              <w:top w:val="single" w:color="auto" w:sz="4" w:space="0"/>
              <w:left w:val="single" w:color="auto" w:sz="4" w:space="0"/>
              <w:bottom w:val="single" w:color="auto" w:sz="4" w:space="0"/>
              <w:right w:val="single" w:color="auto" w:sz="4" w:space="0"/>
            </w:tcBorders>
            <w:noWrap w:val="0"/>
            <w:vAlign w:val="center"/>
          </w:tcPr>
          <w:p w14:paraId="1665CD1C">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cs="Times New Roman"/>
                <w:snapToGrid w:val="0"/>
                <w:color w:val="auto"/>
                <w:sz w:val="21"/>
                <w:szCs w:val="21"/>
                <w:lang w:val="en-US" w:eastAsia="zh-CN"/>
              </w:rPr>
              <w:t>丙烷</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3E490A6A">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0.65</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497DFA2E">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7.85×10</w:t>
            </w:r>
            <w:r>
              <w:rPr>
                <w:rFonts w:hint="default" w:ascii="Times New Roman" w:hAnsi="Times New Roman" w:cs="Times New Roman"/>
                <w:snapToGrid w:val="0"/>
                <w:color w:val="auto"/>
                <w:sz w:val="21"/>
                <w:szCs w:val="21"/>
                <w:vertAlign w:val="superscript"/>
              </w:rPr>
              <w:t>-5</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5EB37638">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cs="Times New Roman"/>
                <w:snapToGrid w:val="0"/>
                <w:color w:val="auto"/>
                <w:sz w:val="21"/>
                <w:szCs w:val="21"/>
                <w:lang w:val="en-US" w:eastAsia="zh-CN"/>
              </w:rPr>
              <w:t>507</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0E043DB1">
            <w:pPr>
              <w:keepNext w:val="0"/>
              <w:keepLines w:val="0"/>
              <w:suppressLineNumbers w:val="0"/>
              <w:spacing w:before="0" w:beforeAutospacing="0" w:after="0" w:afterAutospacing="0" w:line="360" w:lineRule="exact"/>
              <w:ind w:left="0" w:leftChars="0" w:right="0" w:rightChars="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cs="Times New Roman"/>
                <w:snapToGrid w:val="0"/>
                <w:color w:val="auto"/>
                <w:sz w:val="21"/>
                <w:szCs w:val="21"/>
              </w:rPr>
              <w:t>101325</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7CF9FDDC">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lang w:val="en-US" w:eastAsia="zh-CN" w:bidi="ar-SA"/>
              </w:rPr>
              <w:t>1770000</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321F34FB">
            <w:pPr>
              <w:keepNext w:val="0"/>
              <w:keepLines w:val="0"/>
              <w:suppressLineNumbers w:val="0"/>
              <w:spacing w:before="0" w:beforeAutospacing="0" w:after="0" w:afterAutospacing="0" w:line="360" w:lineRule="exact"/>
              <w:ind w:left="0" w:right="0"/>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9.8</w:t>
            </w:r>
          </w:p>
        </w:tc>
        <w:tc>
          <w:tcPr>
            <w:tcW w:w="570" w:type="pct"/>
            <w:tcBorders>
              <w:top w:val="single" w:color="auto" w:sz="4" w:space="0"/>
              <w:left w:val="single" w:color="auto" w:sz="4" w:space="0"/>
              <w:bottom w:val="single" w:color="auto" w:sz="4" w:space="0"/>
              <w:right w:val="single" w:color="auto" w:sz="4" w:space="0"/>
            </w:tcBorders>
            <w:noWrap w:val="0"/>
            <w:vAlign w:val="center"/>
          </w:tcPr>
          <w:p w14:paraId="171151B5">
            <w:pPr>
              <w:keepNext w:val="0"/>
              <w:keepLines w:val="0"/>
              <w:suppressLineNumbers w:val="0"/>
              <w:spacing w:before="0" w:beforeAutospacing="0" w:after="0" w:afterAutospacing="0" w:line="360" w:lineRule="exact"/>
              <w:ind w:left="0" w:right="0"/>
              <w:jc w:val="center"/>
              <w:rPr>
                <w:rFonts w:hint="default" w:ascii="Times New Roman" w:hAnsi="Times New Roman" w:eastAsia="宋体" w:cs="Times New Roman"/>
                <w:snapToGrid w:val="0"/>
                <w:color w:val="auto"/>
                <w:sz w:val="21"/>
                <w:szCs w:val="21"/>
                <w:lang w:val="en-US" w:eastAsia="zh-CN"/>
              </w:rPr>
            </w:pPr>
            <w:r>
              <w:rPr>
                <w:rFonts w:hint="default" w:ascii="Times New Roman" w:hAnsi="Times New Roman" w:cs="Times New Roman"/>
                <w:snapToGrid w:val="0"/>
                <w:color w:val="auto"/>
                <w:sz w:val="21"/>
                <w:szCs w:val="21"/>
                <w:lang w:val="en-US" w:eastAsia="zh-CN"/>
              </w:rPr>
              <w:t>0.4</w:t>
            </w:r>
          </w:p>
        </w:tc>
      </w:tr>
    </w:tbl>
    <w:p w14:paraId="7C956838">
      <w:pPr>
        <w:pStyle w:val="58"/>
        <w:bidi w:val="0"/>
        <w:rPr>
          <w:rFonts w:hint="default" w:ascii="Times New Roman" w:hAnsi="Times New Roman" w:cs="Times New Roman"/>
          <w:color w:val="auto"/>
        </w:rPr>
      </w:pPr>
    </w:p>
    <w:p w14:paraId="5F05717C">
      <w:pPr>
        <w:pStyle w:val="58"/>
        <w:bidi w:val="0"/>
        <w:rPr>
          <w:rFonts w:hint="default" w:ascii="Times New Roman" w:hAnsi="Times New Roman" w:cs="Times New Roman"/>
          <w:color w:val="auto"/>
        </w:rPr>
      </w:pPr>
      <w:r>
        <w:rPr>
          <w:rFonts w:hint="default" w:ascii="Times New Roman" w:hAnsi="Times New Roman" w:cs="Times New Roman"/>
          <w:color w:val="auto"/>
        </w:rPr>
        <w:t>通过上述计算可知，</w:t>
      </w:r>
      <w:r>
        <w:rPr>
          <w:rFonts w:hint="default" w:ascii="Times New Roman" w:hAnsi="Times New Roman" w:cs="Times New Roman"/>
          <w:color w:val="auto"/>
          <w:lang w:val="en-US" w:eastAsia="zh-CN"/>
        </w:rPr>
        <w:t>LPG灌装过程管道</w:t>
      </w:r>
      <w:r>
        <w:rPr>
          <w:rFonts w:hint="default" w:ascii="Times New Roman" w:hAnsi="Times New Roman" w:cs="Times New Roman"/>
          <w:color w:val="auto"/>
        </w:rPr>
        <w:t>发生泄漏时的泄漏速率为</w:t>
      </w:r>
      <w:r>
        <w:rPr>
          <w:rFonts w:hint="default" w:ascii="Times New Roman" w:hAnsi="Times New Roman" w:cs="Times New Roman"/>
          <w:color w:val="auto"/>
          <w:lang w:val="en-US" w:eastAsia="zh-CN"/>
        </w:rPr>
        <w:t>2.246</w:t>
      </w:r>
      <w:r>
        <w:rPr>
          <w:rFonts w:hint="default" w:ascii="Times New Roman" w:hAnsi="Times New Roman" w:cs="Times New Roman"/>
          <w:color w:val="auto"/>
        </w:rPr>
        <w:t>kg/s</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丙烷灌装过程管道发生泄漏是的泄漏速率为2.100kg/a</w:t>
      </w:r>
      <w:r>
        <w:rPr>
          <w:rFonts w:hint="default" w:ascii="Times New Roman" w:hAnsi="Times New Roman" w:cs="Times New Roman"/>
          <w:color w:val="auto"/>
        </w:rPr>
        <w:t>，泄漏时间持续10min，总的泄漏量</w:t>
      </w:r>
      <w:r>
        <w:rPr>
          <w:rFonts w:hint="default" w:ascii="Times New Roman" w:hAnsi="Times New Roman" w:cs="Times New Roman"/>
          <w:color w:val="auto"/>
          <w:lang w:val="en-US" w:eastAsia="zh-CN"/>
        </w:rPr>
        <w:t>分别为1.348</w:t>
      </w:r>
      <w:r>
        <w:rPr>
          <w:rFonts w:hint="default" w:ascii="Times New Roman" w:hAnsi="Times New Roman" w:cs="Times New Roman"/>
          <w:color w:val="auto"/>
        </w:rPr>
        <w:t>t</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1.260t</w:t>
      </w:r>
      <w:r>
        <w:rPr>
          <w:rFonts w:hint="default" w:ascii="Times New Roman" w:hAnsi="Times New Roman" w:cs="Times New Roman"/>
          <w:color w:val="auto"/>
        </w:rPr>
        <w:t>。</w:t>
      </w:r>
    </w:p>
    <w:p w14:paraId="46CFF36B">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蒸发量计算</w:t>
      </w:r>
    </w:p>
    <w:p w14:paraId="0BE2E0ED">
      <w:pPr>
        <w:pStyle w:val="58"/>
        <w:bidi w:val="0"/>
        <w:rPr>
          <w:rFonts w:hint="default" w:ascii="Times New Roman" w:hAnsi="Times New Roman" w:cs="Times New Roman"/>
          <w:color w:val="auto"/>
        </w:rPr>
      </w:pPr>
      <w:r>
        <w:rPr>
          <w:rFonts w:hint="default" w:ascii="Times New Roman" w:hAnsi="Times New Roman" w:cs="Times New Roman"/>
          <w:color w:val="auto"/>
        </w:rPr>
        <w:t>根据导则HJ169-2018，泄漏液体的蒸发分为闪蒸蒸发、热量蒸发和质量蒸发三种，其蒸发总量为这三种蒸发之和。</w:t>
      </w:r>
    </w:p>
    <w:p w14:paraId="7AFA850C">
      <w:pPr>
        <w:pStyle w:val="58"/>
        <w:bidi w:val="0"/>
        <w:rPr>
          <w:rFonts w:hint="default" w:ascii="Times New Roman" w:hAnsi="Times New Roman" w:cs="Times New Roman"/>
          <w:color w:val="auto"/>
        </w:rPr>
      </w:pPr>
      <w:r>
        <w:rPr>
          <w:rFonts w:hint="default" w:ascii="Times New Roman" w:hAnsi="Times New Roman" w:cs="Times New Roman"/>
          <w:color w:val="auto"/>
        </w:rPr>
        <w:t>闪蒸为过热液体的蒸发；当液体闪蒸不完全，有一部分液体在地面形成液池，并吸收地面热量而气化称为热量蒸发；当热量蒸发结束，转由液池表面气流运动使液体蒸发，称之为质量蒸发。</w:t>
      </w:r>
    </w:p>
    <w:p w14:paraId="778D930D">
      <w:pPr>
        <w:pStyle w:val="58"/>
        <w:bidi w:val="0"/>
        <w:rPr>
          <w:rFonts w:hint="default" w:ascii="Times New Roman" w:hAnsi="Times New Roman" w:cs="Times New Roman"/>
          <w:color w:val="auto"/>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液化石油气、丙烷</w:t>
      </w:r>
      <w:r>
        <w:rPr>
          <w:rFonts w:hint="default" w:ascii="Times New Roman" w:hAnsi="Times New Roman" w:cs="Times New Roman"/>
          <w:color w:val="auto"/>
        </w:rPr>
        <w:t>发生泄漏后</w:t>
      </w:r>
      <w:r>
        <w:rPr>
          <w:rFonts w:hint="default" w:ascii="Times New Roman" w:hAnsi="Times New Roman" w:cs="Times New Roman"/>
          <w:color w:val="auto"/>
          <w:lang w:val="en-US" w:eastAsia="zh-CN"/>
        </w:rPr>
        <w:t>瞬间汽化，</w:t>
      </w:r>
      <w:r>
        <w:rPr>
          <w:rFonts w:hint="default" w:ascii="Times New Roman" w:hAnsi="Times New Roman" w:cs="Times New Roman"/>
          <w:color w:val="auto"/>
        </w:rPr>
        <w:t>蒸发为气团。因此，</w:t>
      </w:r>
      <w:r>
        <w:rPr>
          <w:rFonts w:hint="default" w:ascii="Times New Roman" w:hAnsi="Times New Roman" w:cs="Times New Roman"/>
          <w:color w:val="auto"/>
          <w:lang w:val="en-US" w:eastAsia="zh-CN"/>
        </w:rPr>
        <w:t>液化石油气</w:t>
      </w:r>
      <w:r>
        <w:rPr>
          <w:rFonts w:hint="default" w:ascii="Times New Roman" w:hAnsi="Times New Roman" w:cs="Times New Roman"/>
          <w:color w:val="auto"/>
        </w:rPr>
        <w:t>泄漏将主要考虑闪蒸蒸发。</w:t>
      </w:r>
    </w:p>
    <w:p w14:paraId="527CD2AD">
      <w:pPr>
        <w:pStyle w:val="58"/>
        <w:bidi w:val="0"/>
        <w:rPr>
          <w:rFonts w:hint="default" w:ascii="Times New Roman" w:hAnsi="Times New Roman" w:cs="Times New Roman"/>
          <w:snapToGrid w:val="0"/>
          <w:color w:val="auto"/>
          <w:szCs w:val="24"/>
          <w:highlight w:val="none"/>
        </w:rPr>
      </w:pPr>
      <w:r>
        <w:rPr>
          <w:rFonts w:hint="default" w:ascii="Times New Roman" w:hAnsi="Times New Roman" w:cs="Times New Roman"/>
          <w:color w:val="auto"/>
        </w:rPr>
        <w:t>过热液体闪蒸蒸发速率</w:t>
      </w:r>
      <w:r>
        <w:rPr>
          <w:rFonts w:hint="default" w:ascii="Times New Roman" w:hAnsi="Times New Roman" w:cs="Times New Roman"/>
          <w:color w:val="auto"/>
          <w:lang w:val="en-US" w:eastAsia="zh-CN"/>
        </w:rPr>
        <w:t>等于泄漏速率，LPG、丙烷</w:t>
      </w:r>
      <w:r>
        <w:rPr>
          <w:rFonts w:hint="default" w:ascii="Times New Roman" w:hAnsi="Times New Roman" w:cs="Times New Roman"/>
          <w:color w:val="auto"/>
        </w:rPr>
        <w:t>Q1</w:t>
      </w:r>
      <w:r>
        <w:rPr>
          <w:rFonts w:hint="default" w:ascii="Times New Roman" w:hAnsi="Times New Roman" w:cs="Times New Roman"/>
          <w:color w:val="auto"/>
          <w:lang w:val="en-US" w:eastAsia="zh-CN"/>
        </w:rPr>
        <w:t>分别</w:t>
      </w:r>
      <w:r>
        <w:rPr>
          <w:rFonts w:hint="default" w:ascii="Times New Roman" w:hAnsi="Times New Roman" w:cs="Times New Roman"/>
          <w:color w:val="auto"/>
        </w:rPr>
        <w:t>为</w:t>
      </w:r>
      <w:r>
        <w:rPr>
          <w:rFonts w:hint="default" w:ascii="Times New Roman" w:hAnsi="Times New Roman" w:cs="Times New Roman"/>
          <w:color w:val="auto"/>
          <w:lang w:val="en-US" w:eastAsia="zh-CN"/>
        </w:rPr>
        <w:t>2.246</w:t>
      </w:r>
      <w:r>
        <w:rPr>
          <w:rFonts w:hint="default" w:ascii="Times New Roman" w:hAnsi="Times New Roman" w:cs="Times New Roman"/>
          <w:color w:val="auto"/>
        </w:rPr>
        <w:t>kg/s</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2.100kg/s</w:t>
      </w:r>
      <w:r>
        <w:rPr>
          <w:rFonts w:hint="default" w:ascii="Times New Roman" w:hAnsi="Times New Roman" w:cs="Times New Roman"/>
          <w:color w:val="auto"/>
        </w:rPr>
        <w:t>。</w:t>
      </w:r>
    </w:p>
    <w:p w14:paraId="1ED4A6F9">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CO产生量估算</w:t>
      </w:r>
    </w:p>
    <w:p w14:paraId="4335CE0C">
      <w:pPr>
        <w:spacing w:line="360" w:lineRule="auto"/>
        <w:ind w:firstLine="480" w:firstLineChars="200"/>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en-US" w:bidi="zh-CN"/>
        </w:rPr>
        <w:t>液化石油气、丙烷</w:t>
      </w:r>
      <w:r>
        <w:rPr>
          <w:rFonts w:hint="default" w:ascii="Times New Roman" w:hAnsi="Times New Roman" w:cs="Times New Roman"/>
          <w:color w:val="auto"/>
          <w:sz w:val="24"/>
          <w:szCs w:val="24"/>
          <w:lang w:val="zh-CN" w:bidi="zh-CN"/>
        </w:rPr>
        <w:t>泄漏</w:t>
      </w:r>
      <w:r>
        <w:rPr>
          <w:rFonts w:hint="default" w:ascii="Times New Roman" w:hAnsi="Times New Roman" w:cs="Times New Roman"/>
          <w:color w:val="auto"/>
          <w:sz w:val="24"/>
          <w:szCs w:val="24"/>
          <w:lang w:val="en-US" w:bidi="zh-CN"/>
        </w:rPr>
        <w:t>后</w:t>
      </w:r>
      <w:r>
        <w:rPr>
          <w:rFonts w:hint="default" w:ascii="Times New Roman" w:hAnsi="Times New Roman" w:cs="Times New Roman"/>
          <w:color w:val="auto"/>
          <w:sz w:val="24"/>
          <w:szCs w:val="24"/>
          <w:lang w:val="zh-CN" w:bidi="zh-CN"/>
        </w:rPr>
        <w:t>在有火源的情况下，将发生火灾爆炸事故，当</w:t>
      </w:r>
      <w:r>
        <w:rPr>
          <w:rFonts w:hint="default" w:ascii="Times New Roman" w:hAnsi="Times New Roman" w:cs="Times New Roman"/>
          <w:color w:val="auto"/>
          <w:sz w:val="24"/>
          <w:szCs w:val="24"/>
          <w:lang w:val="en-US" w:bidi="zh-CN"/>
        </w:rPr>
        <w:t>液化石油气、丙烷</w:t>
      </w:r>
      <w:r>
        <w:rPr>
          <w:rFonts w:hint="default" w:ascii="Times New Roman" w:hAnsi="Times New Roman" w:cs="Times New Roman"/>
          <w:color w:val="auto"/>
          <w:sz w:val="24"/>
          <w:szCs w:val="24"/>
          <w:lang w:val="zh-CN" w:bidi="zh-CN"/>
        </w:rPr>
        <w:t>的急剧燃烧所需的供氧量不足时，属于典型的不完全燃烧，因此燃烧过程中会有CO产生。</w:t>
      </w:r>
    </w:p>
    <w:p w14:paraId="2E8107A4">
      <w:pPr>
        <w:spacing w:line="360" w:lineRule="auto"/>
        <w:ind w:firstLine="480" w:firstLineChars="200"/>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火灾伴生/次生中一氧化碳产生量的计算见公式：</w:t>
      </w:r>
    </w:p>
    <w:p w14:paraId="2E6247C0">
      <w:pPr>
        <w:autoSpaceDE w:val="0"/>
        <w:autoSpaceDN w:val="0"/>
        <w:spacing w:line="360" w:lineRule="auto"/>
        <w:ind w:firstLine="480" w:firstLineChars="20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G</w:t>
      </w:r>
      <w:r>
        <w:rPr>
          <w:rFonts w:hint="default" w:ascii="Times New Roman" w:hAnsi="Times New Roman" w:cs="Times New Roman"/>
          <w:color w:val="auto"/>
          <w:sz w:val="24"/>
          <w:szCs w:val="24"/>
          <w:vertAlign w:val="subscript"/>
        </w:rPr>
        <w:t xml:space="preserve">co </w:t>
      </w:r>
      <w:r>
        <w:rPr>
          <w:rFonts w:hint="default" w:ascii="Times New Roman" w:hAnsi="Times New Roman" w:cs="Times New Roman"/>
          <w:color w:val="auto"/>
          <w:sz w:val="24"/>
          <w:szCs w:val="24"/>
        </w:rPr>
        <w:t>= 2330qCQ</w:t>
      </w:r>
    </w:p>
    <w:p w14:paraId="6EB31192">
      <w:pPr>
        <w:adjustRightInd w:val="0"/>
        <w:spacing w:line="360" w:lineRule="auto"/>
        <w:ind w:firstLine="480" w:firstLineChars="200"/>
        <w:jc w:val="left"/>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式中：</w:t>
      </w:r>
    </w:p>
    <w:p w14:paraId="352F7EFB">
      <w:pPr>
        <w:adjustRightInd w:val="0"/>
        <w:spacing w:line="360" w:lineRule="auto"/>
        <w:ind w:firstLine="480" w:firstLineChars="200"/>
        <w:jc w:val="left"/>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G</w:t>
      </w:r>
      <w:r>
        <w:rPr>
          <w:rFonts w:hint="default" w:ascii="Times New Roman" w:hAnsi="Times New Roman" w:cs="Times New Roman"/>
          <w:color w:val="auto"/>
          <w:sz w:val="24"/>
          <w:szCs w:val="24"/>
          <w:vertAlign w:val="subscript"/>
          <w:lang w:val="zh-CN" w:bidi="zh-CN"/>
        </w:rPr>
        <w:t>co</w:t>
      </w:r>
      <w:r>
        <w:rPr>
          <w:rFonts w:hint="default" w:ascii="Times New Roman" w:hAnsi="Times New Roman" w:cs="Times New Roman"/>
          <w:color w:val="auto"/>
          <w:sz w:val="24"/>
          <w:szCs w:val="24"/>
          <w:lang w:val="zh-CN" w:bidi="zh-CN"/>
        </w:rPr>
        <w:t>—一氧化碳产生量（kg/</w:t>
      </w:r>
      <w:r>
        <w:rPr>
          <w:rFonts w:hint="default" w:ascii="Times New Roman" w:hAnsi="Times New Roman" w:cs="Times New Roman"/>
          <w:color w:val="auto"/>
          <w:sz w:val="24"/>
          <w:szCs w:val="24"/>
          <w:lang w:bidi="zh-CN"/>
        </w:rPr>
        <w:t>s</w:t>
      </w:r>
      <w:r>
        <w:rPr>
          <w:rFonts w:hint="default" w:ascii="Times New Roman" w:hAnsi="Times New Roman" w:cs="Times New Roman"/>
          <w:color w:val="auto"/>
          <w:sz w:val="24"/>
          <w:szCs w:val="24"/>
          <w:lang w:val="zh-CN" w:bidi="zh-CN"/>
        </w:rPr>
        <w:t>）；</w:t>
      </w:r>
    </w:p>
    <w:p w14:paraId="2A048A28">
      <w:pPr>
        <w:adjustRightInd w:val="0"/>
        <w:spacing w:line="360" w:lineRule="auto"/>
        <w:ind w:firstLine="480" w:firstLineChars="200"/>
        <w:jc w:val="left"/>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C—物质中碳的含量，取</w:t>
      </w:r>
      <w:r>
        <w:rPr>
          <w:rFonts w:hint="default" w:ascii="Times New Roman" w:hAnsi="Times New Roman" w:cs="Times New Roman"/>
          <w:color w:val="auto"/>
          <w:sz w:val="24"/>
          <w:szCs w:val="24"/>
          <w:lang w:bidi="zh-CN"/>
        </w:rPr>
        <w:t>8</w:t>
      </w:r>
      <w:r>
        <w:rPr>
          <w:rFonts w:hint="default" w:ascii="Times New Roman" w:hAnsi="Times New Roman" w:cs="Times New Roman"/>
          <w:color w:val="auto"/>
          <w:sz w:val="24"/>
          <w:szCs w:val="24"/>
          <w:lang w:val="zh-CN" w:bidi="zh-CN"/>
        </w:rPr>
        <w:t>5%；</w:t>
      </w:r>
    </w:p>
    <w:p w14:paraId="466024D9">
      <w:pPr>
        <w:adjustRightInd w:val="0"/>
        <w:spacing w:line="360" w:lineRule="auto"/>
        <w:ind w:firstLine="480" w:firstLineChars="200"/>
        <w:jc w:val="left"/>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q—化学不完全燃烧值，取</w:t>
      </w:r>
      <w:r>
        <w:rPr>
          <w:rFonts w:hint="default" w:ascii="Times New Roman" w:hAnsi="Times New Roman" w:cs="Times New Roman"/>
          <w:color w:val="auto"/>
          <w:sz w:val="24"/>
          <w:szCs w:val="24"/>
          <w:lang w:bidi="zh-CN"/>
        </w:rPr>
        <w:t>1.5</w:t>
      </w:r>
      <w:r>
        <w:rPr>
          <w:rFonts w:hint="default" w:ascii="Times New Roman" w:hAnsi="Times New Roman" w:cs="Times New Roman"/>
          <w:color w:val="auto"/>
          <w:sz w:val="24"/>
          <w:szCs w:val="24"/>
          <w:lang w:val="zh-CN" w:bidi="zh-CN"/>
        </w:rPr>
        <w:t>%~</w:t>
      </w:r>
      <w:r>
        <w:rPr>
          <w:rFonts w:hint="default" w:ascii="Times New Roman" w:hAnsi="Times New Roman" w:cs="Times New Roman"/>
          <w:color w:val="auto"/>
          <w:sz w:val="24"/>
          <w:szCs w:val="24"/>
          <w:lang w:bidi="zh-CN"/>
        </w:rPr>
        <w:t>6</w:t>
      </w:r>
      <w:r>
        <w:rPr>
          <w:rFonts w:hint="default" w:ascii="Times New Roman" w:hAnsi="Times New Roman" w:cs="Times New Roman"/>
          <w:color w:val="auto"/>
          <w:sz w:val="24"/>
          <w:szCs w:val="24"/>
          <w:lang w:val="zh-CN" w:bidi="zh-CN"/>
        </w:rPr>
        <w:t>%（本次评价取</w:t>
      </w:r>
      <w:r>
        <w:rPr>
          <w:rFonts w:hint="default" w:ascii="Times New Roman" w:hAnsi="Times New Roman" w:cs="Times New Roman"/>
          <w:color w:val="auto"/>
          <w:sz w:val="24"/>
          <w:szCs w:val="24"/>
          <w:lang w:bidi="zh-CN"/>
        </w:rPr>
        <w:t>5</w:t>
      </w:r>
      <w:r>
        <w:rPr>
          <w:rFonts w:hint="default" w:ascii="Times New Roman" w:hAnsi="Times New Roman" w:cs="Times New Roman"/>
          <w:color w:val="auto"/>
          <w:sz w:val="24"/>
          <w:szCs w:val="24"/>
          <w:lang w:val="zh-CN" w:bidi="zh-CN"/>
        </w:rPr>
        <w:t>%）；</w:t>
      </w:r>
    </w:p>
    <w:p w14:paraId="7524A69A">
      <w:pPr>
        <w:adjustRightInd w:val="0"/>
        <w:spacing w:line="360" w:lineRule="auto"/>
        <w:ind w:firstLine="480" w:firstLineChars="200"/>
        <w:jc w:val="left"/>
        <w:rPr>
          <w:rFonts w:hint="default" w:ascii="Times New Roman" w:hAnsi="Times New Roman" w:cs="Times New Roman"/>
          <w:snapToGrid w:val="0"/>
          <w:color w:val="auto"/>
          <w:sz w:val="24"/>
          <w:szCs w:val="24"/>
          <w:lang w:eastAsia="zh-CN"/>
        </w:rPr>
      </w:pPr>
      <w:r>
        <w:rPr>
          <w:rFonts w:hint="default" w:ascii="Times New Roman" w:hAnsi="Times New Roman" w:cs="Times New Roman"/>
          <w:color w:val="auto"/>
          <w:sz w:val="24"/>
          <w:szCs w:val="24"/>
          <w:lang w:bidi="zh-CN"/>
        </w:rPr>
        <w:t>Q—参与燃烧的物质量，t/s</w:t>
      </w:r>
      <w:r>
        <w:rPr>
          <w:rFonts w:hint="default" w:ascii="Times New Roman" w:hAnsi="Times New Roman" w:cs="Times New Roman"/>
          <w:snapToGrid w:val="0"/>
          <w:color w:val="auto"/>
          <w:sz w:val="24"/>
          <w:szCs w:val="24"/>
          <w:lang w:eastAsia="zh-CN"/>
        </w:rPr>
        <w:t>。</w:t>
      </w:r>
    </w:p>
    <w:p w14:paraId="54904EB3">
      <w:pPr>
        <w:adjustRightInd w:val="0"/>
        <w:spacing w:line="360" w:lineRule="auto"/>
        <w:ind w:firstLine="480" w:firstLineChars="200"/>
        <w:jc w:val="left"/>
        <w:rPr>
          <w:rFonts w:hint="default" w:ascii="Times New Roman" w:hAnsi="Times New Roman" w:cs="Times New Roman"/>
          <w:snapToGrid w:val="0"/>
          <w:color w:val="auto"/>
          <w:sz w:val="24"/>
          <w:szCs w:val="24"/>
          <w:lang w:val="en-US" w:eastAsia="zh-CN"/>
        </w:rPr>
      </w:pPr>
      <w:r>
        <w:rPr>
          <w:rFonts w:hint="default" w:ascii="Times New Roman" w:hAnsi="Times New Roman" w:eastAsia="宋体" w:cs="Times New Roman"/>
          <w:color w:val="auto"/>
          <w:kern w:val="2"/>
          <w:sz w:val="24"/>
          <w:szCs w:val="22"/>
          <w:highlight w:val="none"/>
          <w:lang w:val="en-US" w:eastAsia="zh-CN"/>
        </w:rPr>
        <w:t>依据《石油化工企业设计防火标准》（GB50160-2008</w:t>
      </w:r>
      <w:r>
        <w:rPr>
          <w:rFonts w:hint="eastAsia" w:ascii="Times New Roman" w:hAnsi="Times New Roman" w:eastAsia="宋体" w:cs="Times New Roman"/>
          <w:color w:val="auto"/>
          <w:kern w:val="2"/>
          <w:sz w:val="24"/>
          <w:szCs w:val="22"/>
          <w:highlight w:val="none"/>
          <w:lang w:val="en-US" w:eastAsia="zh-CN"/>
        </w:rPr>
        <w:t>，</w:t>
      </w:r>
      <w:r>
        <w:rPr>
          <w:rFonts w:hint="default" w:ascii="Times New Roman" w:hAnsi="Times New Roman" w:eastAsia="宋体" w:cs="Times New Roman"/>
          <w:color w:val="auto"/>
          <w:kern w:val="2"/>
          <w:sz w:val="24"/>
          <w:szCs w:val="22"/>
          <w:highlight w:val="none"/>
          <w:lang w:val="en-US" w:eastAsia="zh-CN"/>
        </w:rPr>
        <w:t>2018年版）</w:t>
      </w:r>
      <w:r>
        <w:rPr>
          <w:rFonts w:hint="eastAsia" w:ascii="Times New Roman" w:hAnsi="Times New Roman" w:eastAsia="宋体" w:cs="Times New Roman"/>
          <w:color w:val="auto"/>
          <w:kern w:val="2"/>
          <w:sz w:val="24"/>
          <w:szCs w:val="22"/>
          <w:highlight w:val="none"/>
          <w:lang w:val="en-US" w:eastAsia="zh-CN"/>
        </w:rPr>
        <w:t>，</w:t>
      </w:r>
      <w:r>
        <w:rPr>
          <w:rFonts w:hint="eastAsia" w:cs="Times New Roman"/>
          <w:snapToGrid w:val="0"/>
          <w:color w:val="auto"/>
          <w:sz w:val="24"/>
          <w:szCs w:val="24"/>
          <w:lang w:val="en-US" w:eastAsia="zh-CN"/>
        </w:rPr>
        <w:t>假设单次火灾延续时间为3小时，则LPG、丙烷参与燃烧的物质的量为</w:t>
      </w:r>
    </w:p>
    <w:p w14:paraId="21BB366E">
      <w:pPr>
        <w:keepNext w:val="0"/>
        <w:keepLines w:val="0"/>
        <w:pageBreakBefore w:val="0"/>
        <w:widowControl w:val="0"/>
        <w:kinsoku/>
        <w:wordWrap/>
        <w:overflowPunct/>
        <w:topLinePunct w:val="0"/>
        <w:autoSpaceDE/>
        <w:autoSpaceDN/>
        <w:bidi w:val="0"/>
        <w:adjustRightInd/>
        <w:snapToGrid/>
        <w:spacing w:line="360" w:lineRule="auto"/>
        <w:ind w:firstLine="0"/>
        <w:jc w:val="center"/>
        <w:textAlignment w:val="auto"/>
        <w:rPr>
          <w:rFonts w:hint="default" w:ascii="Times New Roman" w:hAnsi="Times New Roman" w:eastAsia="宋体" w:cs="Times New Roman"/>
          <w:b/>
          <w:snapToGrid w:val="0"/>
          <w:color w:val="auto"/>
          <w:sz w:val="21"/>
          <w:szCs w:val="21"/>
        </w:rPr>
      </w:pPr>
      <w:r>
        <w:rPr>
          <w:rFonts w:hint="default" w:ascii="Times New Roman" w:hAnsi="Times New Roman" w:eastAsia="宋体" w:cs="Times New Roman"/>
          <w:b/>
          <w:snapToGrid w:val="0"/>
          <w:color w:val="auto"/>
          <w:sz w:val="21"/>
          <w:szCs w:val="21"/>
        </w:rPr>
        <w:t>表</w:t>
      </w:r>
      <w:r>
        <w:rPr>
          <w:rFonts w:hint="default" w:ascii="Times New Roman" w:hAnsi="Times New Roman" w:eastAsia="宋体" w:cs="Times New Roman"/>
          <w:b/>
          <w:snapToGrid w:val="0"/>
          <w:color w:val="auto"/>
          <w:sz w:val="21"/>
          <w:szCs w:val="21"/>
          <w:lang w:val="en-US" w:eastAsia="zh-CN"/>
        </w:rPr>
        <w:t>3.</w:t>
      </w:r>
      <w:r>
        <w:rPr>
          <w:rFonts w:hint="eastAsia" w:cs="Times New Roman"/>
          <w:b/>
          <w:snapToGrid w:val="0"/>
          <w:color w:val="auto"/>
          <w:sz w:val="21"/>
          <w:szCs w:val="21"/>
          <w:lang w:val="en-US" w:eastAsia="zh-CN"/>
        </w:rPr>
        <w:t>2</w:t>
      </w:r>
      <w:r>
        <w:rPr>
          <w:rFonts w:hint="default" w:ascii="Times New Roman" w:hAnsi="Times New Roman" w:eastAsia="宋体" w:cs="Times New Roman"/>
          <w:b/>
          <w:snapToGrid w:val="0"/>
          <w:color w:val="auto"/>
          <w:sz w:val="21"/>
          <w:szCs w:val="21"/>
          <w:lang w:val="en-US" w:eastAsia="zh-CN"/>
        </w:rPr>
        <w:t xml:space="preserve">-2     </w:t>
      </w:r>
      <w:r>
        <w:rPr>
          <w:rFonts w:hint="default" w:ascii="Times New Roman" w:hAnsi="Times New Roman" w:eastAsia="宋体" w:cs="Times New Roman"/>
          <w:b/>
          <w:snapToGrid w:val="0"/>
          <w:color w:val="auto"/>
          <w:sz w:val="21"/>
          <w:szCs w:val="21"/>
        </w:rPr>
        <w:t xml:space="preserve"> 主要风险物质燃烧产生CO计算参数表</w:t>
      </w:r>
    </w:p>
    <w:tbl>
      <w:tblPr>
        <w:tblStyle w:val="32"/>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3353"/>
        <w:gridCol w:w="1152"/>
        <w:gridCol w:w="656"/>
        <w:gridCol w:w="539"/>
        <w:gridCol w:w="1198"/>
        <w:gridCol w:w="1621"/>
      </w:tblGrid>
      <w:tr w14:paraId="0139AC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7" w:type="pct"/>
            <w:tcBorders>
              <w:tl2br w:val="nil"/>
              <w:tr2bl w:val="nil"/>
            </w:tcBorders>
            <w:noWrap w:val="0"/>
            <w:vAlign w:val="center"/>
          </w:tcPr>
          <w:p w14:paraId="2FC85779">
            <w:pPr>
              <w:pStyle w:val="40"/>
              <w:adjustRightInd w:val="0"/>
              <w:snapToGrid w:val="0"/>
              <w:rPr>
                <w:rFonts w:hint="default" w:ascii="Times New Roman" w:hAnsi="Times New Roman" w:cs="Times New Roman"/>
                <w:color w:val="auto"/>
              </w:rPr>
            </w:pPr>
            <w:r>
              <w:rPr>
                <w:rFonts w:hint="default" w:ascii="Times New Roman" w:hAnsi="Times New Roman" w:cs="Times New Roman"/>
                <w:color w:val="auto"/>
              </w:rPr>
              <w:t>风险情形</w:t>
            </w:r>
          </w:p>
        </w:tc>
        <w:tc>
          <w:tcPr>
            <w:tcW w:w="676" w:type="pct"/>
            <w:tcBorders>
              <w:tl2br w:val="nil"/>
              <w:tr2bl w:val="nil"/>
            </w:tcBorders>
            <w:noWrap w:val="0"/>
            <w:vAlign w:val="center"/>
          </w:tcPr>
          <w:p w14:paraId="75F5882B">
            <w:pPr>
              <w:pStyle w:val="40"/>
              <w:adjustRightInd w:val="0"/>
              <w:snapToGrid w:val="0"/>
              <w:rPr>
                <w:rFonts w:hint="default" w:ascii="Times New Roman" w:hAnsi="Times New Roman" w:cs="Times New Roman"/>
                <w:color w:val="auto"/>
              </w:rPr>
            </w:pPr>
            <w:r>
              <w:rPr>
                <w:rFonts w:hint="default" w:ascii="Times New Roman" w:hAnsi="Times New Roman" w:cs="Times New Roman"/>
                <w:color w:val="auto"/>
              </w:rPr>
              <w:t>风险物质</w:t>
            </w:r>
          </w:p>
        </w:tc>
        <w:tc>
          <w:tcPr>
            <w:tcW w:w="385" w:type="pct"/>
            <w:tcBorders>
              <w:tl2br w:val="nil"/>
              <w:tr2bl w:val="nil"/>
            </w:tcBorders>
            <w:noWrap w:val="0"/>
            <w:vAlign w:val="top"/>
          </w:tcPr>
          <w:p w14:paraId="52EBB97B">
            <w:pPr>
              <w:pStyle w:val="40"/>
              <w:widowControl w:val="0"/>
              <w:rPr>
                <w:rFonts w:hint="default" w:ascii="Times New Roman" w:hAnsi="Times New Roman" w:cs="Times New Roman"/>
                <w:color w:val="auto"/>
              </w:rPr>
            </w:pPr>
            <w:r>
              <w:rPr>
                <w:rFonts w:hint="default" w:ascii="Times New Roman" w:hAnsi="Times New Roman" w:cs="Times New Roman"/>
                <w:color w:val="auto"/>
                <w:sz w:val="24"/>
                <w:szCs w:val="24"/>
                <w:lang w:val="zh-CN" w:bidi="zh-CN"/>
              </w:rPr>
              <w:t>C</w:t>
            </w:r>
          </w:p>
        </w:tc>
        <w:tc>
          <w:tcPr>
            <w:tcW w:w="316" w:type="pct"/>
            <w:tcBorders>
              <w:tl2br w:val="nil"/>
              <w:tr2bl w:val="nil"/>
            </w:tcBorders>
            <w:noWrap w:val="0"/>
            <w:vAlign w:val="top"/>
          </w:tcPr>
          <w:p w14:paraId="3C29A391">
            <w:pPr>
              <w:pStyle w:val="40"/>
              <w:widowControl w:val="0"/>
              <w:rPr>
                <w:rFonts w:hint="default" w:ascii="Times New Roman" w:hAnsi="Times New Roman" w:cs="Times New Roman"/>
                <w:color w:val="auto"/>
              </w:rPr>
            </w:pPr>
            <w:r>
              <w:rPr>
                <w:rFonts w:hint="default" w:ascii="Times New Roman" w:hAnsi="Times New Roman" w:cs="Times New Roman"/>
                <w:color w:val="auto"/>
                <w:sz w:val="24"/>
                <w:szCs w:val="24"/>
                <w:lang w:val="zh-CN" w:bidi="zh-CN"/>
              </w:rPr>
              <w:t>q</w:t>
            </w:r>
          </w:p>
        </w:tc>
        <w:tc>
          <w:tcPr>
            <w:tcW w:w="703" w:type="pct"/>
            <w:tcBorders>
              <w:tl2br w:val="nil"/>
              <w:tr2bl w:val="nil"/>
            </w:tcBorders>
            <w:noWrap w:val="0"/>
            <w:vAlign w:val="top"/>
          </w:tcPr>
          <w:p w14:paraId="7C8993A2">
            <w:pPr>
              <w:pStyle w:val="40"/>
              <w:widowControl w:val="0"/>
              <w:rPr>
                <w:rFonts w:hint="default" w:ascii="Times New Roman" w:hAnsi="Times New Roman" w:cs="Times New Roman"/>
                <w:color w:val="auto"/>
              </w:rPr>
            </w:pPr>
            <w:r>
              <w:rPr>
                <w:rFonts w:hint="default" w:ascii="Times New Roman" w:hAnsi="Times New Roman" w:cs="Times New Roman"/>
                <w:color w:val="auto"/>
                <w:sz w:val="24"/>
                <w:szCs w:val="24"/>
                <w:lang w:val="zh-CN" w:bidi="zh-CN"/>
              </w:rPr>
              <w:t>Q（t/s）</w:t>
            </w:r>
          </w:p>
        </w:tc>
        <w:tc>
          <w:tcPr>
            <w:tcW w:w="951" w:type="pct"/>
            <w:tcBorders>
              <w:tl2br w:val="nil"/>
              <w:tr2bl w:val="nil"/>
            </w:tcBorders>
            <w:noWrap w:val="0"/>
            <w:vAlign w:val="top"/>
          </w:tcPr>
          <w:p w14:paraId="1699F586">
            <w:pPr>
              <w:pStyle w:val="40"/>
              <w:widowControl w:val="0"/>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G</w:t>
            </w:r>
            <w:r>
              <w:rPr>
                <w:rFonts w:hint="default" w:ascii="Times New Roman" w:hAnsi="Times New Roman" w:cs="Times New Roman"/>
                <w:color w:val="auto"/>
                <w:sz w:val="24"/>
                <w:szCs w:val="24"/>
                <w:vertAlign w:val="subscript"/>
                <w:lang w:val="zh-CN" w:bidi="zh-CN"/>
              </w:rPr>
              <w:t>CO</w:t>
            </w:r>
            <w:r>
              <w:rPr>
                <w:rFonts w:hint="default" w:ascii="Times New Roman" w:hAnsi="Times New Roman" w:cs="Times New Roman"/>
                <w:color w:val="auto"/>
                <w:sz w:val="24"/>
                <w:szCs w:val="24"/>
                <w:lang w:val="zh-CN" w:bidi="zh-CN"/>
              </w:rPr>
              <w:t>（kg/s）</w:t>
            </w:r>
          </w:p>
        </w:tc>
      </w:tr>
      <w:tr w14:paraId="4C9632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7" w:type="pct"/>
            <w:tcBorders>
              <w:tl2br w:val="nil"/>
              <w:tr2bl w:val="nil"/>
            </w:tcBorders>
            <w:noWrap w:val="0"/>
            <w:vAlign w:val="center"/>
          </w:tcPr>
          <w:p w14:paraId="579FBDE7">
            <w:pPr>
              <w:widowControl w:val="0"/>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LPG管道</w:t>
            </w:r>
            <w:r>
              <w:rPr>
                <w:rFonts w:hint="default" w:ascii="Times New Roman" w:hAnsi="Times New Roman" w:cs="Times New Roman"/>
                <w:color w:val="auto"/>
                <w:szCs w:val="21"/>
              </w:rPr>
              <w:t>泄漏发生火灾</w:t>
            </w:r>
          </w:p>
        </w:tc>
        <w:tc>
          <w:tcPr>
            <w:tcW w:w="1152" w:type="dxa"/>
            <w:tcBorders>
              <w:tl2br w:val="nil"/>
              <w:tr2bl w:val="nil"/>
            </w:tcBorders>
            <w:noWrap w:val="0"/>
            <w:vAlign w:val="center"/>
          </w:tcPr>
          <w:p w14:paraId="33C6FC0A">
            <w:pPr>
              <w:keepNext w:val="0"/>
              <w:keepLines w:val="0"/>
              <w:widowControl/>
              <w:suppressLineNumbers w:val="0"/>
              <w:jc w:val="center"/>
              <w:textAlignment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i w:val="0"/>
                <w:iCs w:val="0"/>
                <w:color w:val="auto"/>
                <w:kern w:val="0"/>
                <w:sz w:val="21"/>
                <w:szCs w:val="21"/>
                <w:u w:val="none"/>
                <w:lang w:val="en-US" w:eastAsia="zh-CN" w:bidi="ar"/>
              </w:rPr>
              <w:t>CO</w:t>
            </w:r>
          </w:p>
        </w:tc>
        <w:tc>
          <w:tcPr>
            <w:tcW w:w="656" w:type="dxa"/>
            <w:tcBorders>
              <w:tl2br w:val="nil"/>
              <w:tr2bl w:val="nil"/>
            </w:tcBorders>
            <w:noWrap w:val="0"/>
            <w:vAlign w:val="top"/>
          </w:tcPr>
          <w:p w14:paraId="0D426BAC">
            <w:pPr>
              <w:keepNext w:val="0"/>
              <w:keepLines w:val="0"/>
              <w:widowControl/>
              <w:suppressLineNumbers w:val="0"/>
              <w:jc w:val="center"/>
              <w:textAlignment w:val="top"/>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85%</w:t>
            </w:r>
          </w:p>
        </w:tc>
        <w:tc>
          <w:tcPr>
            <w:tcW w:w="539" w:type="dxa"/>
            <w:tcBorders>
              <w:tl2br w:val="nil"/>
              <w:tr2bl w:val="nil"/>
            </w:tcBorders>
            <w:noWrap w:val="0"/>
            <w:vAlign w:val="top"/>
          </w:tcPr>
          <w:p w14:paraId="64B22E6F">
            <w:pPr>
              <w:keepNext w:val="0"/>
              <w:keepLines w:val="0"/>
              <w:widowControl/>
              <w:suppressLineNumbers w:val="0"/>
              <w:jc w:val="center"/>
              <w:textAlignment w:val="top"/>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4%</w:t>
            </w:r>
          </w:p>
        </w:tc>
        <w:tc>
          <w:tcPr>
            <w:tcW w:w="1198" w:type="dxa"/>
            <w:tcBorders>
              <w:tl2br w:val="nil"/>
              <w:tr2bl w:val="nil"/>
            </w:tcBorders>
            <w:noWrap w:val="0"/>
            <w:vAlign w:val="top"/>
          </w:tcPr>
          <w:p w14:paraId="548CAFEB">
            <w:pPr>
              <w:keepNext w:val="0"/>
              <w:keepLines w:val="0"/>
              <w:widowControl/>
              <w:suppressLineNumbers w:val="0"/>
              <w:jc w:val="center"/>
              <w:textAlignment w:val="top"/>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c>
          <w:tcPr>
            <w:tcW w:w="1621" w:type="dxa"/>
            <w:tcBorders>
              <w:tl2br w:val="nil"/>
              <w:tr2bl w:val="nil"/>
            </w:tcBorders>
            <w:noWrap w:val="0"/>
            <w:vAlign w:val="top"/>
          </w:tcPr>
          <w:p w14:paraId="143E44E5">
            <w:pPr>
              <w:keepNext w:val="0"/>
              <w:keepLines w:val="0"/>
              <w:widowControl/>
              <w:suppressLineNumbers w:val="0"/>
              <w:jc w:val="center"/>
              <w:textAlignment w:val="top"/>
              <w:rPr>
                <w:rFonts w:hint="default" w:ascii="Times New Roman" w:hAnsi="Times New Roman" w:cs="Times New Roman"/>
                <w:color w:val="auto"/>
                <w:lang w:val="en-US"/>
              </w:rPr>
            </w:pPr>
            <w:r>
              <w:rPr>
                <w:rFonts w:hint="default" w:ascii="Times New Roman" w:hAnsi="Times New Roman" w:eastAsia="宋体" w:cs="Times New Roman"/>
                <w:i w:val="0"/>
                <w:iCs w:val="0"/>
                <w:color w:val="auto"/>
                <w:kern w:val="0"/>
                <w:sz w:val="21"/>
                <w:szCs w:val="21"/>
                <w:u w:val="none"/>
                <w:lang w:val="en-US" w:eastAsia="zh-CN" w:bidi="ar"/>
              </w:rPr>
              <w:t>0.17</w:t>
            </w:r>
            <w:r>
              <w:rPr>
                <w:rFonts w:hint="eastAsia" w:cs="Times New Roman"/>
                <w:i w:val="0"/>
                <w:iCs w:val="0"/>
                <w:color w:val="auto"/>
                <w:kern w:val="0"/>
                <w:sz w:val="21"/>
                <w:szCs w:val="21"/>
                <w:u w:val="none"/>
                <w:lang w:val="en-US" w:eastAsia="zh-CN" w:bidi="ar"/>
              </w:rPr>
              <w:t>0</w:t>
            </w:r>
          </w:p>
        </w:tc>
      </w:tr>
      <w:tr w14:paraId="477679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967" w:type="pct"/>
            <w:tcBorders>
              <w:tl2br w:val="nil"/>
              <w:tr2bl w:val="nil"/>
            </w:tcBorders>
            <w:noWrap w:val="0"/>
            <w:vAlign w:val="center"/>
          </w:tcPr>
          <w:p w14:paraId="02628D17">
            <w:pPr>
              <w:widowControl w:val="0"/>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丙烷管道</w:t>
            </w:r>
            <w:r>
              <w:rPr>
                <w:rFonts w:hint="default" w:ascii="Times New Roman" w:hAnsi="Times New Roman" w:cs="Times New Roman"/>
                <w:color w:val="auto"/>
                <w:szCs w:val="21"/>
              </w:rPr>
              <w:t>泄漏发生火灾</w:t>
            </w:r>
          </w:p>
        </w:tc>
        <w:tc>
          <w:tcPr>
            <w:tcW w:w="1152" w:type="dxa"/>
            <w:tcBorders>
              <w:tl2br w:val="nil"/>
              <w:tr2bl w:val="nil"/>
            </w:tcBorders>
            <w:noWrap w:val="0"/>
            <w:vAlign w:val="center"/>
          </w:tcPr>
          <w:p w14:paraId="3BC38B0C">
            <w:pPr>
              <w:keepNext w:val="0"/>
              <w:keepLines w:val="0"/>
              <w:widowControl/>
              <w:suppressLineNumbers w:val="0"/>
              <w:jc w:val="center"/>
              <w:textAlignment w:val="center"/>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CO</w:t>
            </w:r>
          </w:p>
        </w:tc>
        <w:tc>
          <w:tcPr>
            <w:tcW w:w="656" w:type="dxa"/>
            <w:tcBorders>
              <w:tl2br w:val="nil"/>
              <w:tr2bl w:val="nil"/>
            </w:tcBorders>
            <w:noWrap w:val="0"/>
            <w:vAlign w:val="top"/>
          </w:tcPr>
          <w:p w14:paraId="7AF27837">
            <w:pPr>
              <w:keepNext w:val="0"/>
              <w:keepLines w:val="0"/>
              <w:widowControl/>
              <w:suppressLineNumbers w:val="0"/>
              <w:jc w:val="center"/>
              <w:textAlignment w:val="top"/>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85%</w:t>
            </w:r>
          </w:p>
        </w:tc>
        <w:tc>
          <w:tcPr>
            <w:tcW w:w="539" w:type="dxa"/>
            <w:tcBorders>
              <w:tl2br w:val="nil"/>
              <w:tr2bl w:val="nil"/>
            </w:tcBorders>
            <w:noWrap w:val="0"/>
            <w:vAlign w:val="top"/>
          </w:tcPr>
          <w:p w14:paraId="7DCCCA89">
            <w:pPr>
              <w:keepNext w:val="0"/>
              <w:keepLines w:val="0"/>
              <w:widowControl/>
              <w:suppressLineNumbers w:val="0"/>
              <w:jc w:val="center"/>
              <w:textAlignment w:val="top"/>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4%</w:t>
            </w:r>
          </w:p>
        </w:tc>
        <w:tc>
          <w:tcPr>
            <w:tcW w:w="1198" w:type="dxa"/>
            <w:tcBorders>
              <w:tl2br w:val="nil"/>
              <w:tr2bl w:val="nil"/>
            </w:tcBorders>
            <w:noWrap w:val="0"/>
            <w:vAlign w:val="top"/>
          </w:tcPr>
          <w:p w14:paraId="56F8E7C8">
            <w:pPr>
              <w:keepNext w:val="0"/>
              <w:keepLines w:val="0"/>
              <w:widowControl/>
              <w:suppressLineNumbers w:val="0"/>
              <w:jc w:val="center"/>
              <w:textAlignment w:val="top"/>
              <w:rPr>
                <w:rFonts w:hint="default" w:ascii="Times New Roman" w:hAnsi="Times New Roman" w:cs="Times New Roman"/>
                <w:color w:val="auto"/>
              </w:rPr>
            </w:pPr>
            <w:r>
              <w:rPr>
                <w:rFonts w:hint="default" w:ascii="Times New Roman" w:hAnsi="Times New Roman" w:eastAsia="宋体" w:cs="Times New Roman"/>
                <w:i w:val="0"/>
                <w:iCs w:val="0"/>
                <w:color w:val="auto"/>
                <w:kern w:val="0"/>
                <w:sz w:val="21"/>
                <w:szCs w:val="21"/>
                <w:u w:val="none"/>
                <w:lang w:val="en-US" w:eastAsia="zh-CN" w:bidi="ar"/>
              </w:rPr>
              <w:t xml:space="preserve">0.002 </w:t>
            </w:r>
          </w:p>
        </w:tc>
        <w:tc>
          <w:tcPr>
            <w:tcW w:w="1621" w:type="dxa"/>
            <w:tcBorders>
              <w:tl2br w:val="nil"/>
              <w:tr2bl w:val="nil"/>
            </w:tcBorders>
            <w:noWrap w:val="0"/>
            <w:vAlign w:val="top"/>
          </w:tcPr>
          <w:p w14:paraId="4BE27223">
            <w:pPr>
              <w:keepNext w:val="0"/>
              <w:keepLines w:val="0"/>
              <w:widowControl/>
              <w:suppressLineNumbers w:val="0"/>
              <w:jc w:val="center"/>
              <w:textAlignment w:val="top"/>
              <w:rPr>
                <w:rFonts w:hint="default" w:ascii="Times New Roman" w:hAnsi="Times New Roman" w:cs="Times New Roman"/>
                <w:color w:val="auto"/>
                <w:lang w:val="en-US"/>
              </w:rPr>
            </w:pPr>
            <w:r>
              <w:rPr>
                <w:rFonts w:hint="default" w:ascii="Times New Roman" w:hAnsi="Times New Roman" w:eastAsia="宋体" w:cs="Times New Roman"/>
                <w:i w:val="0"/>
                <w:iCs w:val="0"/>
                <w:color w:val="auto"/>
                <w:kern w:val="0"/>
                <w:sz w:val="21"/>
                <w:szCs w:val="21"/>
                <w:u w:val="none"/>
                <w:lang w:val="en-US" w:eastAsia="zh-CN" w:bidi="ar"/>
              </w:rPr>
              <w:t>0.1</w:t>
            </w:r>
            <w:r>
              <w:rPr>
                <w:rFonts w:hint="eastAsia" w:cs="Times New Roman"/>
                <w:i w:val="0"/>
                <w:iCs w:val="0"/>
                <w:color w:val="auto"/>
                <w:kern w:val="0"/>
                <w:sz w:val="21"/>
                <w:szCs w:val="21"/>
                <w:u w:val="none"/>
                <w:lang w:val="en-US" w:eastAsia="zh-CN" w:bidi="ar"/>
              </w:rPr>
              <w:t>49</w:t>
            </w:r>
          </w:p>
        </w:tc>
      </w:tr>
    </w:tbl>
    <w:p w14:paraId="2AA5644C">
      <w:pPr>
        <w:keepNext w:val="0"/>
        <w:keepLines w:val="0"/>
        <w:pageBreakBefore w:val="0"/>
        <w:widowControl w:val="0"/>
        <w:kinsoku/>
        <w:wordWrap/>
        <w:overflowPunct/>
        <w:topLinePunct w:val="0"/>
        <w:autoSpaceDE/>
        <w:autoSpaceDN/>
        <w:bidi w:val="0"/>
        <w:adjustRightInd w:val="0"/>
        <w:snapToGrid/>
        <w:spacing w:before="157" w:beforeLines="50" w:line="360" w:lineRule="auto"/>
        <w:ind w:firstLine="480" w:firstLineChars="200"/>
        <w:jc w:val="left"/>
        <w:textAlignment w:val="auto"/>
        <w:rPr>
          <w:rFonts w:hint="default" w:ascii="Times New Roman" w:hAnsi="Times New Roman" w:cs="Times New Roman"/>
          <w:color w:val="auto"/>
          <w:sz w:val="24"/>
          <w:szCs w:val="24"/>
          <w:lang w:val="zh-CN" w:bidi="zh-CN"/>
        </w:rPr>
      </w:pPr>
      <w:r>
        <w:rPr>
          <w:rFonts w:hint="default" w:ascii="Times New Roman" w:hAnsi="Times New Roman" w:cs="Times New Roman"/>
          <w:color w:val="auto"/>
          <w:sz w:val="24"/>
          <w:szCs w:val="24"/>
          <w:lang w:val="zh-CN" w:bidi="zh-CN"/>
        </w:rPr>
        <w:t>则</w:t>
      </w:r>
      <w:r>
        <w:rPr>
          <w:rFonts w:hint="default" w:ascii="Times New Roman" w:hAnsi="Times New Roman" w:cs="Times New Roman"/>
          <w:color w:val="auto"/>
          <w:sz w:val="24"/>
          <w:szCs w:val="24"/>
          <w:lang w:val="en-US" w:bidi="zh-CN"/>
        </w:rPr>
        <w:t>当</w:t>
      </w:r>
      <w:r>
        <w:rPr>
          <w:rFonts w:hint="default" w:ascii="Times New Roman" w:hAnsi="Times New Roman" w:cs="Times New Roman"/>
          <w:color w:val="auto"/>
          <w:sz w:val="24"/>
          <w:szCs w:val="24"/>
          <w:lang w:val="zh-CN" w:bidi="zh-CN"/>
        </w:rPr>
        <w:t>LPG、丙烷</w:t>
      </w:r>
      <w:r>
        <w:rPr>
          <w:rFonts w:hint="eastAsia" w:cs="Times New Roman"/>
          <w:color w:val="auto"/>
          <w:sz w:val="24"/>
          <w:szCs w:val="24"/>
          <w:lang w:val="en-US" w:bidi="zh-CN"/>
        </w:rPr>
        <w:t>储罐</w:t>
      </w:r>
      <w:r>
        <w:rPr>
          <w:rFonts w:hint="default" w:ascii="Times New Roman" w:hAnsi="Times New Roman" w:cs="Times New Roman"/>
          <w:color w:val="auto"/>
          <w:sz w:val="24"/>
          <w:szCs w:val="24"/>
          <w:lang w:val="en-US" w:bidi="zh-CN"/>
        </w:rPr>
        <w:t>发生破裂</w:t>
      </w:r>
      <w:r>
        <w:rPr>
          <w:rFonts w:hint="default" w:ascii="Times New Roman" w:hAnsi="Times New Roman" w:cs="Times New Roman"/>
          <w:color w:val="auto"/>
          <w:sz w:val="24"/>
          <w:szCs w:val="24"/>
          <w:lang w:val="zh-CN" w:bidi="zh-CN"/>
        </w:rPr>
        <w:t>，遇火源发生火灾不完全燃烧伴生/次生的CO排放速率分别为</w:t>
      </w:r>
      <w:r>
        <w:rPr>
          <w:rFonts w:hint="default" w:ascii="Times New Roman" w:hAnsi="Times New Roman" w:cs="Times New Roman"/>
          <w:color w:val="auto"/>
          <w:sz w:val="24"/>
          <w:szCs w:val="24"/>
          <w:lang w:val="en-US" w:bidi="zh-CN"/>
        </w:rPr>
        <w:t>0.17</w:t>
      </w:r>
      <w:r>
        <w:rPr>
          <w:rFonts w:hint="eastAsia" w:cs="Times New Roman"/>
          <w:color w:val="auto"/>
          <w:sz w:val="24"/>
          <w:szCs w:val="24"/>
          <w:lang w:val="en-US" w:bidi="zh-CN"/>
        </w:rPr>
        <w:t>0</w:t>
      </w:r>
      <w:r>
        <w:rPr>
          <w:rFonts w:hint="default" w:ascii="Times New Roman" w:hAnsi="Times New Roman" w:cs="Times New Roman"/>
          <w:color w:val="auto"/>
          <w:sz w:val="24"/>
          <w:szCs w:val="24"/>
          <w:lang w:val="zh-CN" w:bidi="zh-CN"/>
        </w:rPr>
        <w:t>kg/s、</w:t>
      </w:r>
      <w:r>
        <w:rPr>
          <w:rFonts w:hint="default" w:ascii="Times New Roman" w:hAnsi="Times New Roman" w:cs="Times New Roman"/>
          <w:color w:val="auto"/>
          <w:sz w:val="24"/>
          <w:szCs w:val="24"/>
          <w:lang w:val="en-US" w:bidi="zh-CN"/>
        </w:rPr>
        <w:t>0.1</w:t>
      </w:r>
      <w:r>
        <w:rPr>
          <w:rFonts w:hint="eastAsia" w:cs="Times New Roman"/>
          <w:color w:val="auto"/>
          <w:sz w:val="24"/>
          <w:szCs w:val="24"/>
          <w:lang w:val="en-US" w:bidi="zh-CN"/>
        </w:rPr>
        <w:t>49</w:t>
      </w:r>
      <w:r>
        <w:rPr>
          <w:rFonts w:hint="default" w:ascii="Times New Roman" w:hAnsi="Times New Roman" w:cs="Times New Roman"/>
          <w:color w:val="auto"/>
          <w:sz w:val="24"/>
          <w:szCs w:val="24"/>
          <w:lang w:val="zh-CN" w:bidi="zh-CN"/>
        </w:rPr>
        <w:t>kg/s，</w:t>
      </w:r>
      <w:r>
        <w:rPr>
          <w:rFonts w:hint="default" w:ascii="Times New Roman" w:hAnsi="Times New Roman" w:cs="Times New Roman"/>
          <w:color w:val="auto"/>
          <w:sz w:val="24"/>
          <w:szCs w:val="24"/>
          <w:lang w:val="en-US" w:bidi="zh-CN"/>
        </w:rPr>
        <w:t>本项目输送管道均设置气体报警装置及应急切断阀，</w:t>
      </w:r>
      <w:r>
        <w:rPr>
          <w:rFonts w:hint="default" w:ascii="Times New Roman" w:hAnsi="Times New Roman" w:cs="Times New Roman"/>
          <w:color w:val="auto"/>
          <w:sz w:val="24"/>
          <w:szCs w:val="24"/>
          <w:lang w:val="zh-CN" w:bidi="zh-CN"/>
        </w:rPr>
        <w:t>假定火灾持续时间为</w:t>
      </w:r>
      <w:r>
        <w:rPr>
          <w:rFonts w:hint="eastAsia" w:cs="Times New Roman"/>
          <w:color w:val="auto"/>
          <w:sz w:val="24"/>
          <w:szCs w:val="24"/>
          <w:lang w:val="en-US" w:bidi="zh-CN"/>
        </w:rPr>
        <w:t>3h（180</w:t>
      </w:r>
      <w:r>
        <w:rPr>
          <w:rFonts w:hint="default" w:ascii="Times New Roman" w:hAnsi="Times New Roman" w:cs="Times New Roman"/>
          <w:color w:val="auto"/>
          <w:sz w:val="24"/>
          <w:szCs w:val="24"/>
          <w:lang w:val="zh-CN" w:bidi="zh-CN"/>
        </w:rPr>
        <w:t>min</w:t>
      </w:r>
      <w:r>
        <w:rPr>
          <w:rFonts w:hint="eastAsia" w:cs="Times New Roman"/>
          <w:color w:val="auto"/>
          <w:sz w:val="24"/>
          <w:szCs w:val="24"/>
          <w:lang w:val="en-US" w:bidi="zh-CN"/>
        </w:rPr>
        <w:t>）</w:t>
      </w:r>
      <w:r>
        <w:rPr>
          <w:rFonts w:hint="default" w:ascii="Times New Roman" w:hAnsi="Times New Roman" w:cs="Times New Roman"/>
          <w:color w:val="auto"/>
          <w:sz w:val="24"/>
          <w:szCs w:val="24"/>
          <w:lang w:val="zh-CN" w:bidi="zh-CN"/>
        </w:rPr>
        <w:t>，则CO总释放量为</w:t>
      </w:r>
      <w:r>
        <w:rPr>
          <w:rFonts w:hint="eastAsia" w:cs="Times New Roman"/>
          <w:color w:val="auto"/>
          <w:sz w:val="24"/>
          <w:szCs w:val="24"/>
          <w:lang w:val="en-US" w:bidi="zh-CN"/>
        </w:rPr>
        <w:t>1.84t、1.61t</w:t>
      </w:r>
      <w:r>
        <w:rPr>
          <w:rFonts w:hint="default" w:ascii="Times New Roman" w:hAnsi="Times New Roman" w:cs="Times New Roman"/>
          <w:color w:val="auto"/>
          <w:sz w:val="24"/>
          <w:szCs w:val="24"/>
          <w:lang w:val="zh-CN" w:bidi="zh-CN"/>
        </w:rPr>
        <w:t>。</w:t>
      </w:r>
    </w:p>
    <w:p w14:paraId="739A9E73">
      <w:pPr>
        <w:keepNext w:val="0"/>
        <w:keepLines w:val="0"/>
        <w:pageBreakBefore w:val="0"/>
        <w:widowControl w:val="0"/>
        <w:numPr>
          <w:ilvl w:val="2"/>
          <w:numId w:val="3"/>
        </w:numPr>
        <w:tabs>
          <w:tab w:val="left" w:pos="1086"/>
          <w:tab w:val="left" w:pos="1260"/>
        </w:tabs>
        <w:kinsoku/>
        <w:wordWrap/>
        <w:overflowPunct/>
        <w:topLinePunct w:val="0"/>
        <w:autoSpaceDE/>
        <w:autoSpaceDN/>
        <w:bidi w:val="0"/>
        <w:adjustRightInd/>
        <w:snapToGrid w:val="0"/>
        <w:spacing w:before="50" w:beforeLines="50" w:after="50" w:afterLines="50" w:line="360" w:lineRule="auto"/>
        <w:ind w:left="0" w:firstLine="560" w:firstLineChars="200"/>
        <w:jc w:val="both"/>
        <w:textAlignment w:val="auto"/>
        <w:outlineLvl w:val="2"/>
        <w:rPr>
          <w:rFonts w:hint="default" w:ascii="Times New Roman" w:hAnsi="Times New Roman" w:eastAsia="宋体" w:cs="Times New Roman"/>
          <w:b w:val="0"/>
          <w:color w:val="auto"/>
          <w:kern w:val="2"/>
          <w:sz w:val="28"/>
          <w:szCs w:val="24"/>
          <w:lang w:val="en-US" w:eastAsia="zh-CN" w:bidi="ar-SA"/>
        </w:rPr>
      </w:pPr>
      <w:r>
        <w:rPr>
          <w:rFonts w:hint="eastAsia" w:ascii="Times New Roman" w:hAnsi="Times New Roman" w:eastAsia="宋体" w:cs="Times New Roman"/>
          <w:b w:val="0"/>
          <w:color w:val="auto"/>
          <w:kern w:val="2"/>
          <w:sz w:val="28"/>
          <w:szCs w:val="24"/>
          <w:lang w:val="en-US" w:eastAsia="zh-CN" w:bidi="ar-SA"/>
        </w:rPr>
        <w:t>危废间物质发生泄漏</w:t>
      </w:r>
    </w:p>
    <w:p w14:paraId="1DB79D08">
      <w:pPr>
        <w:keepNext w:val="0"/>
        <w:keepLines w:val="0"/>
        <w:pageBreakBefore w:val="0"/>
        <w:widowControl/>
        <w:numPr>
          <w:ilvl w:val="3"/>
          <w:numId w:val="2"/>
        </w:numPr>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lang w:val="en-US" w:eastAsia="zh-CN" w:bidi="ar-SA"/>
        </w:rPr>
      </w:pPr>
      <w:r>
        <w:rPr>
          <w:rFonts w:hint="eastAsia" w:ascii="Times New Roman" w:hAnsi="Times New Roman" w:eastAsia="宋体" w:cs="Times New Roman"/>
          <w:color w:val="auto"/>
          <w:kern w:val="2"/>
          <w:sz w:val="24"/>
          <w:szCs w:val="21"/>
          <w:lang w:val="en-US" w:eastAsia="zh-CN" w:bidi="ar-SA"/>
        </w:rPr>
        <w:t>LPG</w:t>
      </w:r>
      <w:r>
        <w:rPr>
          <w:rFonts w:hint="default" w:ascii="Times New Roman" w:hAnsi="Times New Roman" w:eastAsia="宋体" w:cs="Times New Roman"/>
          <w:color w:val="auto"/>
          <w:kern w:val="2"/>
          <w:sz w:val="24"/>
          <w:szCs w:val="21"/>
          <w:lang w:val="en-US" w:eastAsia="zh-CN" w:bidi="ar-SA"/>
        </w:rPr>
        <w:t>残液罐泄漏</w:t>
      </w:r>
    </w:p>
    <w:p w14:paraId="6DE381E1">
      <w:pPr>
        <w:pStyle w:val="58"/>
        <w:bidi w:val="0"/>
        <w:rPr>
          <w:rFonts w:hint="default" w:ascii="Times New Roman" w:hAnsi="Times New Roman" w:eastAsia="宋体" w:cs="Times New Roman"/>
          <w:color w:val="auto"/>
          <w:vertAlign w:val="baseline"/>
          <w:lang w:val="en-US" w:eastAsia="zh-CN"/>
        </w:rPr>
      </w:pPr>
      <w:r>
        <w:rPr>
          <w:rFonts w:hint="eastAsia" w:ascii="Times New Roman" w:hAnsi="Times New Roman" w:cs="Times New Roman"/>
          <w:color w:val="auto"/>
          <w:lang w:val="en-US" w:eastAsia="zh-CN"/>
        </w:rPr>
        <w:t>LPG</w:t>
      </w:r>
      <w:r>
        <w:rPr>
          <w:rFonts w:hint="default" w:ascii="Times New Roman" w:hAnsi="Times New Roman" w:cs="Times New Roman"/>
          <w:color w:val="auto"/>
          <w:lang w:val="en-US" w:eastAsia="zh-CN"/>
        </w:rPr>
        <w:t>残液主要为</w:t>
      </w:r>
      <w:r>
        <w:rPr>
          <w:rFonts w:hint="default" w:ascii="Times New Roman" w:hAnsi="Times New Roman" w:cs="Times New Roman"/>
          <w:b w:val="0"/>
          <w:bCs/>
          <w:color w:val="auto"/>
          <w:highlight w:val="none"/>
          <w:lang w:val="en-US" w:eastAsia="zh-CN"/>
        </w:rPr>
        <w:t>戊烷、硫化物和水共的混合物，</w:t>
      </w:r>
      <w:r>
        <w:rPr>
          <w:rFonts w:hint="eastAsia" w:ascii="Times New Roman" w:hAnsi="Times New Roman" w:cs="Times New Roman"/>
          <w:b w:val="0"/>
          <w:bCs/>
          <w:color w:val="auto"/>
          <w:highlight w:val="none"/>
          <w:lang w:val="en-US" w:eastAsia="zh-CN"/>
        </w:rPr>
        <w:t>LPG残液收集后以密闭储罐存放于危废暂存间内，</w:t>
      </w:r>
      <w:r>
        <w:rPr>
          <w:rFonts w:hint="default" w:ascii="Times New Roman" w:hAnsi="Times New Roman" w:cs="Times New Roman"/>
          <w:b w:val="0"/>
          <w:bCs/>
          <w:color w:val="auto"/>
          <w:highlight w:val="none"/>
          <w:lang w:val="en-US" w:eastAsia="zh-CN"/>
        </w:rPr>
        <w:t>根据相关资料，</w:t>
      </w:r>
      <w:r>
        <w:rPr>
          <w:rFonts w:hint="eastAsia" w:ascii="Times New Roman" w:hAnsi="Times New Roman" w:cs="Times New Roman"/>
          <w:b w:val="0"/>
          <w:bCs/>
          <w:color w:val="auto"/>
          <w:highlight w:val="none"/>
          <w:lang w:val="en-US" w:eastAsia="zh-CN"/>
        </w:rPr>
        <w:t>正常条件下LPG</w:t>
      </w:r>
      <w:r>
        <w:rPr>
          <w:rFonts w:hint="default" w:ascii="Times New Roman" w:hAnsi="Times New Roman" w:cs="Times New Roman"/>
          <w:b w:val="0"/>
          <w:bCs/>
          <w:color w:val="auto"/>
          <w:highlight w:val="none"/>
          <w:lang w:val="en-US" w:eastAsia="zh-CN"/>
        </w:rPr>
        <w:t>残液的</w:t>
      </w:r>
      <w:r>
        <w:rPr>
          <w:rFonts w:hint="eastAsia" w:ascii="Times New Roman" w:hAnsi="Times New Roman" w:cs="Times New Roman"/>
          <w:b w:val="0"/>
          <w:bCs/>
          <w:color w:val="auto"/>
          <w:highlight w:val="none"/>
          <w:lang w:val="en-US" w:eastAsia="zh-CN"/>
        </w:rPr>
        <w:t>典型密度值为</w:t>
      </w:r>
      <w:r>
        <w:rPr>
          <w:rFonts w:hint="default" w:ascii="Times New Roman" w:hAnsi="Times New Roman" w:cs="Times New Roman"/>
          <w:b w:val="0"/>
          <w:bCs/>
          <w:color w:val="auto"/>
          <w:highlight w:val="none"/>
          <w:lang w:val="en-US" w:eastAsia="zh-CN"/>
        </w:rPr>
        <w:t>0.55</w:t>
      </w:r>
      <w:r>
        <w:rPr>
          <w:rFonts w:hint="eastAsia" w:ascii="Times New Roman" w:hAnsi="Times New Roman" w:cs="Times New Roman"/>
          <w:b w:val="0"/>
          <w:bCs/>
          <w:color w:val="auto"/>
          <w:highlight w:val="none"/>
          <w:lang w:val="en-US" w:eastAsia="zh-CN"/>
        </w:rPr>
        <w:t>~</w:t>
      </w:r>
      <w:r>
        <w:rPr>
          <w:rFonts w:hint="default" w:ascii="Times New Roman" w:hAnsi="Times New Roman" w:cs="Times New Roman"/>
          <w:b w:val="0"/>
          <w:bCs/>
          <w:color w:val="auto"/>
          <w:highlight w:val="none"/>
          <w:lang w:val="en-US" w:eastAsia="zh-CN"/>
        </w:rPr>
        <w:t>0.75</w:t>
      </w:r>
      <w:r>
        <w:rPr>
          <w:rFonts w:hint="eastAsia" w:ascii="Times New Roman" w:hAnsi="Times New Roman" w:cs="Times New Roman"/>
          <w:b w:val="0"/>
          <w:bCs/>
          <w:color w:val="auto"/>
          <w:highlight w:val="none"/>
          <w:lang w:val="en-US" w:eastAsia="zh-CN"/>
        </w:rPr>
        <w:t>g/mL（全部以石油类考虑）</w:t>
      </w:r>
      <w:r>
        <w:rPr>
          <w:rFonts w:hint="default" w:ascii="Times New Roman" w:hAnsi="Times New Roman" w:cs="Times New Roman"/>
          <w:b w:val="0"/>
          <w:bCs/>
          <w:color w:val="auto"/>
          <w:highlight w:val="none"/>
          <w:lang w:val="en-US" w:eastAsia="zh-CN"/>
        </w:rPr>
        <w:t>，</w:t>
      </w:r>
      <w:r>
        <w:rPr>
          <w:rFonts w:hint="eastAsia" w:ascii="Times New Roman" w:hAnsi="Times New Roman" w:cs="Times New Roman"/>
          <w:b w:val="0"/>
          <w:bCs/>
          <w:color w:val="auto"/>
          <w:highlight w:val="none"/>
          <w:lang w:val="en-US" w:eastAsia="zh-CN"/>
        </w:rPr>
        <w:t>LPG</w:t>
      </w:r>
      <w:r>
        <w:rPr>
          <w:rFonts w:hint="default" w:ascii="Times New Roman" w:hAnsi="Times New Roman" w:cs="Times New Roman"/>
          <w:b w:val="0"/>
          <w:bCs/>
          <w:color w:val="auto"/>
          <w:highlight w:val="none"/>
          <w:lang w:val="en-US" w:eastAsia="zh-CN"/>
        </w:rPr>
        <w:t>残液最大贮存量为</w:t>
      </w:r>
      <w:r>
        <w:rPr>
          <w:rFonts w:hint="eastAsia" w:ascii="Times New Roman" w:hAnsi="Times New Roman" w:cs="Times New Roman"/>
          <w:color w:val="auto"/>
          <w:lang w:val="en-US" w:eastAsia="zh-CN"/>
        </w:rPr>
        <w:t>0.233</w:t>
      </w:r>
      <w:r>
        <w:rPr>
          <w:rFonts w:hint="default" w:ascii="Times New Roman" w:hAnsi="Times New Roman" w:eastAsia="宋体" w:cs="Times New Roman"/>
          <w:color w:val="auto"/>
          <w:lang w:val="en-US" w:eastAsia="zh-CN"/>
        </w:rPr>
        <w:t>t</w:t>
      </w:r>
      <w:r>
        <w:rPr>
          <w:rFonts w:hint="eastAsia" w:ascii="Times New Roman" w:hAnsi="Times New Roman" w:cs="Times New Roman"/>
          <w:color w:val="auto"/>
          <w:lang w:val="en-US" w:eastAsia="zh-CN"/>
        </w:rPr>
        <w:t>（1个月产生量）</w:t>
      </w:r>
      <w:r>
        <w:rPr>
          <w:rFonts w:hint="default" w:ascii="Times New Roman" w:hAnsi="Times New Roman" w:eastAsia="宋体" w:cs="Times New Roman"/>
          <w:color w:val="auto"/>
          <w:vertAlign w:val="baseline"/>
          <w:lang w:val="en-US" w:eastAsia="zh-CN"/>
        </w:rPr>
        <w:t>。</w:t>
      </w:r>
    </w:p>
    <w:p w14:paraId="78973535">
      <w:pPr>
        <w:keepNext w:val="0"/>
        <w:keepLines w:val="0"/>
        <w:pageBreakBefore w:val="0"/>
        <w:widowControl/>
        <w:numPr>
          <w:ilvl w:val="3"/>
          <w:numId w:val="2"/>
        </w:numPr>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lang w:val="en-US" w:eastAsia="zh-CN" w:bidi="ar-SA"/>
        </w:rPr>
      </w:pPr>
      <w:r>
        <w:rPr>
          <w:rFonts w:hint="eastAsia" w:ascii="Times New Roman" w:hAnsi="Times New Roman" w:eastAsia="宋体" w:cs="Times New Roman"/>
          <w:color w:val="auto"/>
          <w:kern w:val="2"/>
          <w:sz w:val="24"/>
          <w:szCs w:val="21"/>
          <w:lang w:val="en-US" w:eastAsia="zh-CN" w:bidi="ar-SA"/>
        </w:rPr>
        <w:t>废矿物油泄漏</w:t>
      </w:r>
    </w:p>
    <w:p w14:paraId="75B10535">
      <w:pPr>
        <w:pStyle w:val="58"/>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废矿物油的主要成分为链烷烃（石蜡基）、环烷烃等，废润滑油</w:t>
      </w:r>
      <w:r>
        <w:rPr>
          <w:rFonts w:hint="default" w:ascii="Times New Roman" w:hAnsi="Times New Roman" w:cs="Times New Roman"/>
          <w:color w:val="auto"/>
          <w:lang w:val="en-US" w:eastAsia="zh-CN"/>
        </w:rPr>
        <w:t>的典型密度范围大约在</w:t>
      </w:r>
      <w:r>
        <w:rPr>
          <w:rFonts w:hint="eastAsia" w:ascii="Times New Roman" w:hAnsi="Times New Roman" w:cs="Times New Roman"/>
          <w:color w:val="auto"/>
          <w:lang w:val="en-US" w:eastAsia="zh-CN"/>
        </w:rPr>
        <w:t>0.85~0.98</w:t>
      </w:r>
      <w:r>
        <w:rPr>
          <w:rFonts w:hint="eastAsia" w:ascii="Times New Roman" w:hAnsi="Times New Roman" w:cs="Times New Roman"/>
          <w:b w:val="0"/>
          <w:bCs/>
          <w:color w:val="auto"/>
          <w:highlight w:val="none"/>
          <w:lang w:val="en-US" w:eastAsia="zh-CN"/>
        </w:rPr>
        <w:t>g/mL（全部以石油类考虑）</w:t>
      </w:r>
      <w:r>
        <w:rPr>
          <w:rFonts w:hint="default" w:ascii="Times New Roman" w:hAnsi="Times New Roman" w:cs="Times New Roman"/>
          <w:color w:val="auto"/>
          <w:lang w:val="en-US" w:eastAsia="zh-CN"/>
        </w:rPr>
        <w:t>之间</w:t>
      </w:r>
      <w:r>
        <w:rPr>
          <w:rFonts w:hint="eastAsia" w:ascii="Times New Roman" w:hAnsi="Times New Roman" w:cs="Times New Roman"/>
          <w:color w:val="auto"/>
          <w:lang w:val="en-US" w:eastAsia="zh-CN"/>
        </w:rPr>
        <w:t>。</w:t>
      </w:r>
      <w:r>
        <w:rPr>
          <w:rFonts w:hint="eastAsia" w:ascii="Times New Roman" w:hAnsi="Times New Roman" w:cs="Times New Roman"/>
          <w:b w:val="0"/>
          <w:bCs/>
          <w:color w:val="auto"/>
          <w:highlight w:val="none"/>
          <w:lang w:val="en-US" w:eastAsia="zh-CN"/>
        </w:rPr>
        <w:t>废矿物油</w:t>
      </w:r>
      <w:r>
        <w:rPr>
          <w:rFonts w:hint="default" w:ascii="Times New Roman" w:hAnsi="Times New Roman" w:cs="Times New Roman"/>
          <w:b w:val="0"/>
          <w:bCs/>
          <w:color w:val="auto"/>
          <w:highlight w:val="none"/>
          <w:lang w:val="en-US" w:eastAsia="zh-CN"/>
        </w:rPr>
        <w:t>最大贮存量为</w:t>
      </w:r>
      <w:r>
        <w:rPr>
          <w:rFonts w:hint="eastAsia" w:ascii="Times New Roman" w:hAnsi="Times New Roman" w:cs="Times New Roman"/>
          <w:color w:val="auto"/>
          <w:lang w:val="en-US" w:eastAsia="zh-CN"/>
        </w:rPr>
        <w:t>0.003</w:t>
      </w:r>
      <w:r>
        <w:rPr>
          <w:rFonts w:hint="default" w:ascii="Times New Roman" w:hAnsi="Times New Roman" w:eastAsia="宋体" w:cs="Times New Roman"/>
          <w:color w:val="auto"/>
          <w:lang w:val="en-US" w:eastAsia="zh-CN"/>
        </w:rPr>
        <w:t>t</w:t>
      </w:r>
      <w:r>
        <w:rPr>
          <w:rFonts w:hint="eastAsia" w:ascii="Times New Roman" w:hAnsi="Times New Roman" w:cs="Times New Roman"/>
          <w:color w:val="auto"/>
          <w:lang w:val="en-US" w:eastAsia="zh-CN"/>
        </w:rPr>
        <w:t>（1个月产生量）</w:t>
      </w:r>
      <w:r>
        <w:rPr>
          <w:rFonts w:hint="default" w:ascii="Times New Roman" w:hAnsi="Times New Roman" w:eastAsia="宋体" w:cs="Times New Roman"/>
          <w:color w:val="auto"/>
          <w:vertAlign w:val="baseline"/>
          <w:lang w:val="en-US" w:eastAsia="zh-CN"/>
        </w:rPr>
        <w:t>。</w:t>
      </w:r>
    </w:p>
    <w:p w14:paraId="560AA5ED">
      <w:pPr>
        <w:pStyle w:val="58"/>
        <w:bidi w:val="0"/>
        <w:rPr>
          <w:rFonts w:hint="default" w:ascii="Times New Roman" w:hAnsi="Times New Roman" w:cs="Times New Roman"/>
          <w:color w:val="auto"/>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eastAsia" w:ascii="Times New Roman" w:hAnsi="Times New Roman" w:cs="Times New Roman"/>
          <w:color w:val="auto"/>
          <w:lang w:val="en-US" w:eastAsia="zh-CN"/>
        </w:rPr>
        <w:t>因LPG残液与矿物油相比，密度接近，但是其储存量更多，且LPG残液密闭储罐为压力罐，发生事故泄漏的风险性更高，因此考虑将LPG残液储罐发生泄漏作为典型泄漏事故进行分析。</w:t>
      </w:r>
    </w:p>
    <w:p w14:paraId="2F3F1494">
      <w:pPr>
        <w:keepNext w:val="0"/>
        <w:keepLines w:val="0"/>
        <w:pageBreakBefore w:val="0"/>
        <w:widowControl w:val="0"/>
        <w:numPr>
          <w:ilvl w:val="0"/>
          <w:numId w:val="3"/>
        </w:numPr>
        <w:tabs>
          <w:tab w:val="left" w:pos="942"/>
        </w:tabs>
        <w:kinsoku/>
        <w:wordWrap/>
        <w:overflowPunct/>
        <w:topLinePunct w:val="0"/>
        <w:autoSpaceDE/>
        <w:autoSpaceDN/>
        <w:bidi w:val="0"/>
        <w:adjustRightInd/>
        <w:snapToGrid w:val="0"/>
        <w:spacing w:before="50" w:beforeLines="50" w:after="50" w:afterLines="50" w:line="360" w:lineRule="auto"/>
        <w:ind w:left="941" w:leftChars="0" w:hanging="431" w:firstLineChars="0"/>
        <w:jc w:val="both"/>
        <w:textAlignment w:val="auto"/>
        <w:outlineLvl w:val="0"/>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风险预测与评价</w:t>
      </w:r>
    </w:p>
    <w:p w14:paraId="2BEFFC71">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大气环境风险预测与评价</w:t>
      </w:r>
    </w:p>
    <w:p w14:paraId="1F579823">
      <w:pPr>
        <w:keepNext w:val="0"/>
        <w:keepLines w:val="0"/>
        <w:pageBreakBefore w:val="0"/>
        <w:widowControl w:val="0"/>
        <w:numPr>
          <w:ilvl w:val="2"/>
          <w:numId w:val="3"/>
        </w:numPr>
        <w:tabs>
          <w:tab w:val="left" w:pos="1086"/>
          <w:tab w:val="left" w:pos="1260"/>
        </w:tabs>
        <w:kinsoku/>
        <w:wordWrap/>
        <w:overflowPunct/>
        <w:topLinePunct w:val="0"/>
        <w:autoSpaceDE/>
        <w:autoSpaceDN/>
        <w:bidi w:val="0"/>
        <w:adjustRightInd/>
        <w:snapToGrid w:val="0"/>
        <w:spacing w:before="50" w:beforeLines="50" w:after="50" w:afterLines="50" w:line="360" w:lineRule="auto"/>
        <w:ind w:left="0" w:firstLine="560" w:firstLineChars="200"/>
        <w:jc w:val="both"/>
        <w:textAlignment w:val="auto"/>
        <w:outlineLvl w:val="2"/>
        <w:rPr>
          <w:rFonts w:hint="eastAsia" w:ascii="Times New Roman" w:hAnsi="Times New Roman" w:eastAsia="宋体" w:cs="Times New Roman"/>
          <w:b w:val="0"/>
          <w:color w:val="auto"/>
          <w:kern w:val="2"/>
          <w:sz w:val="28"/>
          <w:szCs w:val="24"/>
          <w:lang w:val="en-US" w:eastAsia="zh-CN" w:bidi="ar-SA"/>
        </w:rPr>
      </w:pPr>
      <w:bookmarkStart w:id="21" w:name="_Toc28060"/>
      <w:r>
        <w:rPr>
          <w:rFonts w:hint="eastAsia" w:ascii="Times New Roman" w:hAnsi="Times New Roman" w:eastAsia="宋体" w:cs="Times New Roman"/>
          <w:b w:val="0"/>
          <w:color w:val="auto"/>
          <w:kern w:val="2"/>
          <w:sz w:val="28"/>
          <w:szCs w:val="24"/>
          <w:lang w:val="en-US" w:eastAsia="zh-CN" w:bidi="ar-SA"/>
        </w:rPr>
        <w:t>预测模型筛选</w:t>
      </w:r>
      <w:bookmarkEnd w:id="21"/>
    </w:p>
    <w:p w14:paraId="39888978">
      <w:pPr>
        <w:keepNext w:val="0"/>
        <w:keepLines w:val="0"/>
        <w:pageBreakBefore w:val="0"/>
        <w:widowControl w:val="0"/>
        <w:kinsoku/>
        <w:wordWrap/>
        <w:overflowPunct/>
        <w:topLinePunct w:val="0"/>
        <w:autoSpaceDE/>
        <w:autoSpaceDN/>
        <w:bidi w:val="0"/>
        <w:adjustRightInd w:val="0"/>
        <w:snapToGrid/>
        <w:spacing w:before="157" w:beforeLines="50" w:line="360" w:lineRule="auto"/>
        <w:ind w:firstLine="480" w:firstLineChars="200"/>
        <w:jc w:val="left"/>
        <w:textAlignment w:val="auto"/>
        <w:rPr>
          <w:rFonts w:hint="default" w:ascii="Times New Roman" w:hAnsi="Times New Roman" w:cs="Times New Roman"/>
          <w:color w:val="auto"/>
          <w:sz w:val="24"/>
          <w:szCs w:val="24"/>
          <w:lang w:val="en-US" w:bidi="zh-CN"/>
        </w:rPr>
      </w:pPr>
      <w:r>
        <w:rPr>
          <w:rFonts w:hint="eastAsia" w:cs="Times New Roman"/>
          <w:color w:val="auto"/>
          <w:sz w:val="24"/>
          <w:szCs w:val="24"/>
          <w:lang w:val="en-US" w:bidi="zh-CN"/>
        </w:rPr>
        <w:t>因</w:t>
      </w:r>
      <w:r>
        <w:rPr>
          <w:rFonts w:hint="default" w:ascii="Times New Roman" w:hAnsi="Times New Roman" w:cs="Times New Roman"/>
          <w:color w:val="auto"/>
          <w:sz w:val="24"/>
          <w:szCs w:val="24"/>
          <w:lang w:val="zh-CN" w:bidi="zh-CN"/>
        </w:rPr>
        <w:t>LPG、丙烷</w:t>
      </w:r>
      <w:r>
        <w:rPr>
          <w:rFonts w:hint="eastAsia" w:cs="Times New Roman"/>
          <w:color w:val="auto"/>
          <w:sz w:val="24"/>
          <w:szCs w:val="24"/>
          <w:lang w:val="en-US" w:bidi="zh-CN"/>
        </w:rPr>
        <w:t>储罐</w:t>
      </w:r>
      <w:r>
        <w:rPr>
          <w:rFonts w:hint="default" w:ascii="Times New Roman" w:hAnsi="Times New Roman" w:cs="Times New Roman"/>
          <w:color w:val="auto"/>
          <w:sz w:val="24"/>
          <w:szCs w:val="24"/>
          <w:lang w:val="en-US" w:bidi="zh-CN"/>
        </w:rPr>
        <w:t>发生破裂</w:t>
      </w:r>
      <w:r>
        <w:rPr>
          <w:rFonts w:hint="default" w:ascii="Times New Roman" w:hAnsi="Times New Roman" w:cs="Times New Roman"/>
          <w:color w:val="auto"/>
          <w:sz w:val="24"/>
          <w:szCs w:val="24"/>
          <w:lang w:val="zh-CN" w:bidi="zh-CN"/>
        </w:rPr>
        <w:t>，遇火源发生火灾不完全燃烧伴生/次生的</w:t>
      </w:r>
      <w:r>
        <w:rPr>
          <w:rFonts w:hint="eastAsia" w:ascii="Times New Roman" w:hAnsi="Times New Roman" w:cs="Times New Roman"/>
          <w:color w:val="auto"/>
          <w:sz w:val="24"/>
          <w:szCs w:val="24"/>
          <w:lang w:val="en-US" w:bidi="zh-CN"/>
        </w:rPr>
        <w:t>风险物质均为CO，且经计算，LPG储罐发生火灾释放CO的速率较高，因此选择LPG储罐发生火灾作为预测情景。</w:t>
      </w:r>
    </w:p>
    <w:p w14:paraId="52628617">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根据源项分析结果，采用附录G中G.2中理查德森数定义及计算公式，判断烟团/烟羽重质气体、轻质气体。</w:t>
      </w:r>
    </w:p>
    <w:p w14:paraId="17A97288">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本次风险评价事故源为连续排放。其理查德森数连续排放计算公式为：</w:t>
      </w:r>
    </w:p>
    <w:p w14:paraId="00BB3B7E">
      <w:pPr>
        <w:snapToGrid w:val="0"/>
        <w:spacing w:line="240" w:lineRule="auto"/>
        <w:ind w:firstLine="480"/>
        <w:jc w:val="center"/>
        <w:rPr>
          <w:rFonts w:ascii="Times New Roman" w:hAnsi="Times New Roman" w:eastAsia="宋体" w:cs="Times New Roman"/>
          <w:color w:val="auto"/>
          <w:kern w:val="0"/>
          <w:sz w:val="24"/>
          <w:szCs w:val="20"/>
        </w:rPr>
      </w:pPr>
      <w:r>
        <w:rPr>
          <w:rFonts w:ascii="Times New Roman" w:hAnsi="Times New Roman" w:eastAsia="宋体" w:cs="Times New Roman"/>
          <w:color w:val="auto"/>
          <w:kern w:val="0"/>
          <w:sz w:val="24"/>
          <w:szCs w:val="20"/>
        </w:rPr>
        <w:drawing>
          <wp:inline distT="0" distB="0" distL="114300" distR="114300">
            <wp:extent cx="2200275" cy="771525"/>
            <wp:effectExtent l="0" t="0" r="9525" b="9525"/>
            <wp:docPr id="10" name="图片 2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1" descr="图片1"/>
                    <pic:cNvPicPr>
                      <a:picLocks noChangeAspect="1"/>
                    </pic:cNvPicPr>
                  </pic:nvPicPr>
                  <pic:blipFill>
                    <a:blip r:embed="rId56"/>
                    <a:stretch>
                      <a:fillRect/>
                    </a:stretch>
                  </pic:blipFill>
                  <pic:spPr>
                    <a:xfrm>
                      <a:off x="0" y="0"/>
                      <a:ext cx="2200275" cy="771525"/>
                    </a:xfrm>
                    <a:prstGeom prst="rect">
                      <a:avLst/>
                    </a:prstGeom>
                    <a:noFill/>
                    <a:ln>
                      <a:noFill/>
                    </a:ln>
                  </pic:spPr>
                </pic:pic>
              </a:graphicData>
            </a:graphic>
          </wp:inline>
        </w:drawing>
      </w:r>
    </w:p>
    <w:p w14:paraId="352C7F40">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式中：ρrel—排放物质进入大气的初始密度，kg/m</w:t>
      </w:r>
      <w:r>
        <w:rPr>
          <w:rFonts w:ascii="Times New Roman" w:hAnsi="Times New Roman" w:eastAsia="宋体" w:cs="Times New Roman"/>
          <w:color w:val="auto"/>
          <w:spacing w:val="6"/>
          <w:kern w:val="0"/>
          <w:sz w:val="24"/>
          <w:vertAlign w:val="superscript"/>
        </w:rPr>
        <w:t>3</w:t>
      </w:r>
      <w:r>
        <w:rPr>
          <w:rFonts w:ascii="Times New Roman" w:hAnsi="Times New Roman" w:eastAsia="宋体" w:cs="Times New Roman"/>
          <w:color w:val="auto"/>
          <w:spacing w:val="6"/>
          <w:kern w:val="0"/>
          <w:sz w:val="24"/>
        </w:rPr>
        <w:t>；</w:t>
      </w:r>
    </w:p>
    <w:p w14:paraId="1180244D">
      <w:pPr>
        <w:tabs>
          <w:tab w:val="center" w:pos="4153"/>
          <w:tab w:val="right" w:pos="8306"/>
        </w:tabs>
        <w:adjustRightInd w:val="0"/>
        <w:snapToGrid w:val="0"/>
        <w:spacing w:line="360" w:lineRule="auto"/>
        <w:ind w:firstLine="1290" w:firstLineChars="512"/>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ρa—环境空气密度，kg/m</w:t>
      </w:r>
      <w:r>
        <w:rPr>
          <w:rFonts w:ascii="Times New Roman" w:hAnsi="Times New Roman" w:eastAsia="宋体" w:cs="Times New Roman"/>
          <w:color w:val="auto"/>
          <w:spacing w:val="6"/>
          <w:kern w:val="0"/>
          <w:sz w:val="24"/>
          <w:vertAlign w:val="superscript"/>
        </w:rPr>
        <w:t>3</w:t>
      </w:r>
      <w:r>
        <w:rPr>
          <w:rFonts w:ascii="Times New Roman" w:hAnsi="Times New Roman" w:eastAsia="宋体" w:cs="Times New Roman"/>
          <w:color w:val="auto"/>
          <w:spacing w:val="6"/>
          <w:kern w:val="0"/>
          <w:sz w:val="24"/>
        </w:rPr>
        <w:t>；</w:t>
      </w:r>
    </w:p>
    <w:p w14:paraId="29B85FB7">
      <w:pPr>
        <w:tabs>
          <w:tab w:val="center" w:pos="4153"/>
          <w:tab w:val="right" w:pos="8306"/>
        </w:tabs>
        <w:adjustRightInd w:val="0"/>
        <w:snapToGrid w:val="0"/>
        <w:spacing w:line="360" w:lineRule="auto"/>
        <w:ind w:firstLine="1290" w:firstLineChars="512"/>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Q—连续排放烟羽的排放速率，kg/s；</w:t>
      </w:r>
    </w:p>
    <w:p w14:paraId="72A3614C">
      <w:pPr>
        <w:tabs>
          <w:tab w:val="center" w:pos="4153"/>
          <w:tab w:val="right" w:pos="8306"/>
        </w:tabs>
        <w:adjustRightInd w:val="0"/>
        <w:snapToGrid w:val="0"/>
        <w:spacing w:line="360" w:lineRule="auto"/>
        <w:ind w:firstLine="1290" w:firstLineChars="512"/>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Drel—初始的颜团宽度，即源直径，m；</w:t>
      </w:r>
    </w:p>
    <w:p w14:paraId="342A39E2">
      <w:pPr>
        <w:tabs>
          <w:tab w:val="center" w:pos="4153"/>
          <w:tab w:val="right" w:pos="8306"/>
        </w:tabs>
        <w:adjustRightInd w:val="0"/>
        <w:snapToGrid w:val="0"/>
        <w:spacing w:line="360" w:lineRule="auto"/>
        <w:ind w:firstLine="1290" w:firstLineChars="512"/>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Qt—瞬时排放的物质质量，kg；</w:t>
      </w:r>
    </w:p>
    <w:p w14:paraId="26B4B3C0">
      <w:pPr>
        <w:tabs>
          <w:tab w:val="center" w:pos="4153"/>
          <w:tab w:val="right" w:pos="8306"/>
        </w:tabs>
        <w:adjustRightInd w:val="0"/>
        <w:snapToGrid w:val="0"/>
        <w:spacing w:line="360" w:lineRule="auto"/>
        <w:ind w:firstLine="1290" w:firstLineChars="512"/>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Ur—10m高处风速，m/s。</w:t>
      </w:r>
    </w:p>
    <w:p w14:paraId="72906E19">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各风险事故释放物质理查德森数计算结果见表</w:t>
      </w:r>
      <w:r>
        <w:rPr>
          <w:rFonts w:hint="eastAsia" w:ascii="Times New Roman" w:hAnsi="Times New Roman" w:eastAsia="宋体" w:cs="Times New Roman"/>
          <w:color w:val="auto"/>
          <w:spacing w:val="6"/>
          <w:kern w:val="0"/>
          <w:sz w:val="24"/>
          <w:lang w:val="en-US" w:eastAsia="zh-CN"/>
        </w:rPr>
        <w:t>4.1</w:t>
      </w:r>
      <w:r>
        <w:rPr>
          <w:rFonts w:ascii="Times New Roman" w:hAnsi="Times New Roman" w:eastAsia="宋体" w:cs="Times New Roman"/>
          <w:color w:val="auto"/>
          <w:spacing w:val="6"/>
          <w:kern w:val="0"/>
          <w:sz w:val="24"/>
        </w:rPr>
        <w:t>-1。</w:t>
      </w:r>
    </w:p>
    <w:p w14:paraId="1716B494">
      <w:pPr>
        <w:tabs>
          <w:tab w:val="center" w:pos="4153"/>
          <w:tab w:val="right" w:pos="8306"/>
        </w:tabs>
        <w:adjustRightInd w:val="0"/>
        <w:snapToGrid w:val="0"/>
        <w:spacing w:line="240" w:lineRule="auto"/>
        <w:ind w:firstLine="510"/>
        <w:jc w:val="center"/>
        <w:textAlignment w:val="baseline"/>
        <w:rPr>
          <w:rFonts w:ascii="Times New Roman" w:hAnsi="Times New Roman" w:eastAsia="宋体" w:cs="Times New Roman"/>
          <w:b/>
          <w:bCs/>
          <w:color w:val="auto"/>
          <w:spacing w:val="6"/>
          <w:kern w:val="0"/>
          <w:sz w:val="24"/>
        </w:rPr>
      </w:pPr>
      <w:r>
        <w:rPr>
          <w:rFonts w:ascii="Times New Roman" w:hAnsi="Times New Roman" w:eastAsia="宋体" w:cs="Times New Roman"/>
          <w:b/>
          <w:bCs/>
          <w:color w:val="auto"/>
          <w:spacing w:val="6"/>
          <w:kern w:val="0"/>
          <w:sz w:val="24"/>
        </w:rPr>
        <w:t>表</w:t>
      </w:r>
      <w:r>
        <w:rPr>
          <w:rFonts w:hint="eastAsia" w:ascii="Times New Roman" w:hAnsi="Times New Roman" w:eastAsia="宋体" w:cs="Times New Roman"/>
          <w:b/>
          <w:bCs/>
          <w:color w:val="auto"/>
          <w:spacing w:val="6"/>
          <w:kern w:val="0"/>
          <w:sz w:val="24"/>
          <w:lang w:val="en-US" w:eastAsia="zh-CN"/>
        </w:rPr>
        <w:t>4.1</w:t>
      </w:r>
      <w:r>
        <w:rPr>
          <w:rFonts w:ascii="Times New Roman" w:hAnsi="Times New Roman" w:eastAsia="宋体" w:cs="Times New Roman"/>
          <w:b/>
          <w:bCs/>
          <w:color w:val="auto"/>
          <w:spacing w:val="6"/>
          <w:kern w:val="0"/>
          <w:sz w:val="24"/>
        </w:rPr>
        <w:t>-1  理查德森数计算结果一览表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1"/>
        <w:gridCol w:w="831"/>
        <w:gridCol w:w="1166"/>
        <w:gridCol w:w="743"/>
        <w:gridCol w:w="1202"/>
        <w:gridCol w:w="646"/>
        <w:gridCol w:w="881"/>
        <w:gridCol w:w="761"/>
        <w:gridCol w:w="1099"/>
      </w:tblGrid>
      <w:tr w14:paraId="4C1F4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restart"/>
            <w:noWrap w:val="0"/>
            <w:tcMar>
              <w:left w:w="11" w:type="dxa"/>
              <w:right w:w="11" w:type="dxa"/>
            </w:tcMar>
            <w:vAlign w:val="center"/>
          </w:tcPr>
          <w:p w14:paraId="7FAB7787">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事故情形</w:t>
            </w:r>
          </w:p>
        </w:tc>
        <w:tc>
          <w:tcPr>
            <w:tcW w:w="831" w:type="dxa"/>
            <w:vMerge w:val="restart"/>
            <w:noWrap w:val="0"/>
            <w:tcMar>
              <w:left w:w="11" w:type="dxa"/>
              <w:right w:w="11" w:type="dxa"/>
            </w:tcMar>
            <w:vAlign w:val="center"/>
          </w:tcPr>
          <w:p w14:paraId="215E023C">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物质</w:t>
            </w:r>
          </w:p>
        </w:tc>
        <w:tc>
          <w:tcPr>
            <w:tcW w:w="1166" w:type="dxa"/>
            <w:noWrap w:val="0"/>
            <w:tcMar>
              <w:left w:w="11" w:type="dxa"/>
              <w:right w:w="11" w:type="dxa"/>
            </w:tcMar>
            <w:vAlign w:val="center"/>
          </w:tcPr>
          <w:p w14:paraId="26DC3A09">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排放物质进入大气的初始密度</w:t>
            </w:r>
          </w:p>
        </w:tc>
        <w:tc>
          <w:tcPr>
            <w:tcW w:w="743" w:type="dxa"/>
            <w:noWrap w:val="0"/>
            <w:tcMar>
              <w:left w:w="11" w:type="dxa"/>
              <w:right w:w="11" w:type="dxa"/>
            </w:tcMar>
            <w:vAlign w:val="center"/>
          </w:tcPr>
          <w:p w14:paraId="37730AC5">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环境空气密度</w:t>
            </w:r>
          </w:p>
        </w:tc>
        <w:tc>
          <w:tcPr>
            <w:tcW w:w="1202" w:type="dxa"/>
            <w:noWrap w:val="0"/>
            <w:tcMar>
              <w:left w:w="11" w:type="dxa"/>
              <w:right w:w="11" w:type="dxa"/>
            </w:tcMar>
            <w:vAlign w:val="center"/>
          </w:tcPr>
          <w:p w14:paraId="21AC3D12">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连续排放烟羽的排放速率</w:t>
            </w:r>
          </w:p>
        </w:tc>
        <w:tc>
          <w:tcPr>
            <w:tcW w:w="646" w:type="dxa"/>
            <w:noWrap w:val="0"/>
            <w:tcMar>
              <w:left w:w="11" w:type="dxa"/>
              <w:right w:w="11" w:type="dxa"/>
            </w:tcMar>
            <w:vAlign w:val="center"/>
          </w:tcPr>
          <w:p w14:paraId="106A3C4C">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10m高处风速</w:t>
            </w:r>
          </w:p>
        </w:tc>
        <w:tc>
          <w:tcPr>
            <w:tcW w:w="881" w:type="dxa"/>
            <w:noWrap w:val="0"/>
            <w:tcMar>
              <w:left w:w="11" w:type="dxa"/>
              <w:right w:w="11" w:type="dxa"/>
            </w:tcMar>
            <w:vAlign w:val="center"/>
          </w:tcPr>
          <w:p w14:paraId="722CA964">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初始的烟团宽度，即源直径</w:t>
            </w:r>
          </w:p>
        </w:tc>
        <w:tc>
          <w:tcPr>
            <w:tcW w:w="761" w:type="dxa"/>
            <w:noWrap w:val="0"/>
            <w:tcMar>
              <w:left w:w="11" w:type="dxa"/>
              <w:right w:w="11" w:type="dxa"/>
            </w:tcMar>
            <w:vAlign w:val="center"/>
          </w:tcPr>
          <w:p w14:paraId="17659B15">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瞬时排放的物质质量</w:t>
            </w:r>
          </w:p>
        </w:tc>
        <w:tc>
          <w:tcPr>
            <w:tcW w:w="1099" w:type="dxa"/>
            <w:noWrap w:val="0"/>
            <w:tcMar>
              <w:left w:w="11" w:type="dxa"/>
              <w:right w:w="11" w:type="dxa"/>
            </w:tcMar>
            <w:vAlign w:val="center"/>
          </w:tcPr>
          <w:p w14:paraId="1A2719E2">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理查德森数</w:t>
            </w:r>
          </w:p>
        </w:tc>
      </w:tr>
      <w:tr w14:paraId="07EE4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vMerge w:val="continue"/>
            <w:noWrap w:val="0"/>
            <w:tcMar>
              <w:left w:w="11" w:type="dxa"/>
              <w:right w:w="11" w:type="dxa"/>
            </w:tcMar>
            <w:vAlign w:val="center"/>
          </w:tcPr>
          <w:p w14:paraId="753B634D">
            <w:pPr>
              <w:snapToGrid w:val="0"/>
              <w:spacing w:line="240" w:lineRule="auto"/>
              <w:jc w:val="center"/>
              <w:rPr>
                <w:rFonts w:ascii="Times New Roman" w:hAnsi="Times New Roman" w:eastAsia="宋体" w:cs="Times New Roman"/>
                <w:color w:val="auto"/>
                <w:kern w:val="0"/>
                <w:szCs w:val="21"/>
              </w:rPr>
            </w:pPr>
          </w:p>
        </w:tc>
        <w:tc>
          <w:tcPr>
            <w:tcW w:w="831" w:type="dxa"/>
            <w:vMerge w:val="continue"/>
            <w:noWrap w:val="0"/>
            <w:tcMar>
              <w:left w:w="11" w:type="dxa"/>
              <w:right w:w="11" w:type="dxa"/>
            </w:tcMar>
            <w:vAlign w:val="center"/>
          </w:tcPr>
          <w:p w14:paraId="68D16986">
            <w:pPr>
              <w:snapToGrid w:val="0"/>
              <w:spacing w:line="240" w:lineRule="auto"/>
              <w:jc w:val="center"/>
              <w:rPr>
                <w:rFonts w:ascii="Times New Roman" w:hAnsi="Times New Roman" w:eastAsia="宋体" w:cs="Times New Roman"/>
                <w:color w:val="auto"/>
                <w:kern w:val="0"/>
                <w:szCs w:val="21"/>
              </w:rPr>
            </w:pPr>
          </w:p>
        </w:tc>
        <w:tc>
          <w:tcPr>
            <w:tcW w:w="1166" w:type="dxa"/>
            <w:noWrap w:val="0"/>
            <w:tcMar>
              <w:left w:w="11" w:type="dxa"/>
              <w:right w:w="11" w:type="dxa"/>
            </w:tcMar>
            <w:vAlign w:val="center"/>
          </w:tcPr>
          <w:p w14:paraId="71C8BCC1">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ρrel</w:t>
            </w:r>
          </w:p>
        </w:tc>
        <w:tc>
          <w:tcPr>
            <w:tcW w:w="743" w:type="dxa"/>
            <w:noWrap w:val="0"/>
            <w:tcMar>
              <w:left w:w="11" w:type="dxa"/>
              <w:right w:w="11" w:type="dxa"/>
            </w:tcMar>
            <w:vAlign w:val="center"/>
          </w:tcPr>
          <w:p w14:paraId="5CC40816">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ρa</w:t>
            </w:r>
          </w:p>
        </w:tc>
        <w:tc>
          <w:tcPr>
            <w:tcW w:w="1202" w:type="dxa"/>
            <w:noWrap w:val="0"/>
            <w:tcMar>
              <w:left w:w="11" w:type="dxa"/>
              <w:right w:w="11" w:type="dxa"/>
            </w:tcMar>
            <w:vAlign w:val="center"/>
          </w:tcPr>
          <w:p w14:paraId="4AD33C9F">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Q</w:t>
            </w:r>
          </w:p>
        </w:tc>
        <w:tc>
          <w:tcPr>
            <w:tcW w:w="646" w:type="dxa"/>
            <w:noWrap w:val="0"/>
            <w:tcMar>
              <w:left w:w="11" w:type="dxa"/>
              <w:right w:w="11" w:type="dxa"/>
            </w:tcMar>
            <w:vAlign w:val="center"/>
          </w:tcPr>
          <w:p w14:paraId="41658FF6">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Ur</w:t>
            </w:r>
          </w:p>
        </w:tc>
        <w:tc>
          <w:tcPr>
            <w:tcW w:w="881" w:type="dxa"/>
            <w:noWrap w:val="0"/>
            <w:tcMar>
              <w:left w:w="11" w:type="dxa"/>
              <w:right w:w="11" w:type="dxa"/>
            </w:tcMar>
            <w:vAlign w:val="center"/>
          </w:tcPr>
          <w:p w14:paraId="2AB599C0">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Drel</w:t>
            </w:r>
          </w:p>
        </w:tc>
        <w:tc>
          <w:tcPr>
            <w:tcW w:w="761" w:type="dxa"/>
            <w:noWrap w:val="0"/>
            <w:tcMar>
              <w:left w:w="11" w:type="dxa"/>
              <w:right w:w="11" w:type="dxa"/>
            </w:tcMar>
            <w:vAlign w:val="center"/>
          </w:tcPr>
          <w:p w14:paraId="53FEFB74">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Qt</w:t>
            </w:r>
          </w:p>
        </w:tc>
        <w:tc>
          <w:tcPr>
            <w:tcW w:w="1099" w:type="dxa"/>
            <w:noWrap w:val="0"/>
            <w:tcMar>
              <w:left w:w="11" w:type="dxa"/>
              <w:right w:w="11" w:type="dxa"/>
            </w:tcMar>
            <w:vAlign w:val="center"/>
          </w:tcPr>
          <w:p w14:paraId="3627E393">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Ri</w:t>
            </w:r>
          </w:p>
        </w:tc>
      </w:tr>
      <w:tr w14:paraId="5E5CA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991" w:type="dxa"/>
            <w:vMerge w:val="continue"/>
            <w:noWrap w:val="0"/>
            <w:tcMar>
              <w:left w:w="11" w:type="dxa"/>
              <w:right w:w="11" w:type="dxa"/>
            </w:tcMar>
            <w:vAlign w:val="center"/>
          </w:tcPr>
          <w:p w14:paraId="3D65508A">
            <w:pPr>
              <w:snapToGrid w:val="0"/>
              <w:spacing w:line="240" w:lineRule="auto"/>
              <w:jc w:val="center"/>
              <w:rPr>
                <w:rFonts w:ascii="Times New Roman" w:hAnsi="Times New Roman" w:eastAsia="宋体" w:cs="Times New Roman"/>
                <w:color w:val="auto"/>
                <w:kern w:val="0"/>
                <w:szCs w:val="21"/>
              </w:rPr>
            </w:pPr>
          </w:p>
        </w:tc>
        <w:tc>
          <w:tcPr>
            <w:tcW w:w="831" w:type="dxa"/>
            <w:vMerge w:val="continue"/>
            <w:noWrap w:val="0"/>
            <w:tcMar>
              <w:left w:w="11" w:type="dxa"/>
              <w:right w:w="11" w:type="dxa"/>
            </w:tcMar>
            <w:vAlign w:val="center"/>
          </w:tcPr>
          <w:p w14:paraId="4B603307">
            <w:pPr>
              <w:snapToGrid w:val="0"/>
              <w:spacing w:line="240" w:lineRule="auto"/>
              <w:jc w:val="center"/>
              <w:rPr>
                <w:rFonts w:ascii="Times New Roman" w:hAnsi="Times New Roman" w:eastAsia="宋体" w:cs="Times New Roman"/>
                <w:color w:val="auto"/>
                <w:kern w:val="0"/>
                <w:szCs w:val="21"/>
              </w:rPr>
            </w:pPr>
          </w:p>
        </w:tc>
        <w:tc>
          <w:tcPr>
            <w:tcW w:w="1166" w:type="dxa"/>
            <w:noWrap w:val="0"/>
            <w:tcMar>
              <w:left w:w="11" w:type="dxa"/>
              <w:right w:w="11" w:type="dxa"/>
            </w:tcMar>
            <w:vAlign w:val="center"/>
          </w:tcPr>
          <w:p w14:paraId="506661DB">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kg/m</w:t>
            </w:r>
            <w:r>
              <w:rPr>
                <w:rFonts w:ascii="Times New Roman" w:hAnsi="Times New Roman" w:eastAsia="宋体" w:cs="Times New Roman"/>
                <w:color w:val="auto"/>
                <w:kern w:val="0"/>
                <w:szCs w:val="21"/>
                <w:vertAlign w:val="superscript"/>
              </w:rPr>
              <w:t>3</w:t>
            </w:r>
          </w:p>
        </w:tc>
        <w:tc>
          <w:tcPr>
            <w:tcW w:w="743" w:type="dxa"/>
            <w:noWrap w:val="0"/>
            <w:tcMar>
              <w:left w:w="11" w:type="dxa"/>
              <w:right w:w="11" w:type="dxa"/>
            </w:tcMar>
            <w:vAlign w:val="center"/>
          </w:tcPr>
          <w:p w14:paraId="34B73AF8">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kg/m</w:t>
            </w:r>
            <w:r>
              <w:rPr>
                <w:rFonts w:ascii="Times New Roman" w:hAnsi="Times New Roman" w:eastAsia="宋体" w:cs="Times New Roman"/>
                <w:color w:val="auto"/>
                <w:kern w:val="0"/>
                <w:szCs w:val="21"/>
                <w:vertAlign w:val="superscript"/>
              </w:rPr>
              <w:t>3</w:t>
            </w:r>
          </w:p>
        </w:tc>
        <w:tc>
          <w:tcPr>
            <w:tcW w:w="1202" w:type="dxa"/>
            <w:noWrap w:val="0"/>
            <w:tcMar>
              <w:left w:w="11" w:type="dxa"/>
              <w:right w:w="11" w:type="dxa"/>
            </w:tcMar>
            <w:vAlign w:val="center"/>
          </w:tcPr>
          <w:p w14:paraId="7CFF65B7">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kg/s</w:t>
            </w:r>
          </w:p>
        </w:tc>
        <w:tc>
          <w:tcPr>
            <w:tcW w:w="646" w:type="dxa"/>
            <w:noWrap w:val="0"/>
            <w:tcMar>
              <w:left w:w="11" w:type="dxa"/>
              <w:right w:w="11" w:type="dxa"/>
            </w:tcMar>
            <w:vAlign w:val="center"/>
          </w:tcPr>
          <w:p w14:paraId="11061D24">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m/s</w:t>
            </w:r>
          </w:p>
        </w:tc>
        <w:tc>
          <w:tcPr>
            <w:tcW w:w="881" w:type="dxa"/>
            <w:noWrap w:val="0"/>
            <w:tcMar>
              <w:left w:w="11" w:type="dxa"/>
              <w:right w:w="11" w:type="dxa"/>
            </w:tcMar>
            <w:vAlign w:val="center"/>
          </w:tcPr>
          <w:p w14:paraId="5B41C530">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m</w:t>
            </w:r>
          </w:p>
        </w:tc>
        <w:tc>
          <w:tcPr>
            <w:tcW w:w="761" w:type="dxa"/>
            <w:noWrap w:val="0"/>
            <w:tcMar>
              <w:left w:w="11" w:type="dxa"/>
              <w:right w:w="11" w:type="dxa"/>
            </w:tcMar>
            <w:vAlign w:val="center"/>
          </w:tcPr>
          <w:p w14:paraId="4A2A6062">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kg</w:t>
            </w:r>
          </w:p>
        </w:tc>
        <w:tc>
          <w:tcPr>
            <w:tcW w:w="1099" w:type="dxa"/>
            <w:noWrap w:val="0"/>
            <w:tcMar>
              <w:left w:w="11" w:type="dxa"/>
              <w:right w:w="11" w:type="dxa"/>
            </w:tcMar>
            <w:vAlign w:val="center"/>
          </w:tcPr>
          <w:p w14:paraId="6CF34AD9">
            <w:pPr>
              <w:snapToGrid w:val="0"/>
              <w:spacing w:line="240" w:lineRule="auto"/>
              <w:jc w:val="center"/>
              <w:rPr>
                <w:rFonts w:ascii="Times New Roman" w:hAnsi="Times New Roman" w:eastAsia="宋体" w:cs="Times New Roman"/>
                <w:color w:val="auto"/>
                <w:kern w:val="0"/>
                <w:szCs w:val="21"/>
              </w:rPr>
            </w:pPr>
            <w:r>
              <w:rPr>
                <w:rFonts w:ascii="Times New Roman" w:hAnsi="Times New Roman" w:eastAsia="宋体" w:cs="Times New Roman"/>
                <w:color w:val="auto"/>
                <w:kern w:val="0"/>
                <w:szCs w:val="21"/>
              </w:rPr>
              <w:t>/</w:t>
            </w:r>
          </w:p>
        </w:tc>
      </w:tr>
      <w:tr w14:paraId="05C56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1" w:type="dxa"/>
            <w:noWrap w:val="0"/>
            <w:tcMar>
              <w:left w:w="11" w:type="dxa"/>
              <w:right w:w="11" w:type="dxa"/>
            </w:tcMar>
            <w:vAlign w:val="center"/>
          </w:tcPr>
          <w:p w14:paraId="31578B87">
            <w:pPr>
              <w:snapToGrid w:val="0"/>
              <w:spacing w:line="240" w:lineRule="auto"/>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lang w:val="en-US" w:eastAsia="zh-CN"/>
              </w:rPr>
              <w:t>LPG</w:t>
            </w:r>
            <w:r>
              <w:rPr>
                <w:rFonts w:hint="eastAsia" w:ascii="Times New Roman" w:hAnsi="Times New Roman" w:eastAsia="宋体" w:cs="Times New Roman"/>
                <w:color w:val="auto"/>
                <w:kern w:val="0"/>
                <w:szCs w:val="21"/>
              </w:rPr>
              <w:t>起火燃烧</w:t>
            </w:r>
          </w:p>
        </w:tc>
        <w:tc>
          <w:tcPr>
            <w:tcW w:w="831" w:type="dxa"/>
            <w:noWrap w:val="0"/>
            <w:tcMar>
              <w:left w:w="11" w:type="dxa"/>
              <w:right w:w="11" w:type="dxa"/>
            </w:tcMar>
            <w:vAlign w:val="center"/>
          </w:tcPr>
          <w:p w14:paraId="6334EFCF">
            <w:pPr>
              <w:snapToGrid w:val="0"/>
              <w:spacing w:line="240" w:lineRule="auto"/>
              <w:jc w:val="center"/>
              <w:rPr>
                <w:rFonts w:ascii="Times New Roman" w:hAnsi="Times New Roman" w:eastAsia="宋体" w:cs="Times New Roman"/>
                <w:color w:val="auto"/>
                <w:kern w:val="0"/>
                <w:szCs w:val="21"/>
              </w:rPr>
            </w:pPr>
            <w:r>
              <w:rPr>
                <w:rFonts w:hint="eastAsia" w:ascii="Times New Roman" w:hAnsi="Times New Roman" w:eastAsia="宋体" w:cs="Times New Roman"/>
                <w:color w:val="auto"/>
                <w:kern w:val="0"/>
                <w:szCs w:val="21"/>
              </w:rPr>
              <w:t>一氧化碳</w:t>
            </w:r>
          </w:p>
        </w:tc>
        <w:tc>
          <w:tcPr>
            <w:tcW w:w="1166" w:type="dxa"/>
            <w:noWrap w:val="0"/>
            <w:tcMar>
              <w:left w:w="11" w:type="dxa"/>
              <w:right w:w="11" w:type="dxa"/>
            </w:tcMar>
            <w:vAlign w:val="center"/>
          </w:tcPr>
          <w:p w14:paraId="6A1E81C0">
            <w:pPr>
              <w:overflowPunct w:val="0"/>
              <w:topLinePunct/>
              <w:spacing w:line="240" w:lineRule="auto"/>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1.25</w:t>
            </w:r>
          </w:p>
        </w:tc>
        <w:tc>
          <w:tcPr>
            <w:tcW w:w="743" w:type="dxa"/>
            <w:noWrap w:val="0"/>
            <w:tcMar>
              <w:left w:w="11" w:type="dxa"/>
              <w:right w:w="11" w:type="dxa"/>
            </w:tcMar>
            <w:vAlign w:val="center"/>
          </w:tcPr>
          <w:p w14:paraId="6DEF22EE">
            <w:pPr>
              <w:overflowPunct w:val="0"/>
              <w:topLinePunct/>
              <w:spacing w:line="240" w:lineRule="auto"/>
              <w:jc w:val="center"/>
              <w:rPr>
                <w:rFonts w:ascii="Times New Roman" w:hAnsi="Times New Roman" w:eastAsia="宋体" w:cs="Times New Roman"/>
                <w:color w:val="auto"/>
                <w:szCs w:val="21"/>
              </w:rPr>
            </w:pPr>
            <w:r>
              <w:rPr>
                <w:rFonts w:ascii="Times New Roman" w:hAnsi="Times New Roman" w:eastAsia="宋体" w:cs="Times New Roman"/>
                <w:color w:val="auto"/>
                <w:szCs w:val="21"/>
              </w:rPr>
              <w:t>1.29</w:t>
            </w:r>
          </w:p>
        </w:tc>
        <w:tc>
          <w:tcPr>
            <w:tcW w:w="1202" w:type="dxa"/>
            <w:noWrap w:val="0"/>
            <w:tcMar>
              <w:left w:w="11" w:type="dxa"/>
              <w:right w:w="11" w:type="dxa"/>
            </w:tcMar>
            <w:vAlign w:val="center"/>
          </w:tcPr>
          <w:p w14:paraId="418E108B">
            <w:pPr>
              <w:overflowPunct w:val="0"/>
              <w:topLinePunct/>
              <w:spacing w:line="240" w:lineRule="auto"/>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0.170</w:t>
            </w:r>
          </w:p>
        </w:tc>
        <w:tc>
          <w:tcPr>
            <w:tcW w:w="646" w:type="dxa"/>
            <w:noWrap w:val="0"/>
            <w:tcMar>
              <w:left w:w="11" w:type="dxa"/>
              <w:right w:w="11" w:type="dxa"/>
            </w:tcMar>
            <w:vAlign w:val="center"/>
          </w:tcPr>
          <w:p w14:paraId="3C3CA89F">
            <w:pPr>
              <w:overflowPunct w:val="0"/>
              <w:topLinePunct/>
              <w:spacing w:line="240" w:lineRule="auto"/>
              <w:jc w:val="center"/>
              <w:rPr>
                <w:rFonts w:ascii="Times New Roman" w:hAnsi="Times New Roman" w:eastAsia="宋体" w:cs="Times New Roman"/>
                <w:color w:val="auto"/>
                <w:szCs w:val="21"/>
              </w:rPr>
            </w:pPr>
            <w:r>
              <w:rPr>
                <w:rFonts w:hint="eastAsia" w:ascii="Times New Roman" w:hAnsi="Times New Roman" w:eastAsia="宋体" w:cs="Times New Roman"/>
                <w:color w:val="auto"/>
                <w:szCs w:val="21"/>
                <w:lang w:val="en-US" w:eastAsia="zh-CN"/>
              </w:rPr>
              <w:t>2.2</w:t>
            </w:r>
          </w:p>
        </w:tc>
        <w:tc>
          <w:tcPr>
            <w:tcW w:w="881" w:type="dxa"/>
            <w:noWrap w:val="0"/>
            <w:tcMar>
              <w:left w:w="11" w:type="dxa"/>
              <w:right w:w="11" w:type="dxa"/>
            </w:tcMar>
            <w:vAlign w:val="center"/>
          </w:tcPr>
          <w:p w14:paraId="213C8607">
            <w:pPr>
              <w:overflowPunct w:val="0"/>
              <w:topLinePunct/>
              <w:spacing w:line="240" w:lineRule="auto"/>
              <w:jc w:val="center"/>
              <w:rPr>
                <w:rFonts w:ascii="Times New Roman" w:hAnsi="Times New Roman" w:eastAsia="宋体" w:cs="Times New Roman"/>
                <w:color w:val="auto"/>
                <w:szCs w:val="21"/>
              </w:rPr>
            </w:pPr>
            <w:r>
              <w:rPr>
                <w:rFonts w:ascii="Times New Roman" w:hAnsi="Times New Roman" w:eastAsia="宋体" w:cs="Times New Roman"/>
                <w:color w:val="auto"/>
                <w:szCs w:val="21"/>
              </w:rPr>
              <w:t xml:space="preserve">19.55 </w:t>
            </w:r>
          </w:p>
        </w:tc>
        <w:tc>
          <w:tcPr>
            <w:tcW w:w="761" w:type="dxa"/>
            <w:noWrap w:val="0"/>
            <w:tcMar>
              <w:left w:w="11" w:type="dxa"/>
              <w:right w:w="11" w:type="dxa"/>
            </w:tcMar>
            <w:vAlign w:val="top"/>
          </w:tcPr>
          <w:p w14:paraId="3090AECE">
            <w:pPr>
              <w:overflowPunct w:val="0"/>
              <w:topLinePunct/>
              <w:spacing w:line="240" w:lineRule="auto"/>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1099" w:type="dxa"/>
            <w:noWrap w:val="0"/>
            <w:tcMar>
              <w:left w:w="11" w:type="dxa"/>
              <w:right w:w="11" w:type="dxa"/>
            </w:tcMar>
            <w:vAlign w:val="center"/>
          </w:tcPr>
          <w:p w14:paraId="659FF046">
            <w:pPr>
              <w:overflowPunct w:val="0"/>
              <w:topLinePunct/>
              <w:spacing w:line="240" w:lineRule="auto"/>
              <w:jc w:val="center"/>
              <w:rPr>
                <w:rFonts w:hint="default" w:ascii="Times New Roman" w:hAnsi="Times New Roman" w:eastAsia="宋体" w:cs="Times New Roman"/>
                <w:color w:val="auto"/>
                <w:szCs w:val="21"/>
                <w:lang w:val="en-US"/>
              </w:rPr>
            </w:pPr>
            <w:r>
              <w:rPr>
                <w:rFonts w:hint="default" w:ascii="Times New Roman" w:hAnsi="Times New Roman" w:eastAsia="宋体" w:cs="Times New Roman"/>
                <w:color w:val="auto"/>
                <w:szCs w:val="21"/>
                <w:lang w:val="en-US" w:eastAsia="zh-CN"/>
              </w:rPr>
              <w:t>-</w:t>
            </w:r>
            <w:r>
              <w:rPr>
                <w:rFonts w:hint="eastAsia" w:ascii="Times New Roman" w:hAnsi="Times New Roman" w:eastAsia="宋体" w:cs="Times New Roman"/>
                <w:color w:val="auto"/>
                <w:szCs w:val="21"/>
                <w:lang w:val="en-US" w:eastAsia="zh-CN"/>
              </w:rPr>
              <w:t>0.063</w:t>
            </w:r>
          </w:p>
        </w:tc>
      </w:tr>
    </w:tbl>
    <w:p w14:paraId="7D9CE649">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auto"/>
          <w:spacing w:val="6"/>
          <w:kern w:val="0"/>
          <w:sz w:val="24"/>
        </w:rPr>
      </w:pPr>
      <w:r>
        <w:rPr>
          <w:rFonts w:ascii="Times New Roman" w:hAnsi="Times New Roman" w:eastAsia="宋体" w:cs="Times New Roman"/>
          <w:color w:val="auto"/>
          <w:spacing w:val="6"/>
          <w:kern w:val="0"/>
          <w:sz w:val="24"/>
        </w:rPr>
        <w:t>由表</w:t>
      </w:r>
      <w:r>
        <w:rPr>
          <w:rFonts w:hint="eastAsia" w:ascii="Times New Roman" w:hAnsi="Times New Roman" w:eastAsia="宋体" w:cs="Times New Roman"/>
          <w:color w:val="auto"/>
          <w:spacing w:val="6"/>
          <w:kern w:val="0"/>
          <w:sz w:val="24"/>
          <w:lang w:val="en-US" w:eastAsia="zh-CN"/>
        </w:rPr>
        <w:t>4.1-</w:t>
      </w:r>
      <w:r>
        <w:rPr>
          <w:rFonts w:ascii="Times New Roman" w:hAnsi="Times New Roman" w:eastAsia="宋体" w:cs="Times New Roman"/>
          <w:color w:val="auto"/>
          <w:spacing w:val="6"/>
          <w:kern w:val="0"/>
          <w:sz w:val="24"/>
        </w:rPr>
        <w:t>1计算结果可以看出，连续排放源</w:t>
      </w:r>
      <w:r>
        <w:rPr>
          <w:rFonts w:hint="eastAsia" w:ascii="Times New Roman" w:hAnsi="Times New Roman" w:eastAsia="宋体" w:cs="Times New Roman"/>
          <w:color w:val="auto"/>
          <w:spacing w:val="6"/>
          <w:kern w:val="0"/>
          <w:sz w:val="24"/>
        </w:rPr>
        <w:t>一氧化碳</w:t>
      </w:r>
      <w:r>
        <w:rPr>
          <w:rFonts w:ascii="Times New Roman" w:hAnsi="Times New Roman" w:eastAsia="宋体" w:cs="Times New Roman"/>
          <w:color w:val="auto"/>
          <w:spacing w:val="6"/>
          <w:kern w:val="0"/>
          <w:sz w:val="24"/>
        </w:rPr>
        <w:t>理查德森数小于1/6，为轻质气体，采用AFTOX模型开展进一步预测。</w:t>
      </w:r>
    </w:p>
    <w:p w14:paraId="256A908E">
      <w:pPr>
        <w:keepNext w:val="0"/>
        <w:keepLines w:val="0"/>
        <w:pageBreakBefore w:val="0"/>
        <w:widowControl w:val="0"/>
        <w:numPr>
          <w:ilvl w:val="2"/>
          <w:numId w:val="3"/>
        </w:numPr>
        <w:tabs>
          <w:tab w:val="left" w:pos="1086"/>
          <w:tab w:val="left" w:pos="1260"/>
        </w:tabs>
        <w:kinsoku/>
        <w:wordWrap/>
        <w:overflowPunct/>
        <w:topLinePunct w:val="0"/>
        <w:autoSpaceDE/>
        <w:autoSpaceDN/>
        <w:bidi w:val="0"/>
        <w:adjustRightInd/>
        <w:snapToGrid w:val="0"/>
        <w:spacing w:before="50" w:beforeLines="50" w:after="50" w:afterLines="50" w:line="360" w:lineRule="auto"/>
        <w:ind w:left="0" w:firstLine="560" w:firstLineChars="200"/>
        <w:jc w:val="both"/>
        <w:textAlignment w:val="auto"/>
        <w:outlineLvl w:val="2"/>
        <w:rPr>
          <w:rFonts w:hint="eastAsia" w:ascii="Times New Roman" w:hAnsi="Times New Roman" w:eastAsia="宋体" w:cs="Times New Roman"/>
          <w:b w:val="0"/>
          <w:color w:val="0000FF"/>
          <w:kern w:val="2"/>
          <w:sz w:val="28"/>
          <w:szCs w:val="24"/>
          <w:lang w:val="zh-CN" w:eastAsia="zh-CN" w:bidi="ar-SA"/>
        </w:rPr>
      </w:pPr>
      <w:r>
        <w:rPr>
          <w:rFonts w:hint="eastAsia" w:ascii="Times New Roman" w:hAnsi="Times New Roman" w:eastAsia="宋体" w:cs="Times New Roman"/>
          <w:b w:val="0"/>
          <w:color w:val="0000FF"/>
          <w:kern w:val="2"/>
          <w:sz w:val="28"/>
          <w:szCs w:val="24"/>
          <w:lang w:val="en-US" w:eastAsia="zh-CN" w:bidi="ar-SA"/>
        </w:rPr>
        <w:t>预测范围与计算点</w:t>
      </w:r>
    </w:p>
    <w:p w14:paraId="27170FAC">
      <w:pPr>
        <w:snapToGrid w:val="0"/>
        <w:spacing w:line="360" w:lineRule="auto"/>
        <w:ind w:firstLine="480" w:firstLineChars="200"/>
        <w:rPr>
          <w:rFonts w:hint="eastAsia" w:ascii="Times New Roman" w:hAnsi="Times New Roman" w:eastAsia="宋体" w:cs="Times New Roman"/>
          <w:color w:val="0000FF"/>
          <w:sz w:val="24"/>
        </w:rPr>
      </w:pPr>
      <w:r>
        <w:rPr>
          <w:rFonts w:hint="eastAsia" w:ascii="Times New Roman" w:hAnsi="Times New Roman" w:eastAsia="宋体" w:cs="Times New Roman"/>
          <w:color w:val="0000FF"/>
          <w:sz w:val="24"/>
        </w:rPr>
        <w:t>（1）预测范围</w:t>
      </w:r>
    </w:p>
    <w:p w14:paraId="5E3097BE">
      <w:pPr>
        <w:snapToGrid w:val="0"/>
        <w:spacing w:line="360" w:lineRule="auto"/>
        <w:ind w:firstLine="480" w:firstLineChars="200"/>
        <w:rPr>
          <w:rFonts w:hint="eastAsia" w:ascii="Times New Roman" w:hAnsi="Times New Roman" w:eastAsia="宋体" w:cs="Times New Roman"/>
          <w:color w:val="0000FF"/>
          <w:sz w:val="24"/>
        </w:rPr>
      </w:pPr>
      <w:r>
        <w:rPr>
          <w:rFonts w:hint="eastAsia" w:ascii="Times New Roman" w:hAnsi="Times New Roman" w:eastAsia="宋体" w:cs="Times New Roman"/>
          <w:color w:val="0000FF"/>
          <w:sz w:val="24"/>
        </w:rPr>
        <w:t>根据风险识别及源项分析结果，结合拟建项目周围环境特征及敏感目标分布情况，同时按照各风险源危险物质超过预测最大影响范围的预测结果，确定预测范围为5km。</w:t>
      </w:r>
    </w:p>
    <w:p w14:paraId="162F44CD">
      <w:pPr>
        <w:snapToGrid w:val="0"/>
        <w:spacing w:line="360" w:lineRule="auto"/>
        <w:ind w:firstLine="480" w:firstLineChars="200"/>
        <w:rPr>
          <w:rFonts w:hint="eastAsia" w:ascii="Times New Roman" w:hAnsi="Times New Roman" w:eastAsia="宋体" w:cs="Times New Roman"/>
          <w:color w:val="0000FF"/>
          <w:sz w:val="24"/>
        </w:rPr>
      </w:pPr>
      <w:r>
        <w:rPr>
          <w:rFonts w:hint="eastAsia" w:ascii="Times New Roman" w:hAnsi="Times New Roman" w:eastAsia="宋体" w:cs="Times New Roman"/>
          <w:color w:val="0000FF"/>
          <w:sz w:val="24"/>
        </w:rPr>
        <w:t>（2）计算点</w:t>
      </w:r>
    </w:p>
    <w:p w14:paraId="2A7764C6">
      <w:pPr>
        <w:snapToGrid w:val="0"/>
        <w:spacing w:line="360" w:lineRule="auto"/>
        <w:ind w:firstLine="480" w:firstLineChars="200"/>
        <w:rPr>
          <w:rFonts w:ascii="Times New Roman" w:hAnsi="Times New Roman" w:eastAsia="宋体" w:cs="Times New Roman"/>
          <w:color w:val="0000FF"/>
          <w:sz w:val="24"/>
        </w:rPr>
      </w:pPr>
      <w:r>
        <w:rPr>
          <w:rFonts w:hint="eastAsia" w:ascii="Times New Roman" w:hAnsi="Times New Roman" w:eastAsia="宋体" w:cs="Times New Roman"/>
          <w:color w:val="0000FF"/>
          <w:sz w:val="24"/>
        </w:rPr>
        <w:t>1）特殊计算点：环境风险（大气）评价范围内，项目厂界外5km范围内的村庄、居民点共有</w:t>
      </w:r>
      <w:r>
        <w:rPr>
          <w:rFonts w:hint="eastAsia" w:ascii="Times New Roman" w:hAnsi="Times New Roman" w:eastAsia="宋体" w:cs="Times New Roman"/>
          <w:color w:val="0000FF"/>
          <w:sz w:val="24"/>
          <w:lang w:val="en-US" w:eastAsia="zh-CN"/>
        </w:rPr>
        <w:t>11</w:t>
      </w:r>
      <w:r>
        <w:rPr>
          <w:rFonts w:hint="eastAsia" w:ascii="Times New Roman" w:hAnsi="Times New Roman" w:eastAsia="宋体" w:cs="Times New Roman"/>
          <w:color w:val="0000FF"/>
          <w:sz w:val="24"/>
        </w:rPr>
        <w:t>处（个），均作为本次预测的特殊计算点，其中距离项目位置最近的居民点为</w:t>
      </w:r>
      <w:r>
        <w:rPr>
          <w:rFonts w:hint="eastAsia" w:ascii="Times New Roman" w:hAnsi="Times New Roman" w:eastAsia="宋体" w:cs="Times New Roman"/>
          <w:color w:val="0000FF"/>
          <w:sz w:val="24"/>
          <w:lang w:val="en-US" w:eastAsia="zh-CN"/>
        </w:rPr>
        <w:t>花圪台</w:t>
      </w:r>
      <w:r>
        <w:rPr>
          <w:rFonts w:ascii="Times New Roman" w:hAnsi="Times New Roman" w:eastAsia="宋体" w:cs="Times New Roman"/>
          <w:color w:val="0000FF"/>
          <w:sz w:val="24"/>
        </w:rPr>
        <w:t>村</w:t>
      </w:r>
      <w:r>
        <w:rPr>
          <w:rFonts w:hint="eastAsia" w:ascii="Times New Roman" w:hAnsi="Times New Roman" w:eastAsia="宋体" w:cs="Times New Roman"/>
          <w:color w:val="0000FF"/>
          <w:sz w:val="24"/>
        </w:rPr>
        <w:t>，位于厂址</w:t>
      </w:r>
      <w:r>
        <w:rPr>
          <w:rFonts w:hint="eastAsia" w:ascii="Times New Roman" w:hAnsi="Times New Roman" w:eastAsia="宋体" w:cs="Times New Roman"/>
          <w:color w:val="0000FF"/>
          <w:sz w:val="24"/>
          <w:lang w:val="en-US" w:eastAsia="zh-CN"/>
        </w:rPr>
        <w:t>东南</w:t>
      </w:r>
      <w:r>
        <w:rPr>
          <w:rFonts w:hint="eastAsia" w:ascii="Times New Roman" w:hAnsi="Times New Roman" w:eastAsia="宋体" w:cs="Times New Roman"/>
          <w:color w:val="0000FF"/>
          <w:sz w:val="24"/>
        </w:rPr>
        <w:t>约</w:t>
      </w:r>
      <w:r>
        <w:rPr>
          <w:rFonts w:hint="eastAsia" w:ascii="Times New Roman" w:hAnsi="Times New Roman" w:eastAsia="宋体" w:cs="Times New Roman"/>
          <w:color w:val="0000FF"/>
          <w:sz w:val="24"/>
          <w:lang w:val="en-US" w:eastAsia="zh-CN"/>
        </w:rPr>
        <w:t>1440</w:t>
      </w:r>
      <w:r>
        <w:rPr>
          <w:rFonts w:hint="eastAsia" w:ascii="Times New Roman" w:hAnsi="Times New Roman" w:eastAsia="宋体" w:cs="Times New Roman"/>
          <w:color w:val="0000FF"/>
          <w:sz w:val="24"/>
        </w:rPr>
        <w:t>m处。</w:t>
      </w:r>
    </w:p>
    <w:p w14:paraId="5A56A064">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0000FF"/>
          <w:spacing w:val="6"/>
          <w:kern w:val="0"/>
          <w:sz w:val="24"/>
          <w:lang w:val="zh-CN" w:bidi="zh-CN"/>
        </w:rPr>
      </w:pPr>
      <w:r>
        <w:rPr>
          <w:rFonts w:hint="eastAsia" w:ascii="Times New Roman" w:hAnsi="Times New Roman" w:eastAsia="宋体" w:cs="Times New Roman"/>
          <w:color w:val="0000FF"/>
          <w:spacing w:val="6"/>
          <w:sz w:val="24"/>
        </w:rPr>
        <w:t>2）一般计算点：一般计算点按照近密远疏的方式进行布置，距离风险源500m范围内网格点的间距为10m，500m以外间距为50m。</w:t>
      </w:r>
      <w:r>
        <w:rPr>
          <w:rFonts w:ascii="Times New Roman" w:hAnsi="Times New Roman" w:eastAsia="宋体" w:cs="Times New Roman"/>
          <w:color w:val="0000FF"/>
          <w:spacing w:val="-4"/>
          <w:kern w:val="0"/>
          <w:sz w:val="24"/>
          <w:lang w:val="zh-CN" w:bidi="zh-CN"/>
        </w:rPr>
        <w:t>根据《建设项目环境风险评价技术导则》</w:t>
      </w:r>
      <w:r>
        <w:rPr>
          <w:rFonts w:ascii="Times New Roman" w:hAnsi="Times New Roman" w:eastAsia="宋体" w:cs="Times New Roman"/>
          <w:color w:val="0000FF"/>
          <w:spacing w:val="6"/>
          <w:kern w:val="0"/>
          <w:sz w:val="24"/>
          <w:lang w:val="zh-CN" w:bidi="zh-CN"/>
        </w:rPr>
        <w:t>（HJ169-2018），</w:t>
      </w:r>
      <w:r>
        <w:rPr>
          <w:rFonts w:ascii="Times New Roman" w:hAnsi="Times New Roman" w:eastAsia="宋体" w:cs="Times New Roman"/>
          <w:color w:val="0000FF"/>
          <w:spacing w:val="-2"/>
          <w:kern w:val="0"/>
          <w:sz w:val="24"/>
          <w:lang w:val="zh-CN" w:bidi="zh-CN"/>
        </w:rPr>
        <w:t>预测范围选取与评价范</w:t>
      </w:r>
      <w:r>
        <w:rPr>
          <w:rFonts w:ascii="Times New Roman" w:hAnsi="Times New Roman" w:eastAsia="宋体" w:cs="Times New Roman"/>
          <w:color w:val="0000FF"/>
          <w:spacing w:val="-4"/>
          <w:kern w:val="0"/>
          <w:sz w:val="24"/>
          <w:lang w:val="zh-CN" w:bidi="zh-CN"/>
        </w:rPr>
        <w:t>围一致</w:t>
      </w:r>
      <w:r>
        <w:rPr>
          <w:rFonts w:ascii="Times New Roman" w:hAnsi="Times New Roman" w:eastAsia="宋体" w:cs="Times New Roman"/>
          <w:color w:val="0000FF"/>
          <w:spacing w:val="6"/>
          <w:kern w:val="0"/>
          <w:sz w:val="24"/>
          <w:lang w:val="zh-CN" w:bidi="zh-CN"/>
        </w:rPr>
        <w:t>（</w:t>
      </w:r>
      <w:r>
        <w:rPr>
          <w:rFonts w:ascii="Times New Roman" w:hAnsi="Times New Roman" w:eastAsia="宋体" w:cs="Times New Roman"/>
          <w:color w:val="0000FF"/>
          <w:spacing w:val="-9"/>
          <w:kern w:val="0"/>
          <w:sz w:val="24"/>
          <w:lang w:val="zh-CN" w:bidi="zh-CN"/>
        </w:rPr>
        <w:t>厂区边界外扩</w:t>
      </w:r>
      <w:r>
        <w:rPr>
          <w:rFonts w:ascii="Times New Roman" w:hAnsi="Times New Roman" w:eastAsia="宋体" w:cs="Times New Roman"/>
          <w:color w:val="0000FF"/>
          <w:spacing w:val="-4"/>
          <w:kern w:val="0"/>
          <w:sz w:val="24"/>
          <w:lang w:val="zh-CN" w:bidi="zh-CN"/>
        </w:rPr>
        <w:t>5km）</w:t>
      </w:r>
      <w:r>
        <w:rPr>
          <w:rFonts w:ascii="Times New Roman" w:hAnsi="Times New Roman" w:eastAsia="宋体" w:cs="Times New Roman"/>
          <w:color w:val="0000FF"/>
          <w:spacing w:val="-6"/>
          <w:kern w:val="0"/>
          <w:sz w:val="24"/>
          <w:lang w:val="zh-CN" w:bidi="zh-CN"/>
        </w:rPr>
        <w:t>。该范围内包括周边村庄等敏感点，因此将各环境敏感点</w:t>
      </w:r>
      <w:r>
        <w:rPr>
          <w:rFonts w:ascii="Times New Roman" w:hAnsi="Times New Roman" w:eastAsia="宋体" w:cs="Times New Roman"/>
          <w:color w:val="0000FF"/>
          <w:spacing w:val="6"/>
          <w:kern w:val="0"/>
          <w:sz w:val="24"/>
          <w:lang w:val="zh-CN" w:bidi="zh-CN"/>
        </w:rPr>
        <w:t>设置为特殊计算点。</w:t>
      </w:r>
    </w:p>
    <w:p w14:paraId="50FEF779">
      <w:pPr>
        <w:keepNext w:val="0"/>
        <w:keepLines w:val="0"/>
        <w:pageBreakBefore w:val="0"/>
        <w:widowControl w:val="0"/>
        <w:numPr>
          <w:ilvl w:val="2"/>
          <w:numId w:val="3"/>
        </w:numPr>
        <w:tabs>
          <w:tab w:val="left" w:pos="1086"/>
          <w:tab w:val="left" w:pos="1260"/>
        </w:tabs>
        <w:kinsoku/>
        <w:wordWrap/>
        <w:overflowPunct/>
        <w:topLinePunct w:val="0"/>
        <w:autoSpaceDE/>
        <w:autoSpaceDN/>
        <w:bidi w:val="0"/>
        <w:adjustRightInd/>
        <w:snapToGrid w:val="0"/>
        <w:spacing w:before="50" w:beforeLines="50" w:after="50" w:afterLines="50" w:line="360" w:lineRule="auto"/>
        <w:ind w:left="0" w:firstLine="560" w:firstLineChars="200"/>
        <w:jc w:val="both"/>
        <w:textAlignment w:val="auto"/>
        <w:outlineLvl w:val="2"/>
        <w:rPr>
          <w:rFonts w:hint="eastAsia" w:ascii="Times New Roman" w:hAnsi="Times New Roman" w:eastAsia="宋体" w:cs="Times New Roman"/>
          <w:b w:val="0"/>
          <w:color w:val="0000FF"/>
          <w:kern w:val="2"/>
          <w:sz w:val="28"/>
          <w:szCs w:val="24"/>
          <w:lang w:val="en-US" w:eastAsia="zh-CN" w:bidi="ar-SA"/>
        </w:rPr>
      </w:pPr>
      <w:r>
        <w:rPr>
          <w:rFonts w:hint="eastAsia" w:ascii="Times New Roman" w:hAnsi="Times New Roman" w:eastAsia="宋体" w:cs="Times New Roman"/>
          <w:b w:val="0"/>
          <w:color w:val="0000FF"/>
          <w:kern w:val="2"/>
          <w:sz w:val="28"/>
          <w:szCs w:val="24"/>
          <w:lang w:val="en-US" w:eastAsia="zh-CN" w:bidi="ar-SA"/>
        </w:rPr>
        <w:t>事故源参数</w:t>
      </w:r>
    </w:p>
    <w:p w14:paraId="49366405">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0000FF"/>
          <w:spacing w:val="6"/>
          <w:kern w:val="0"/>
          <w:sz w:val="24"/>
          <w:lang w:val="zh-CN"/>
        </w:rPr>
      </w:pPr>
      <w:r>
        <w:rPr>
          <w:rFonts w:ascii="Times New Roman" w:hAnsi="Times New Roman" w:eastAsia="宋体" w:cs="Times New Roman"/>
          <w:color w:val="0000FF"/>
          <w:spacing w:val="6"/>
          <w:kern w:val="0"/>
          <w:sz w:val="24"/>
        </w:rPr>
        <w:t>各风险源</w:t>
      </w:r>
      <w:r>
        <w:rPr>
          <w:rFonts w:ascii="Times New Roman" w:hAnsi="Times New Roman" w:eastAsia="宋体" w:cs="Times New Roman"/>
          <w:color w:val="0000FF"/>
          <w:spacing w:val="6"/>
          <w:kern w:val="0"/>
          <w:sz w:val="24"/>
          <w:lang w:val="zh-CN"/>
        </w:rPr>
        <w:t>预测参数见表</w:t>
      </w:r>
      <w:r>
        <w:rPr>
          <w:rFonts w:hint="eastAsia" w:ascii="Times New Roman" w:hAnsi="Times New Roman" w:eastAsia="宋体" w:cs="Times New Roman"/>
          <w:color w:val="0000FF"/>
          <w:spacing w:val="6"/>
          <w:kern w:val="0"/>
          <w:sz w:val="24"/>
          <w:lang w:val="en-US" w:eastAsia="zh-CN"/>
        </w:rPr>
        <w:t>4.1-2</w:t>
      </w:r>
      <w:r>
        <w:rPr>
          <w:rFonts w:ascii="Times New Roman" w:hAnsi="Times New Roman" w:eastAsia="宋体" w:cs="Times New Roman"/>
          <w:color w:val="0000FF"/>
          <w:spacing w:val="6"/>
          <w:kern w:val="0"/>
          <w:sz w:val="24"/>
          <w:lang w:val="zh-CN"/>
        </w:rPr>
        <w:t>。</w:t>
      </w:r>
    </w:p>
    <w:p w14:paraId="05EADE7E">
      <w:pPr>
        <w:tabs>
          <w:tab w:val="center" w:pos="4153"/>
          <w:tab w:val="right" w:pos="8306"/>
        </w:tabs>
        <w:adjustRightInd w:val="0"/>
        <w:snapToGrid w:val="0"/>
        <w:spacing w:line="240" w:lineRule="auto"/>
        <w:ind w:firstLine="510"/>
        <w:jc w:val="center"/>
        <w:textAlignment w:val="baseline"/>
        <w:rPr>
          <w:rFonts w:ascii="Times New Roman" w:hAnsi="Times New Roman" w:eastAsia="宋体" w:cs="Times New Roman"/>
          <w:b/>
          <w:bCs w:val="0"/>
          <w:color w:val="0000FF"/>
          <w:spacing w:val="6"/>
          <w:kern w:val="0"/>
          <w:sz w:val="24"/>
          <w:szCs w:val="22"/>
        </w:rPr>
      </w:pPr>
      <w:r>
        <w:rPr>
          <w:rFonts w:ascii="Times New Roman" w:hAnsi="Times New Roman" w:eastAsia="宋体" w:cs="Times New Roman"/>
          <w:b/>
          <w:bCs w:val="0"/>
          <w:color w:val="0000FF"/>
          <w:spacing w:val="6"/>
          <w:kern w:val="0"/>
          <w:sz w:val="24"/>
          <w:szCs w:val="22"/>
        </w:rPr>
        <w:t>表</w:t>
      </w:r>
      <w:r>
        <w:rPr>
          <w:rFonts w:hint="eastAsia" w:ascii="Times New Roman" w:hAnsi="Times New Roman" w:eastAsia="宋体" w:cs="Times New Roman"/>
          <w:b/>
          <w:bCs w:val="0"/>
          <w:color w:val="0000FF"/>
          <w:spacing w:val="6"/>
          <w:kern w:val="0"/>
          <w:sz w:val="24"/>
          <w:szCs w:val="22"/>
          <w:lang w:val="en-US" w:eastAsia="zh-CN"/>
        </w:rPr>
        <w:t>4.1</w:t>
      </w:r>
      <w:r>
        <w:rPr>
          <w:rFonts w:ascii="Times New Roman" w:hAnsi="Times New Roman" w:eastAsia="宋体" w:cs="Times New Roman"/>
          <w:b/>
          <w:bCs w:val="0"/>
          <w:color w:val="0000FF"/>
          <w:spacing w:val="6"/>
          <w:kern w:val="0"/>
          <w:sz w:val="24"/>
          <w:szCs w:val="22"/>
        </w:rPr>
        <w:t>-2</w:t>
      </w:r>
      <w:r>
        <w:rPr>
          <w:rFonts w:ascii="Times New Roman" w:hAnsi="Times New Roman" w:eastAsia="宋体" w:cs="Times New Roman"/>
          <w:b/>
          <w:bCs w:val="0"/>
          <w:color w:val="0000FF"/>
          <w:spacing w:val="6"/>
          <w:kern w:val="0"/>
          <w:sz w:val="24"/>
          <w:szCs w:val="22"/>
        </w:rPr>
        <w:tab/>
      </w:r>
      <w:r>
        <w:rPr>
          <w:rFonts w:ascii="Times New Roman" w:hAnsi="Times New Roman" w:eastAsia="宋体" w:cs="Times New Roman"/>
          <w:b/>
          <w:bCs w:val="0"/>
          <w:color w:val="0000FF"/>
          <w:spacing w:val="6"/>
          <w:kern w:val="0"/>
          <w:sz w:val="24"/>
          <w:szCs w:val="22"/>
        </w:rPr>
        <w:t xml:space="preserve">   </w:t>
      </w:r>
      <w:r>
        <w:rPr>
          <w:rFonts w:hint="eastAsia" w:ascii="Times New Roman" w:hAnsi="Times New Roman" w:eastAsia="宋体" w:cs="Times New Roman"/>
          <w:b/>
          <w:bCs w:val="0"/>
          <w:color w:val="0000FF"/>
          <w:spacing w:val="6"/>
          <w:kern w:val="0"/>
          <w:sz w:val="24"/>
          <w:szCs w:val="22"/>
        </w:rPr>
        <w:t>非正常工况下二甲苯废气排放</w:t>
      </w:r>
      <w:r>
        <w:rPr>
          <w:rFonts w:ascii="Times New Roman" w:hAnsi="Times New Roman" w:eastAsia="宋体" w:cs="Times New Roman"/>
          <w:b/>
          <w:bCs w:val="0"/>
          <w:color w:val="0000FF"/>
          <w:spacing w:val="6"/>
          <w:kern w:val="0"/>
          <w:sz w:val="24"/>
          <w:szCs w:val="22"/>
        </w:rPr>
        <w:t>预测源强参数一览表</w:t>
      </w:r>
    </w:p>
    <w:tbl>
      <w:tblPr>
        <w:tblStyle w:val="32"/>
        <w:tblW w:w="8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37"/>
        <w:gridCol w:w="1561"/>
        <w:gridCol w:w="2548"/>
        <w:gridCol w:w="1498"/>
        <w:gridCol w:w="1675"/>
      </w:tblGrid>
      <w:tr w14:paraId="45F33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noWrap w:val="0"/>
            <w:vAlign w:val="center"/>
          </w:tcPr>
          <w:p w14:paraId="5C3E0D1B">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参数类型</w:t>
            </w:r>
          </w:p>
        </w:tc>
        <w:tc>
          <w:tcPr>
            <w:tcW w:w="2548" w:type="dxa"/>
            <w:noWrap w:val="0"/>
            <w:vAlign w:val="center"/>
          </w:tcPr>
          <w:p w14:paraId="7BEDDC0B">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选项</w:t>
            </w:r>
          </w:p>
        </w:tc>
        <w:tc>
          <w:tcPr>
            <w:tcW w:w="3173" w:type="dxa"/>
            <w:gridSpan w:val="2"/>
            <w:noWrap w:val="0"/>
            <w:vAlign w:val="center"/>
          </w:tcPr>
          <w:p w14:paraId="30F00BE8">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参数</w:t>
            </w:r>
          </w:p>
        </w:tc>
      </w:tr>
      <w:tr w14:paraId="691A6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37" w:type="dxa"/>
            <w:vMerge w:val="restart"/>
            <w:noWrap w:val="0"/>
            <w:vAlign w:val="center"/>
          </w:tcPr>
          <w:p w14:paraId="73436D53">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环境参数</w:t>
            </w:r>
          </w:p>
        </w:tc>
        <w:tc>
          <w:tcPr>
            <w:tcW w:w="1561" w:type="dxa"/>
            <w:vMerge w:val="restart"/>
            <w:noWrap w:val="0"/>
            <w:vAlign w:val="center"/>
          </w:tcPr>
          <w:p w14:paraId="4B871D6D">
            <w:pPr>
              <w:snapToGrid w:val="0"/>
              <w:spacing w:line="240" w:lineRule="auto"/>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LPG储罐泄漏燃烧起火</w:t>
            </w:r>
          </w:p>
        </w:tc>
        <w:tc>
          <w:tcPr>
            <w:tcW w:w="2548" w:type="dxa"/>
            <w:noWrap w:val="0"/>
            <w:vAlign w:val="center"/>
          </w:tcPr>
          <w:p w14:paraId="7BCB3D9F">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事故源经度（°）</w:t>
            </w:r>
          </w:p>
        </w:tc>
        <w:tc>
          <w:tcPr>
            <w:tcW w:w="3173" w:type="dxa"/>
            <w:gridSpan w:val="2"/>
            <w:noWrap w:val="0"/>
            <w:vAlign w:val="center"/>
          </w:tcPr>
          <w:p w14:paraId="3F7A664F">
            <w:pPr>
              <w:snapToGrid w:val="0"/>
              <w:spacing w:line="240" w:lineRule="auto"/>
              <w:jc w:val="center"/>
              <w:rPr>
                <w:rFonts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109°39′2.341″</w:t>
            </w:r>
          </w:p>
        </w:tc>
      </w:tr>
      <w:tr w14:paraId="79C10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37" w:type="dxa"/>
            <w:vMerge w:val="continue"/>
            <w:noWrap w:val="0"/>
            <w:vAlign w:val="center"/>
          </w:tcPr>
          <w:p w14:paraId="3330FCDD">
            <w:pPr>
              <w:snapToGrid w:val="0"/>
              <w:spacing w:line="240" w:lineRule="auto"/>
              <w:jc w:val="center"/>
              <w:rPr>
                <w:rFonts w:ascii="Times New Roman" w:hAnsi="Times New Roman" w:eastAsia="宋体" w:cs="Times New Roman"/>
                <w:color w:val="0000FF"/>
                <w:kern w:val="0"/>
                <w:szCs w:val="21"/>
              </w:rPr>
            </w:pPr>
          </w:p>
        </w:tc>
        <w:tc>
          <w:tcPr>
            <w:tcW w:w="1561" w:type="dxa"/>
            <w:vMerge w:val="continue"/>
            <w:noWrap w:val="0"/>
            <w:vAlign w:val="center"/>
          </w:tcPr>
          <w:p w14:paraId="3231F2F5">
            <w:pPr>
              <w:snapToGrid w:val="0"/>
              <w:spacing w:line="240" w:lineRule="auto"/>
              <w:jc w:val="center"/>
              <w:rPr>
                <w:rFonts w:ascii="Times New Roman" w:hAnsi="Times New Roman" w:eastAsia="宋体" w:cs="Times New Roman"/>
                <w:color w:val="0000FF"/>
                <w:kern w:val="0"/>
                <w:szCs w:val="21"/>
              </w:rPr>
            </w:pPr>
          </w:p>
        </w:tc>
        <w:tc>
          <w:tcPr>
            <w:tcW w:w="2548" w:type="dxa"/>
            <w:noWrap w:val="0"/>
            <w:vAlign w:val="center"/>
          </w:tcPr>
          <w:p w14:paraId="3AD09A08">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事故源纬度（°）</w:t>
            </w:r>
          </w:p>
        </w:tc>
        <w:tc>
          <w:tcPr>
            <w:tcW w:w="3173" w:type="dxa"/>
            <w:gridSpan w:val="2"/>
            <w:noWrap w:val="0"/>
            <w:vAlign w:val="center"/>
          </w:tcPr>
          <w:p w14:paraId="6F7C2486">
            <w:pPr>
              <w:snapToGrid w:val="0"/>
              <w:spacing w:line="240" w:lineRule="auto"/>
              <w:jc w:val="center"/>
              <w:rPr>
                <w:rFonts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40°34′56.912″</w:t>
            </w:r>
          </w:p>
        </w:tc>
      </w:tr>
      <w:tr w14:paraId="44837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237" w:type="dxa"/>
            <w:vMerge w:val="continue"/>
            <w:noWrap w:val="0"/>
            <w:vAlign w:val="center"/>
          </w:tcPr>
          <w:p w14:paraId="3FF91051">
            <w:pPr>
              <w:snapToGrid w:val="0"/>
              <w:spacing w:line="240" w:lineRule="auto"/>
              <w:jc w:val="center"/>
              <w:rPr>
                <w:rFonts w:ascii="Times New Roman" w:hAnsi="Times New Roman" w:eastAsia="宋体" w:cs="Times New Roman"/>
                <w:color w:val="0000FF"/>
                <w:kern w:val="0"/>
                <w:szCs w:val="21"/>
              </w:rPr>
            </w:pPr>
          </w:p>
        </w:tc>
        <w:tc>
          <w:tcPr>
            <w:tcW w:w="1561" w:type="dxa"/>
            <w:vMerge w:val="continue"/>
            <w:noWrap w:val="0"/>
            <w:vAlign w:val="center"/>
          </w:tcPr>
          <w:p w14:paraId="2EF3DBD0">
            <w:pPr>
              <w:snapToGrid w:val="0"/>
              <w:spacing w:line="240" w:lineRule="auto"/>
              <w:jc w:val="center"/>
              <w:rPr>
                <w:rFonts w:ascii="Times New Roman" w:hAnsi="Times New Roman" w:eastAsia="宋体" w:cs="Times New Roman"/>
                <w:color w:val="0000FF"/>
                <w:kern w:val="0"/>
                <w:szCs w:val="21"/>
              </w:rPr>
            </w:pPr>
          </w:p>
        </w:tc>
        <w:tc>
          <w:tcPr>
            <w:tcW w:w="2548" w:type="dxa"/>
            <w:noWrap w:val="0"/>
            <w:vAlign w:val="center"/>
          </w:tcPr>
          <w:p w14:paraId="525A6C7B">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事故源类型</w:t>
            </w:r>
          </w:p>
        </w:tc>
        <w:tc>
          <w:tcPr>
            <w:tcW w:w="3173" w:type="dxa"/>
            <w:gridSpan w:val="2"/>
            <w:noWrap w:val="0"/>
            <w:vAlign w:val="center"/>
          </w:tcPr>
          <w:p w14:paraId="55022581">
            <w:pPr>
              <w:snapToGrid w:val="0"/>
              <w:spacing w:line="240" w:lineRule="auto"/>
              <w:jc w:val="center"/>
              <w:rPr>
                <w:rFonts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燃烧起火</w:t>
            </w:r>
          </w:p>
        </w:tc>
      </w:tr>
      <w:tr w14:paraId="5B3DC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restart"/>
            <w:noWrap w:val="0"/>
            <w:vAlign w:val="center"/>
          </w:tcPr>
          <w:p w14:paraId="1A3FA8E7">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气象参数</w:t>
            </w:r>
          </w:p>
        </w:tc>
        <w:tc>
          <w:tcPr>
            <w:tcW w:w="2548" w:type="dxa"/>
            <w:noWrap w:val="0"/>
            <w:vAlign w:val="center"/>
          </w:tcPr>
          <w:p w14:paraId="41CE2409">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气象条件类型</w:t>
            </w:r>
          </w:p>
        </w:tc>
        <w:tc>
          <w:tcPr>
            <w:tcW w:w="3173" w:type="dxa"/>
            <w:gridSpan w:val="2"/>
            <w:noWrap w:val="0"/>
            <w:vAlign w:val="center"/>
          </w:tcPr>
          <w:p w14:paraId="4807721A">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最不利气象</w:t>
            </w:r>
          </w:p>
        </w:tc>
      </w:tr>
      <w:tr w14:paraId="342F4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continue"/>
            <w:noWrap w:val="0"/>
            <w:vAlign w:val="center"/>
          </w:tcPr>
          <w:p w14:paraId="41942DEE">
            <w:pPr>
              <w:snapToGrid w:val="0"/>
              <w:spacing w:line="240" w:lineRule="auto"/>
              <w:jc w:val="center"/>
              <w:rPr>
                <w:rFonts w:ascii="Times New Roman" w:hAnsi="Times New Roman" w:eastAsia="宋体" w:cs="Times New Roman"/>
                <w:color w:val="0000FF"/>
                <w:kern w:val="0"/>
                <w:szCs w:val="21"/>
              </w:rPr>
            </w:pPr>
          </w:p>
        </w:tc>
        <w:tc>
          <w:tcPr>
            <w:tcW w:w="2548" w:type="dxa"/>
            <w:noWrap w:val="0"/>
            <w:vAlign w:val="center"/>
          </w:tcPr>
          <w:p w14:paraId="0C9E2845">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风速（m/s）</w:t>
            </w:r>
          </w:p>
        </w:tc>
        <w:tc>
          <w:tcPr>
            <w:tcW w:w="3173" w:type="dxa"/>
            <w:gridSpan w:val="2"/>
            <w:noWrap w:val="0"/>
            <w:vAlign w:val="center"/>
          </w:tcPr>
          <w:p w14:paraId="033B7F9E">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1.5</w:t>
            </w:r>
          </w:p>
        </w:tc>
      </w:tr>
      <w:tr w14:paraId="1E3E8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continue"/>
            <w:noWrap w:val="0"/>
            <w:vAlign w:val="center"/>
          </w:tcPr>
          <w:p w14:paraId="2C126BDE">
            <w:pPr>
              <w:snapToGrid w:val="0"/>
              <w:spacing w:line="240" w:lineRule="auto"/>
              <w:jc w:val="center"/>
              <w:rPr>
                <w:rFonts w:ascii="Times New Roman" w:hAnsi="Times New Roman" w:eastAsia="宋体" w:cs="Times New Roman"/>
                <w:color w:val="0000FF"/>
                <w:kern w:val="0"/>
                <w:szCs w:val="21"/>
              </w:rPr>
            </w:pPr>
          </w:p>
        </w:tc>
        <w:tc>
          <w:tcPr>
            <w:tcW w:w="2548" w:type="dxa"/>
            <w:noWrap w:val="0"/>
            <w:vAlign w:val="center"/>
          </w:tcPr>
          <w:p w14:paraId="68157E51">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环境温度（℃）</w:t>
            </w:r>
          </w:p>
        </w:tc>
        <w:tc>
          <w:tcPr>
            <w:tcW w:w="3173" w:type="dxa"/>
            <w:gridSpan w:val="2"/>
            <w:noWrap w:val="0"/>
            <w:vAlign w:val="center"/>
          </w:tcPr>
          <w:p w14:paraId="6D5FC082">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25</w:t>
            </w:r>
          </w:p>
        </w:tc>
      </w:tr>
      <w:tr w14:paraId="537BB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continue"/>
            <w:noWrap w:val="0"/>
            <w:vAlign w:val="center"/>
          </w:tcPr>
          <w:p w14:paraId="3D302EF4">
            <w:pPr>
              <w:snapToGrid w:val="0"/>
              <w:spacing w:line="240" w:lineRule="auto"/>
              <w:jc w:val="center"/>
              <w:rPr>
                <w:rFonts w:ascii="Times New Roman" w:hAnsi="Times New Roman" w:eastAsia="宋体" w:cs="Times New Roman"/>
                <w:color w:val="0000FF"/>
                <w:kern w:val="0"/>
                <w:szCs w:val="21"/>
              </w:rPr>
            </w:pPr>
          </w:p>
        </w:tc>
        <w:tc>
          <w:tcPr>
            <w:tcW w:w="2548" w:type="dxa"/>
            <w:noWrap w:val="0"/>
            <w:vAlign w:val="center"/>
          </w:tcPr>
          <w:p w14:paraId="5AFC15E2">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相对湿度（%）</w:t>
            </w:r>
          </w:p>
        </w:tc>
        <w:tc>
          <w:tcPr>
            <w:tcW w:w="3173" w:type="dxa"/>
            <w:gridSpan w:val="2"/>
            <w:noWrap w:val="0"/>
            <w:vAlign w:val="center"/>
          </w:tcPr>
          <w:p w14:paraId="79D6C005">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50</w:t>
            </w:r>
          </w:p>
        </w:tc>
      </w:tr>
      <w:tr w14:paraId="02327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continue"/>
            <w:noWrap w:val="0"/>
            <w:vAlign w:val="center"/>
          </w:tcPr>
          <w:p w14:paraId="194A3397">
            <w:pPr>
              <w:snapToGrid w:val="0"/>
              <w:spacing w:line="240" w:lineRule="auto"/>
              <w:jc w:val="center"/>
              <w:rPr>
                <w:rFonts w:ascii="Times New Roman" w:hAnsi="Times New Roman" w:eastAsia="宋体" w:cs="Times New Roman"/>
                <w:color w:val="0000FF"/>
                <w:kern w:val="0"/>
                <w:szCs w:val="21"/>
              </w:rPr>
            </w:pPr>
          </w:p>
        </w:tc>
        <w:tc>
          <w:tcPr>
            <w:tcW w:w="2548" w:type="dxa"/>
            <w:noWrap w:val="0"/>
            <w:vAlign w:val="center"/>
          </w:tcPr>
          <w:p w14:paraId="407C9DB8">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稳定度</w:t>
            </w:r>
          </w:p>
        </w:tc>
        <w:tc>
          <w:tcPr>
            <w:tcW w:w="3173" w:type="dxa"/>
            <w:gridSpan w:val="2"/>
            <w:noWrap w:val="0"/>
            <w:vAlign w:val="center"/>
          </w:tcPr>
          <w:p w14:paraId="5475C3D5">
            <w:pPr>
              <w:snapToGrid w:val="0"/>
              <w:spacing w:line="240" w:lineRule="auto"/>
              <w:jc w:val="center"/>
              <w:rPr>
                <w:rFonts w:hint="eastAsia" w:ascii="Times New Roman" w:hAnsi="Times New Roman" w:eastAsia="宋体" w:cs="Times New Roman"/>
                <w:color w:val="0000FF"/>
                <w:kern w:val="0"/>
                <w:szCs w:val="21"/>
              </w:rPr>
            </w:pPr>
            <w:r>
              <w:rPr>
                <w:rFonts w:ascii="Times New Roman" w:hAnsi="Times New Roman" w:eastAsia="宋体" w:cs="Times New Roman"/>
                <w:color w:val="0000FF"/>
                <w:kern w:val="0"/>
                <w:szCs w:val="21"/>
              </w:rPr>
              <w:t>F</w:t>
            </w:r>
          </w:p>
        </w:tc>
      </w:tr>
      <w:tr w14:paraId="35370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restart"/>
            <w:noWrap w:val="0"/>
            <w:vAlign w:val="center"/>
          </w:tcPr>
          <w:p w14:paraId="4D656DF4">
            <w:pPr>
              <w:snapToGrid w:val="0"/>
              <w:spacing w:line="240" w:lineRule="auto"/>
              <w:jc w:val="center"/>
              <w:rPr>
                <w:rFonts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排放</w:t>
            </w:r>
            <w:r>
              <w:rPr>
                <w:rFonts w:ascii="Times New Roman" w:hAnsi="Times New Roman" w:eastAsia="宋体" w:cs="Times New Roman"/>
                <w:color w:val="0000FF"/>
                <w:kern w:val="0"/>
                <w:szCs w:val="21"/>
              </w:rPr>
              <w:t>参数</w:t>
            </w:r>
          </w:p>
        </w:tc>
        <w:tc>
          <w:tcPr>
            <w:tcW w:w="4046" w:type="dxa"/>
            <w:gridSpan w:val="2"/>
            <w:noWrap w:val="0"/>
            <w:vAlign w:val="center"/>
          </w:tcPr>
          <w:p w14:paraId="15B1C251">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污染物名称</w:t>
            </w:r>
          </w:p>
        </w:tc>
        <w:tc>
          <w:tcPr>
            <w:tcW w:w="1675" w:type="dxa"/>
            <w:noWrap w:val="0"/>
            <w:vAlign w:val="center"/>
          </w:tcPr>
          <w:p w14:paraId="30EC06A3">
            <w:pPr>
              <w:snapToGrid w:val="0"/>
              <w:spacing w:line="240" w:lineRule="auto"/>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CO</w:t>
            </w:r>
          </w:p>
        </w:tc>
      </w:tr>
      <w:tr w14:paraId="23C52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continue"/>
            <w:noWrap w:val="0"/>
            <w:vAlign w:val="center"/>
          </w:tcPr>
          <w:p w14:paraId="775121C9">
            <w:pPr>
              <w:snapToGrid w:val="0"/>
              <w:spacing w:line="240" w:lineRule="auto"/>
              <w:jc w:val="center"/>
              <w:rPr>
                <w:rFonts w:ascii="Times New Roman" w:hAnsi="Times New Roman" w:eastAsia="宋体" w:cs="Times New Roman"/>
                <w:color w:val="0000FF"/>
                <w:kern w:val="0"/>
                <w:szCs w:val="21"/>
              </w:rPr>
            </w:pPr>
          </w:p>
        </w:tc>
        <w:tc>
          <w:tcPr>
            <w:tcW w:w="4046" w:type="dxa"/>
            <w:gridSpan w:val="2"/>
            <w:noWrap w:val="0"/>
            <w:vAlign w:val="center"/>
          </w:tcPr>
          <w:p w14:paraId="6D73DF6D">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泄漏时长（min）</w:t>
            </w:r>
          </w:p>
        </w:tc>
        <w:tc>
          <w:tcPr>
            <w:tcW w:w="1675" w:type="dxa"/>
            <w:noWrap w:val="0"/>
            <w:vAlign w:val="center"/>
          </w:tcPr>
          <w:p w14:paraId="374FE40E">
            <w:pPr>
              <w:snapToGrid w:val="0"/>
              <w:spacing w:line="240" w:lineRule="auto"/>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180</w:t>
            </w:r>
          </w:p>
        </w:tc>
      </w:tr>
      <w:tr w14:paraId="50B2F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continue"/>
            <w:noWrap w:val="0"/>
            <w:vAlign w:val="center"/>
          </w:tcPr>
          <w:p w14:paraId="1CEA9F67">
            <w:pPr>
              <w:snapToGrid w:val="0"/>
              <w:spacing w:line="240" w:lineRule="auto"/>
              <w:jc w:val="center"/>
              <w:rPr>
                <w:rFonts w:ascii="Times New Roman" w:hAnsi="Times New Roman" w:eastAsia="宋体" w:cs="Times New Roman"/>
                <w:color w:val="0000FF"/>
                <w:kern w:val="0"/>
                <w:szCs w:val="21"/>
              </w:rPr>
            </w:pPr>
          </w:p>
        </w:tc>
        <w:tc>
          <w:tcPr>
            <w:tcW w:w="4046" w:type="dxa"/>
            <w:gridSpan w:val="2"/>
            <w:noWrap w:val="0"/>
            <w:vAlign w:val="center"/>
          </w:tcPr>
          <w:p w14:paraId="098958C7">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泄漏速率（kg/s）</w:t>
            </w:r>
          </w:p>
        </w:tc>
        <w:tc>
          <w:tcPr>
            <w:tcW w:w="1675" w:type="dxa"/>
            <w:noWrap w:val="0"/>
            <w:vAlign w:val="center"/>
          </w:tcPr>
          <w:p w14:paraId="0A6D824A">
            <w:pPr>
              <w:snapToGrid w:val="0"/>
              <w:spacing w:line="240" w:lineRule="auto"/>
              <w:jc w:val="center"/>
              <w:rPr>
                <w:rFonts w:hint="default" w:ascii="Times New Roman" w:hAnsi="Times New Roman" w:eastAsia="宋体" w:cs="Times New Roman"/>
                <w:color w:val="0000FF"/>
                <w:kern w:val="0"/>
                <w:szCs w:val="21"/>
                <w:lang w:val="en-US" w:eastAsia="zh-CN"/>
              </w:rPr>
            </w:pPr>
            <w:r>
              <w:rPr>
                <w:rFonts w:hint="eastAsia" w:ascii="Times New Roman" w:hAnsi="Times New Roman" w:eastAsia="宋体" w:cs="Times New Roman"/>
                <w:color w:val="0000FF"/>
                <w:kern w:val="0"/>
                <w:szCs w:val="21"/>
                <w:lang w:val="en-US" w:eastAsia="zh-CN"/>
              </w:rPr>
              <w:t>0.170</w:t>
            </w:r>
          </w:p>
        </w:tc>
      </w:tr>
      <w:tr w14:paraId="20FD3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restart"/>
            <w:noWrap w:val="0"/>
            <w:vAlign w:val="center"/>
          </w:tcPr>
          <w:p w14:paraId="563BF075">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计算参数</w:t>
            </w:r>
          </w:p>
        </w:tc>
        <w:tc>
          <w:tcPr>
            <w:tcW w:w="4046" w:type="dxa"/>
            <w:gridSpan w:val="2"/>
            <w:noWrap w:val="0"/>
            <w:vAlign w:val="center"/>
          </w:tcPr>
          <w:p w14:paraId="4E5B5264">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计算廓线的阈值个数</w:t>
            </w:r>
          </w:p>
        </w:tc>
        <w:tc>
          <w:tcPr>
            <w:tcW w:w="1675" w:type="dxa"/>
            <w:noWrap w:val="0"/>
            <w:vAlign w:val="center"/>
          </w:tcPr>
          <w:p w14:paraId="4DB882E3">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2</w:t>
            </w:r>
          </w:p>
        </w:tc>
      </w:tr>
      <w:tr w14:paraId="18611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2798" w:type="dxa"/>
            <w:gridSpan w:val="2"/>
            <w:vMerge w:val="continue"/>
            <w:noWrap w:val="0"/>
            <w:vAlign w:val="center"/>
          </w:tcPr>
          <w:p w14:paraId="58DC763C">
            <w:pPr>
              <w:snapToGrid w:val="0"/>
              <w:spacing w:line="240" w:lineRule="auto"/>
              <w:jc w:val="center"/>
              <w:rPr>
                <w:rFonts w:ascii="Times New Roman" w:hAnsi="Times New Roman" w:eastAsia="宋体" w:cs="Times New Roman"/>
                <w:color w:val="0000FF"/>
                <w:kern w:val="0"/>
                <w:szCs w:val="21"/>
              </w:rPr>
            </w:pPr>
          </w:p>
        </w:tc>
        <w:tc>
          <w:tcPr>
            <w:tcW w:w="4046" w:type="dxa"/>
            <w:gridSpan w:val="2"/>
            <w:noWrap w:val="0"/>
            <w:vAlign w:val="center"/>
          </w:tcPr>
          <w:p w14:paraId="2DEBF9ED">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每分钟烟团个数</w:t>
            </w:r>
          </w:p>
        </w:tc>
        <w:tc>
          <w:tcPr>
            <w:tcW w:w="1675" w:type="dxa"/>
            <w:noWrap w:val="0"/>
            <w:vAlign w:val="center"/>
          </w:tcPr>
          <w:p w14:paraId="32885125">
            <w:pPr>
              <w:snapToGrid w:val="0"/>
              <w:spacing w:line="240" w:lineRule="auto"/>
              <w:jc w:val="center"/>
              <w:rPr>
                <w:rFonts w:ascii="Times New Roman" w:hAnsi="Times New Roman" w:eastAsia="宋体" w:cs="Times New Roman"/>
                <w:color w:val="0000FF"/>
                <w:kern w:val="0"/>
                <w:szCs w:val="21"/>
              </w:rPr>
            </w:pPr>
            <w:r>
              <w:rPr>
                <w:rFonts w:ascii="Times New Roman" w:hAnsi="Times New Roman" w:eastAsia="宋体" w:cs="Times New Roman"/>
                <w:color w:val="0000FF"/>
                <w:kern w:val="0"/>
                <w:szCs w:val="21"/>
              </w:rPr>
              <w:t>20</w:t>
            </w:r>
          </w:p>
        </w:tc>
      </w:tr>
    </w:tbl>
    <w:p w14:paraId="24FE365D">
      <w:pPr>
        <w:keepNext w:val="0"/>
        <w:keepLines w:val="0"/>
        <w:pageBreakBefore w:val="0"/>
        <w:widowControl w:val="0"/>
        <w:numPr>
          <w:ilvl w:val="2"/>
          <w:numId w:val="3"/>
        </w:numPr>
        <w:tabs>
          <w:tab w:val="left" w:pos="1086"/>
          <w:tab w:val="left" w:pos="1260"/>
        </w:tabs>
        <w:kinsoku/>
        <w:wordWrap/>
        <w:overflowPunct/>
        <w:topLinePunct w:val="0"/>
        <w:autoSpaceDE/>
        <w:autoSpaceDN/>
        <w:bidi w:val="0"/>
        <w:adjustRightInd/>
        <w:snapToGrid w:val="0"/>
        <w:spacing w:before="50" w:beforeLines="50" w:after="50" w:afterLines="50" w:line="360" w:lineRule="auto"/>
        <w:ind w:left="0" w:firstLine="560" w:firstLineChars="200"/>
        <w:jc w:val="both"/>
        <w:textAlignment w:val="auto"/>
        <w:outlineLvl w:val="2"/>
        <w:rPr>
          <w:rFonts w:hint="eastAsia" w:ascii="Times New Roman" w:hAnsi="Times New Roman" w:eastAsia="宋体" w:cs="Times New Roman"/>
          <w:b w:val="0"/>
          <w:color w:val="0000FF"/>
          <w:kern w:val="2"/>
          <w:sz w:val="28"/>
          <w:szCs w:val="24"/>
          <w:lang w:val="en-US" w:eastAsia="zh-CN" w:bidi="ar-SA"/>
        </w:rPr>
      </w:pPr>
      <w:r>
        <w:rPr>
          <w:rFonts w:hint="eastAsia" w:ascii="Times New Roman" w:hAnsi="Times New Roman" w:eastAsia="宋体" w:cs="Times New Roman"/>
          <w:b w:val="0"/>
          <w:color w:val="0000FF"/>
          <w:kern w:val="2"/>
          <w:sz w:val="28"/>
          <w:szCs w:val="24"/>
          <w:lang w:val="en-US" w:eastAsia="zh-CN" w:bidi="ar-SA"/>
        </w:rPr>
        <w:t>气象参数</w:t>
      </w:r>
    </w:p>
    <w:p w14:paraId="4712F94C">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0000FF"/>
          <w:spacing w:val="6"/>
          <w:kern w:val="0"/>
          <w:sz w:val="24"/>
          <w:lang w:val="zh-CN" w:bidi="zh-CN"/>
        </w:rPr>
      </w:pPr>
      <w:r>
        <w:rPr>
          <w:rFonts w:ascii="Times New Roman" w:hAnsi="Times New Roman" w:eastAsia="宋体" w:cs="Times New Roman"/>
          <w:color w:val="0000FF"/>
          <w:spacing w:val="-4"/>
          <w:kern w:val="0"/>
          <w:sz w:val="24"/>
          <w:lang w:val="zh-CN" w:bidi="zh-CN"/>
        </w:rPr>
        <w:t>本项目大气环境风险评价等级为</w:t>
      </w:r>
      <w:r>
        <w:rPr>
          <w:rFonts w:hint="eastAsia" w:ascii="Times New Roman" w:hAnsi="Times New Roman" w:eastAsia="宋体" w:cs="Times New Roman"/>
          <w:color w:val="0000FF"/>
          <w:spacing w:val="-4"/>
          <w:kern w:val="0"/>
          <w:sz w:val="24"/>
          <w:lang w:bidi="zh-CN"/>
        </w:rPr>
        <w:t>二</w:t>
      </w:r>
      <w:r>
        <w:rPr>
          <w:rFonts w:ascii="Times New Roman" w:hAnsi="Times New Roman" w:eastAsia="宋体" w:cs="Times New Roman"/>
          <w:color w:val="0000FF"/>
          <w:spacing w:val="-4"/>
          <w:kern w:val="0"/>
          <w:sz w:val="24"/>
          <w:lang w:val="zh-CN" w:bidi="zh-CN"/>
        </w:rPr>
        <w:t>级，</w:t>
      </w:r>
      <w:r>
        <w:rPr>
          <w:rFonts w:hint="eastAsia" w:ascii="Times New Roman" w:hAnsi="Times New Roman" w:eastAsia="宋体" w:cs="Times New Roman"/>
          <w:color w:val="0000FF"/>
          <w:spacing w:val="-4"/>
          <w:kern w:val="0"/>
          <w:sz w:val="24"/>
          <w:lang w:bidi="zh-CN"/>
        </w:rPr>
        <w:t>二</w:t>
      </w:r>
      <w:r>
        <w:rPr>
          <w:rFonts w:ascii="Times New Roman" w:hAnsi="Times New Roman" w:eastAsia="宋体" w:cs="Times New Roman"/>
          <w:color w:val="0000FF"/>
          <w:spacing w:val="-4"/>
          <w:kern w:val="0"/>
          <w:sz w:val="24"/>
          <w:lang w:val="zh-CN" w:bidi="zh-CN"/>
        </w:rPr>
        <w:t>级评价需选取最不利气象条件</w:t>
      </w:r>
      <w:r>
        <w:rPr>
          <w:rFonts w:ascii="Times New Roman" w:hAnsi="Times New Roman" w:eastAsia="宋体" w:cs="Times New Roman"/>
          <w:color w:val="0000FF"/>
          <w:spacing w:val="-5"/>
          <w:kern w:val="0"/>
          <w:sz w:val="24"/>
          <w:lang w:val="zh-CN" w:bidi="zh-CN"/>
        </w:rPr>
        <w:t>进行后果预测，最不利气象条件选取</w:t>
      </w:r>
      <w:r>
        <w:rPr>
          <w:rFonts w:ascii="Times New Roman" w:hAnsi="Times New Roman" w:eastAsia="宋体" w:cs="Times New Roman"/>
          <w:color w:val="0000FF"/>
          <w:spacing w:val="6"/>
          <w:kern w:val="0"/>
          <w:sz w:val="24"/>
          <w:lang w:val="zh-CN" w:bidi="zh-CN"/>
        </w:rPr>
        <w:t>F</w:t>
      </w:r>
      <w:r>
        <w:rPr>
          <w:rFonts w:ascii="Times New Roman" w:hAnsi="Times New Roman" w:eastAsia="宋体" w:cs="Times New Roman"/>
          <w:color w:val="0000FF"/>
          <w:spacing w:val="-12"/>
          <w:kern w:val="0"/>
          <w:sz w:val="24"/>
          <w:lang w:val="zh-CN" w:bidi="zh-CN"/>
        </w:rPr>
        <w:t>稳定度，风速</w:t>
      </w:r>
      <w:r>
        <w:rPr>
          <w:rFonts w:ascii="Times New Roman" w:hAnsi="Times New Roman" w:eastAsia="宋体" w:cs="Times New Roman"/>
          <w:color w:val="0000FF"/>
          <w:spacing w:val="-3"/>
          <w:kern w:val="0"/>
          <w:sz w:val="24"/>
          <w:lang w:val="zh-CN" w:bidi="zh-CN"/>
        </w:rPr>
        <w:t>1.5m/s</w:t>
      </w:r>
      <w:r>
        <w:rPr>
          <w:rFonts w:ascii="Times New Roman" w:hAnsi="Times New Roman" w:eastAsia="宋体" w:cs="Times New Roman"/>
          <w:color w:val="0000FF"/>
          <w:spacing w:val="-7"/>
          <w:kern w:val="0"/>
          <w:sz w:val="24"/>
          <w:lang w:val="zh-CN" w:bidi="zh-CN"/>
        </w:rPr>
        <w:t>，温度</w:t>
      </w:r>
      <w:r>
        <w:rPr>
          <w:rFonts w:ascii="Times New Roman" w:hAnsi="Times New Roman" w:eastAsia="宋体" w:cs="Times New Roman"/>
          <w:color w:val="0000FF"/>
          <w:spacing w:val="6"/>
          <w:kern w:val="0"/>
          <w:sz w:val="24"/>
          <w:lang w:val="zh-CN" w:bidi="zh-CN"/>
        </w:rPr>
        <w:t>25ºC</w:t>
      </w:r>
      <w:r>
        <w:rPr>
          <w:rFonts w:ascii="Times New Roman" w:hAnsi="Times New Roman" w:eastAsia="宋体" w:cs="Times New Roman"/>
          <w:color w:val="0000FF"/>
          <w:spacing w:val="-11"/>
          <w:kern w:val="0"/>
          <w:sz w:val="24"/>
          <w:lang w:val="zh-CN" w:bidi="zh-CN"/>
        </w:rPr>
        <w:t>，相对湿度</w:t>
      </w:r>
      <w:r>
        <w:rPr>
          <w:rFonts w:ascii="Times New Roman" w:hAnsi="Times New Roman" w:eastAsia="宋体" w:cs="Times New Roman"/>
          <w:color w:val="0000FF"/>
          <w:spacing w:val="6"/>
          <w:kern w:val="0"/>
          <w:sz w:val="24"/>
          <w:lang w:val="zh-CN" w:bidi="zh-CN"/>
        </w:rPr>
        <w:t>50%</w:t>
      </w:r>
      <w:r>
        <w:rPr>
          <w:rFonts w:hint="eastAsia" w:ascii="Times New Roman" w:hAnsi="Times New Roman" w:eastAsia="宋体" w:cs="Times New Roman"/>
          <w:color w:val="0000FF"/>
          <w:spacing w:val="6"/>
          <w:kern w:val="0"/>
          <w:sz w:val="24"/>
          <w:lang w:val="zh-CN" w:bidi="zh-CN"/>
        </w:rPr>
        <w:t>。</w:t>
      </w:r>
    </w:p>
    <w:p w14:paraId="17BAC376">
      <w:pPr>
        <w:keepNext w:val="0"/>
        <w:keepLines w:val="0"/>
        <w:pageBreakBefore w:val="0"/>
        <w:widowControl w:val="0"/>
        <w:numPr>
          <w:ilvl w:val="2"/>
          <w:numId w:val="3"/>
        </w:numPr>
        <w:tabs>
          <w:tab w:val="left" w:pos="1086"/>
          <w:tab w:val="left" w:pos="1260"/>
        </w:tabs>
        <w:kinsoku/>
        <w:wordWrap/>
        <w:overflowPunct/>
        <w:topLinePunct w:val="0"/>
        <w:autoSpaceDE/>
        <w:autoSpaceDN/>
        <w:bidi w:val="0"/>
        <w:adjustRightInd/>
        <w:snapToGrid w:val="0"/>
        <w:spacing w:before="50" w:beforeLines="50" w:after="50" w:afterLines="50" w:line="360" w:lineRule="auto"/>
        <w:ind w:left="0" w:firstLine="560" w:firstLineChars="200"/>
        <w:jc w:val="both"/>
        <w:textAlignment w:val="auto"/>
        <w:outlineLvl w:val="2"/>
        <w:rPr>
          <w:rFonts w:hint="eastAsia" w:ascii="Times New Roman" w:hAnsi="Times New Roman" w:eastAsia="宋体" w:cs="Times New Roman"/>
          <w:b w:val="0"/>
          <w:color w:val="0000FF"/>
          <w:kern w:val="2"/>
          <w:sz w:val="28"/>
          <w:szCs w:val="24"/>
          <w:lang w:val="en-US" w:eastAsia="zh-CN" w:bidi="ar-SA"/>
        </w:rPr>
      </w:pPr>
      <w:r>
        <w:rPr>
          <w:rFonts w:hint="eastAsia" w:ascii="Times New Roman" w:hAnsi="Times New Roman" w:eastAsia="宋体" w:cs="Times New Roman"/>
          <w:b w:val="0"/>
          <w:color w:val="0000FF"/>
          <w:kern w:val="2"/>
          <w:sz w:val="28"/>
          <w:szCs w:val="24"/>
          <w:lang w:val="en-US" w:eastAsia="zh-CN" w:bidi="ar-SA"/>
        </w:rPr>
        <w:t>大气毒性终点浓度值选取</w:t>
      </w:r>
    </w:p>
    <w:p w14:paraId="35107832">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0000FF"/>
          <w:spacing w:val="6"/>
          <w:kern w:val="0"/>
          <w:sz w:val="24"/>
          <w:lang w:val="zh-CN" w:bidi="zh-CN"/>
        </w:rPr>
      </w:pPr>
      <w:r>
        <w:rPr>
          <w:rFonts w:ascii="Times New Roman" w:hAnsi="Times New Roman" w:eastAsia="宋体" w:cs="Times New Roman"/>
          <w:color w:val="0000FF"/>
          <w:spacing w:val="6"/>
          <w:kern w:val="0"/>
          <w:sz w:val="24"/>
          <w:lang w:val="zh-CN" w:bidi="zh-CN"/>
        </w:rPr>
        <w:t>采用</w:t>
      </w:r>
      <w:r>
        <w:rPr>
          <w:rFonts w:hint="eastAsia" w:ascii="Times New Roman" w:hAnsi="Times New Roman" w:eastAsia="宋体" w:cs="Times New Roman"/>
          <w:color w:val="0000FF"/>
          <w:spacing w:val="6"/>
          <w:kern w:val="0"/>
          <w:sz w:val="24"/>
          <w:lang w:bidi="zh-CN"/>
        </w:rPr>
        <w:t>一氧化碳</w:t>
      </w:r>
      <w:r>
        <w:rPr>
          <w:rFonts w:ascii="Times New Roman" w:hAnsi="Times New Roman" w:eastAsia="宋体" w:cs="Times New Roman"/>
          <w:color w:val="0000FF"/>
          <w:spacing w:val="6"/>
          <w:kern w:val="0"/>
          <w:sz w:val="24"/>
          <w:lang w:val="zh-CN" w:bidi="zh-CN"/>
        </w:rPr>
        <w:t>的大气毒性终点浓度值作为预测评价标准，根据《建设项目环境风险评价技术导则》（HJ169-2018）附录H，</w:t>
      </w:r>
    </w:p>
    <w:p w14:paraId="2B22C84C">
      <w:pPr>
        <w:snapToGrid w:val="0"/>
        <w:spacing w:line="360" w:lineRule="auto"/>
        <w:ind w:firstLine="480" w:firstLineChars="200"/>
        <w:rPr>
          <w:rFonts w:hint="eastAsia" w:ascii="Times New Roman" w:hAnsi="Times New Roman" w:eastAsia="宋体" w:cs="Times New Roman"/>
          <w:color w:val="0000FF"/>
          <w:sz w:val="24"/>
        </w:rPr>
      </w:pPr>
      <w:r>
        <w:rPr>
          <w:rFonts w:hint="eastAsia" w:ascii="Times New Roman" w:hAnsi="Times New Roman" w:eastAsia="宋体" w:cs="Times New Roman"/>
          <w:color w:val="0000FF"/>
          <w:sz w:val="24"/>
        </w:rPr>
        <w:t>根据导则附录H大气毒性终点浓度值选取，具体表</w:t>
      </w:r>
      <w:r>
        <w:rPr>
          <w:rFonts w:hint="eastAsia" w:ascii="Times New Roman" w:hAnsi="Times New Roman" w:eastAsia="宋体" w:cs="Times New Roman"/>
          <w:color w:val="0000FF"/>
          <w:sz w:val="24"/>
          <w:lang w:val="en-US" w:eastAsia="zh-CN"/>
        </w:rPr>
        <w:t>4.1-3</w:t>
      </w:r>
      <w:r>
        <w:rPr>
          <w:rFonts w:hint="eastAsia" w:ascii="Times New Roman" w:hAnsi="Times New Roman" w:eastAsia="宋体" w:cs="Times New Roman"/>
          <w:color w:val="0000FF"/>
          <w:sz w:val="24"/>
        </w:rPr>
        <w:t>。</w:t>
      </w:r>
    </w:p>
    <w:p w14:paraId="6731662A">
      <w:pPr>
        <w:snapToGrid w:val="0"/>
        <w:spacing w:line="240" w:lineRule="auto"/>
        <w:ind w:firstLine="482" w:firstLineChars="200"/>
        <w:jc w:val="center"/>
        <w:rPr>
          <w:rFonts w:hint="eastAsia" w:ascii="Times New Roman" w:hAnsi="Times New Roman" w:eastAsia="宋体" w:cs="Times New Roman"/>
          <w:b/>
          <w:bCs/>
          <w:color w:val="0000FF"/>
          <w:sz w:val="24"/>
        </w:rPr>
      </w:pPr>
      <w:r>
        <w:rPr>
          <w:rFonts w:hint="eastAsia" w:ascii="Times New Roman" w:hAnsi="Times New Roman" w:eastAsia="宋体" w:cs="Times New Roman"/>
          <w:b/>
          <w:bCs/>
          <w:color w:val="0000FF"/>
          <w:sz w:val="24"/>
        </w:rPr>
        <w:t>表</w:t>
      </w:r>
      <w:r>
        <w:rPr>
          <w:rFonts w:hint="eastAsia" w:ascii="Times New Roman" w:hAnsi="Times New Roman" w:eastAsia="宋体" w:cs="Times New Roman"/>
          <w:b/>
          <w:bCs/>
          <w:color w:val="0000FF"/>
          <w:sz w:val="24"/>
          <w:lang w:val="en-US" w:eastAsia="zh-CN"/>
        </w:rPr>
        <w:t>4.1-3</w:t>
      </w:r>
      <w:r>
        <w:rPr>
          <w:rFonts w:hint="eastAsia" w:ascii="Times New Roman" w:hAnsi="Times New Roman" w:eastAsia="宋体" w:cs="Times New Roman"/>
          <w:b/>
          <w:bCs/>
          <w:color w:val="0000FF"/>
          <w:sz w:val="24"/>
        </w:rPr>
        <w:t xml:space="preserve">    大气毒性终点浓度值一览表</w:t>
      </w:r>
    </w:p>
    <w:tbl>
      <w:tblPr>
        <w:tblStyle w:val="32"/>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126"/>
        <w:gridCol w:w="2131"/>
        <w:gridCol w:w="2130"/>
        <w:gridCol w:w="2130"/>
      </w:tblGrid>
      <w:tr w14:paraId="6156F88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499" w:type="pct"/>
            <w:gridSpan w:val="2"/>
            <w:tcBorders>
              <w:top w:val="single" w:color="auto" w:sz="4" w:space="0"/>
              <w:left w:val="single" w:color="auto" w:sz="4" w:space="0"/>
              <w:bottom w:val="single" w:color="auto" w:sz="4" w:space="0"/>
              <w:right w:val="single" w:color="auto" w:sz="4" w:space="0"/>
            </w:tcBorders>
            <w:noWrap w:val="0"/>
            <w:vAlign w:val="center"/>
          </w:tcPr>
          <w:p w14:paraId="205A11AE">
            <w:pPr>
              <w:adjustRightInd w:val="0"/>
              <w:snapToGrid w:val="0"/>
              <w:spacing w:line="240" w:lineRule="auto"/>
              <w:jc w:val="center"/>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化学物质</w:t>
            </w:r>
          </w:p>
        </w:tc>
        <w:tc>
          <w:tcPr>
            <w:tcW w:w="1250" w:type="pct"/>
            <w:tcBorders>
              <w:top w:val="single" w:color="auto" w:sz="4" w:space="0"/>
              <w:left w:val="single" w:color="auto" w:sz="4" w:space="0"/>
              <w:bottom w:val="single" w:color="auto" w:sz="4" w:space="0"/>
              <w:right w:val="single" w:color="auto" w:sz="4" w:space="0"/>
            </w:tcBorders>
            <w:noWrap w:val="0"/>
            <w:vAlign w:val="center"/>
          </w:tcPr>
          <w:p w14:paraId="1A2B12D2">
            <w:pPr>
              <w:adjustRightInd w:val="0"/>
              <w:snapToGrid w:val="0"/>
              <w:spacing w:line="240" w:lineRule="auto"/>
              <w:jc w:val="center"/>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毒性终点浓度-1</w:t>
            </w:r>
          </w:p>
        </w:tc>
        <w:tc>
          <w:tcPr>
            <w:tcW w:w="1250" w:type="pct"/>
            <w:tcBorders>
              <w:top w:val="single" w:color="auto" w:sz="4" w:space="0"/>
              <w:left w:val="single" w:color="auto" w:sz="4" w:space="0"/>
              <w:bottom w:val="single" w:color="auto" w:sz="4" w:space="0"/>
              <w:right w:val="single" w:color="auto" w:sz="4" w:space="0"/>
            </w:tcBorders>
            <w:noWrap w:val="0"/>
            <w:vAlign w:val="center"/>
          </w:tcPr>
          <w:p w14:paraId="71F68FBD">
            <w:pPr>
              <w:adjustRightInd w:val="0"/>
              <w:snapToGrid w:val="0"/>
              <w:spacing w:line="240" w:lineRule="auto"/>
              <w:jc w:val="center"/>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毒性终点浓度-2</w:t>
            </w:r>
          </w:p>
        </w:tc>
      </w:tr>
      <w:tr w14:paraId="5CC381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48" w:type="pct"/>
            <w:tcBorders>
              <w:top w:val="single" w:color="auto" w:sz="4" w:space="0"/>
              <w:left w:val="single" w:color="auto" w:sz="4" w:space="0"/>
              <w:bottom w:val="single" w:color="auto" w:sz="4" w:space="0"/>
              <w:right w:val="single" w:color="auto" w:sz="4" w:space="0"/>
            </w:tcBorders>
            <w:noWrap w:val="0"/>
            <w:vAlign w:val="center"/>
          </w:tcPr>
          <w:p w14:paraId="5F774D8B">
            <w:pPr>
              <w:adjustRightInd w:val="0"/>
              <w:snapToGrid w:val="0"/>
              <w:spacing w:line="240" w:lineRule="auto"/>
              <w:jc w:val="center"/>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名称</w:t>
            </w:r>
          </w:p>
        </w:tc>
        <w:tc>
          <w:tcPr>
            <w:tcW w:w="1251" w:type="pct"/>
            <w:tcBorders>
              <w:top w:val="single" w:color="auto" w:sz="4" w:space="0"/>
              <w:left w:val="single" w:color="auto" w:sz="4" w:space="0"/>
              <w:bottom w:val="single" w:color="auto" w:sz="4" w:space="0"/>
              <w:right w:val="single" w:color="auto" w:sz="4" w:space="0"/>
            </w:tcBorders>
            <w:noWrap w:val="0"/>
            <w:vAlign w:val="center"/>
          </w:tcPr>
          <w:p w14:paraId="3602A610">
            <w:pPr>
              <w:adjustRightInd w:val="0"/>
              <w:snapToGrid w:val="0"/>
              <w:spacing w:line="240" w:lineRule="auto"/>
              <w:jc w:val="center"/>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CAS</w:t>
            </w:r>
          </w:p>
        </w:tc>
        <w:tc>
          <w:tcPr>
            <w:tcW w:w="1250" w:type="pct"/>
            <w:tcBorders>
              <w:top w:val="single" w:color="auto" w:sz="4" w:space="0"/>
              <w:left w:val="single" w:color="auto" w:sz="4" w:space="0"/>
              <w:bottom w:val="single" w:color="auto" w:sz="4" w:space="0"/>
              <w:right w:val="single" w:color="auto" w:sz="4" w:space="0"/>
            </w:tcBorders>
            <w:noWrap w:val="0"/>
            <w:vAlign w:val="center"/>
          </w:tcPr>
          <w:p w14:paraId="5A37EA7D">
            <w:pPr>
              <w:adjustRightInd w:val="0"/>
              <w:snapToGrid w:val="0"/>
              <w:spacing w:line="240" w:lineRule="auto"/>
              <w:jc w:val="center"/>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mg/m</w:t>
            </w:r>
            <w:r>
              <w:rPr>
                <w:rFonts w:hint="eastAsia" w:ascii="Times New Roman" w:hAnsi="Times New Roman" w:eastAsia="宋体" w:cs="Times New Roman"/>
                <w:color w:val="0000FF"/>
                <w:kern w:val="0"/>
                <w:szCs w:val="21"/>
                <w:vertAlign w:val="superscript"/>
              </w:rPr>
              <w:t>3</w:t>
            </w:r>
          </w:p>
        </w:tc>
        <w:tc>
          <w:tcPr>
            <w:tcW w:w="1250" w:type="pct"/>
            <w:tcBorders>
              <w:top w:val="single" w:color="auto" w:sz="4" w:space="0"/>
              <w:left w:val="single" w:color="auto" w:sz="4" w:space="0"/>
              <w:bottom w:val="single" w:color="auto" w:sz="4" w:space="0"/>
              <w:right w:val="single" w:color="auto" w:sz="4" w:space="0"/>
            </w:tcBorders>
            <w:noWrap w:val="0"/>
            <w:vAlign w:val="center"/>
          </w:tcPr>
          <w:p w14:paraId="4A702B37">
            <w:pPr>
              <w:adjustRightInd w:val="0"/>
              <w:snapToGrid w:val="0"/>
              <w:spacing w:line="240" w:lineRule="auto"/>
              <w:jc w:val="center"/>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mg/m</w:t>
            </w:r>
            <w:r>
              <w:rPr>
                <w:rFonts w:hint="eastAsia" w:ascii="Times New Roman" w:hAnsi="Times New Roman" w:eastAsia="宋体" w:cs="Times New Roman"/>
                <w:color w:val="0000FF"/>
                <w:kern w:val="0"/>
                <w:szCs w:val="21"/>
                <w:vertAlign w:val="superscript"/>
              </w:rPr>
              <w:t>3</w:t>
            </w:r>
          </w:p>
        </w:tc>
      </w:tr>
      <w:tr w14:paraId="19A7CAD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248" w:type="pct"/>
            <w:tcBorders>
              <w:top w:val="single" w:color="auto" w:sz="4" w:space="0"/>
              <w:left w:val="single" w:color="auto" w:sz="4" w:space="0"/>
              <w:bottom w:val="single" w:color="auto" w:sz="4" w:space="0"/>
              <w:right w:val="single" w:color="auto" w:sz="4" w:space="0"/>
            </w:tcBorders>
            <w:noWrap w:val="0"/>
            <w:vAlign w:val="center"/>
          </w:tcPr>
          <w:p w14:paraId="1B69E48E">
            <w:pPr>
              <w:adjustRightInd w:val="0"/>
              <w:spacing w:line="240" w:lineRule="auto"/>
              <w:ind w:left="-105" w:leftChars="-50" w:right="-105" w:rightChars="-50"/>
              <w:jc w:val="center"/>
              <w:textAlignment w:val="baseline"/>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一氧化碳</w:t>
            </w:r>
          </w:p>
        </w:tc>
        <w:tc>
          <w:tcPr>
            <w:tcW w:w="1251" w:type="pct"/>
            <w:tcBorders>
              <w:top w:val="single" w:color="auto" w:sz="4" w:space="0"/>
              <w:left w:val="single" w:color="auto" w:sz="4" w:space="0"/>
              <w:bottom w:val="single" w:color="auto" w:sz="4" w:space="0"/>
              <w:right w:val="single" w:color="auto" w:sz="4" w:space="0"/>
            </w:tcBorders>
            <w:noWrap w:val="0"/>
            <w:vAlign w:val="center"/>
          </w:tcPr>
          <w:p w14:paraId="627A887B">
            <w:pPr>
              <w:snapToGrid w:val="0"/>
              <w:spacing w:line="240" w:lineRule="auto"/>
              <w:jc w:val="center"/>
              <w:rPr>
                <w:rFonts w:hint="eastAsia"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630-08-0</w:t>
            </w:r>
          </w:p>
        </w:tc>
        <w:tc>
          <w:tcPr>
            <w:tcW w:w="1250" w:type="pct"/>
            <w:tcBorders>
              <w:top w:val="single" w:color="auto" w:sz="4" w:space="0"/>
              <w:left w:val="single" w:color="auto" w:sz="4" w:space="0"/>
              <w:bottom w:val="single" w:color="auto" w:sz="4" w:space="0"/>
              <w:right w:val="single" w:color="auto" w:sz="4" w:space="0"/>
            </w:tcBorders>
            <w:noWrap w:val="0"/>
            <w:vAlign w:val="center"/>
          </w:tcPr>
          <w:p w14:paraId="404CB166">
            <w:pPr>
              <w:snapToGrid w:val="0"/>
              <w:spacing w:line="240" w:lineRule="auto"/>
              <w:jc w:val="center"/>
              <w:rPr>
                <w:rFonts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380</w:t>
            </w:r>
          </w:p>
        </w:tc>
        <w:tc>
          <w:tcPr>
            <w:tcW w:w="1250" w:type="pct"/>
            <w:tcBorders>
              <w:top w:val="single" w:color="auto" w:sz="4" w:space="0"/>
              <w:left w:val="single" w:color="auto" w:sz="4" w:space="0"/>
              <w:bottom w:val="single" w:color="auto" w:sz="4" w:space="0"/>
              <w:right w:val="single" w:color="auto" w:sz="4" w:space="0"/>
            </w:tcBorders>
            <w:noWrap w:val="0"/>
            <w:vAlign w:val="center"/>
          </w:tcPr>
          <w:p w14:paraId="0DDB4348">
            <w:pPr>
              <w:snapToGrid w:val="0"/>
              <w:spacing w:line="240" w:lineRule="auto"/>
              <w:jc w:val="center"/>
              <w:rPr>
                <w:rFonts w:ascii="Times New Roman" w:hAnsi="Times New Roman" w:eastAsia="宋体" w:cs="Times New Roman"/>
                <w:color w:val="0000FF"/>
                <w:kern w:val="0"/>
                <w:szCs w:val="21"/>
              </w:rPr>
            </w:pPr>
            <w:r>
              <w:rPr>
                <w:rFonts w:hint="eastAsia" w:ascii="Times New Roman" w:hAnsi="Times New Roman" w:eastAsia="宋体" w:cs="Times New Roman"/>
                <w:color w:val="0000FF"/>
                <w:kern w:val="0"/>
                <w:szCs w:val="21"/>
              </w:rPr>
              <w:t>95</w:t>
            </w:r>
          </w:p>
        </w:tc>
      </w:tr>
      <w:tr w14:paraId="78EF473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c>
          <w:tcPr>
            <w:tcW w:w="2499" w:type="pct"/>
            <w:gridSpan w:val="2"/>
            <w:tcBorders>
              <w:top w:val="single" w:color="auto" w:sz="4" w:space="0"/>
              <w:left w:val="single" w:color="auto" w:sz="4" w:space="0"/>
              <w:bottom w:val="single" w:color="auto" w:sz="4" w:space="0"/>
              <w:right w:val="single" w:color="auto" w:sz="4" w:space="0"/>
            </w:tcBorders>
            <w:noWrap w:val="0"/>
            <w:vAlign w:val="center"/>
          </w:tcPr>
          <w:p w14:paraId="483AF96D">
            <w:pPr>
              <w:adjustRightInd w:val="0"/>
              <w:snapToGrid w:val="0"/>
              <w:spacing w:line="240" w:lineRule="auto"/>
              <w:jc w:val="center"/>
              <w:rPr>
                <w:rFonts w:hint="eastAsia" w:ascii="Times New Roman" w:hAnsi="Times New Roman" w:eastAsia="宋体" w:cs="Times New Roman"/>
                <w:color w:val="0000FF"/>
                <w:kern w:val="0"/>
                <w:szCs w:val="21"/>
              </w:rPr>
            </w:pPr>
            <w:r>
              <w:rPr>
                <w:rFonts w:ascii="Times New Roman" w:hAnsi="Times New Roman" w:eastAsia="宋体" w:cs="Times New Roman"/>
                <w:color w:val="0000FF"/>
                <w:kern w:val="0"/>
                <w:szCs w:val="21"/>
              </w:rPr>
              <w:t>说明</w:t>
            </w:r>
          </w:p>
        </w:tc>
        <w:tc>
          <w:tcPr>
            <w:tcW w:w="1250" w:type="pct"/>
            <w:tcBorders>
              <w:top w:val="single" w:color="auto" w:sz="4" w:space="0"/>
              <w:left w:val="single" w:color="auto" w:sz="4" w:space="0"/>
              <w:bottom w:val="single" w:color="auto" w:sz="4" w:space="0"/>
              <w:right w:val="single" w:color="auto" w:sz="4" w:space="0"/>
            </w:tcBorders>
            <w:noWrap w:val="0"/>
            <w:vAlign w:val="center"/>
          </w:tcPr>
          <w:p w14:paraId="51F3DA05">
            <w:pPr>
              <w:adjustRightInd w:val="0"/>
              <w:snapToGrid w:val="0"/>
              <w:spacing w:line="240" w:lineRule="auto"/>
              <w:jc w:val="center"/>
              <w:rPr>
                <w:rFonts w:hint="eastAsia" w:ascii="Times New Roman" w:hAnsi="Times New Roman" w:eastAsia="宋体" w:cs="Times New Roman"/>
                <w:color w:val="0000FF"/>
                <w:kern w:val="0"/>
                <w:szCs w:val="21"/>
              </w:rPr>
            </w:pPr>
            <w:r>
              <w:rPr>
                <w:rFonts w:ascii="Times New Roman" w:hAnsi="Times New Roman" w:eastAsia="宋体" w:cs="Times New Roman"/>
                <w:color w:val="0000FF"/>
                <w:kern w:val="0"/>
                <w:szCs w:val="21"/>
              </w:rPr>
              <w:t>1级：低于该限值，绝大多数人员暴露1小时不会对生命造成威胁，当超过该限值时，有可能对人群造成生命威胁；</w:t>
            </w:r>
          </w:p>
        </w:tc>
        <w:tc>
          <w:tcPr>
            <w:tcW w:w="1250" w:type="pct"/>
            <w:tcBorders>
              <w:top w:val="single" w:color="auto" w:sz="4" w:space="0"/>
              <w:left w:val="single" w:color="auto" w:sz="4" w:space="0"/>
              <w:bottom w:val="single" w:color="auto" w:sz="4" w:space="0"/>
              <w:right w:val="single" w:color="auto" w:sz="4" w:space="0"/>
            </w:tcBorders>
            <w:noWrap w:val="0"/>
            <w:vAlign w:val="center"/>
          </w:tcPr>
          <w:p w14:paraId="7E7F5CEA">
            <w:pPr>
              <w:adjustRightInd w:val="0"/>
              <w:snapToGrid w:val="0"/>
              <w:spacing w:line="240" w:lineRule="auto"/>
              <w:jc w:val="center"/>
              <w:rPr>
                <w:rFonts w:hint="eastAsia" w:ascii="Times New Roman" w:hAnsi="Times New Roman" w:eastAsia="宋体" w:cs="Times New Roman"/>
                <w:color w:val="0000FF"/>
                <w:kern w:val="0"/>
                <w:szCs w:val="21"/>
              </w:rPr>
            </w:pPr>
            <w:r>
              <w:rPr>
                <w:rFonts w:ascii="Times New Roman" w:hAnsi="Times New Roman" w:eastAsia="宋体" w:cs="Times New Roman"/>
                <w:color w:val="0000FF"/>
                <w:kern w:val="0"/>
                <w:szCs w:val="21"/>
              </w:rPr>
              <w:t>2级：低于该限值，绝大多数人员暴露1小时不会对人体造成不可逆的伤害或出现的症状一般不会损伤该个体采取有效防护措施的能力</w:t>
            </w:r>
          </w:p>
        </w:tc>
      </w:tr>
    </w:tbl>
    <w:p w14:paraId="3349E0E8">
      <w:pPr>
        <w:pStyle w:val="58"/>
        <w:bidi w:val="0"/>
        <w:rPr>
          <w:rFonts w:hint="default" w:ascii="Times New Roman" w:hAnsi="Times New Roman" w:cs="Times New Roman"/>
          <w:color w:val="0000FF"/>
        </w:rPr>
      </w:pPr>
    </w:p>
    <w:p w14:paraId="1624F0BB">
      <w:pPr>
        <w:keepNext w:val="0"/>
        <w:keepLines w:val="0"/>
        <w:pageBreakBefore w:val="0"/>
        <w:widowControl w:val="0"/>
        <w:numPr>
          <w:ilvl w:val="2"/>
          <w:numId w:val="3"/>
        </w:numPr>
        <w:tabs>
          <w:tab w:val="left" w:pos="1086"/>
          <w:tab w:val="left" w:pos="1260"/>
        </w:tabs>
        <w:kinsoku/>
        <w:wordWrap/>
        <w:overflowPunct/>
        <w:topLinePunct w:val="0"/>
        <w:autoSpaceDE/>
        <w:autoSpaceDN/>
        <w:bidi w:val="0"/>
        <w:adjustRightInd/>
        <w:snapToGrid w:val="0"/>
        <w:spacing w:before="50" w:beforeLines="50" w:after="50" w:afterLines="50" w:line="360" w:lineRule="auto"/>
        <w:ind w:left="0" w:firstLine="560" w:firstLineChars="200"/>
        <w:jc w:val="both"/>
        <w:textAlignment w:val="auto"/>
        <w:outlineLvl w:val="2"/>
        <w:rPr>
          <w:rFonts w:hint="eastAsia" w:ascii="Times New Roman" w:hAnsi="Times New Roman" w:eastAsia="宋体" w:cs="Times New Roman"/>
          <w:b w:val="0"/>
          <w:color w:val="0000FF"/>
          <w:kern w:val="2"/>
          <w:sz w:val="28"/>
          <w:szCs w:val="24"/>
          <w:lang w:val="zh-CN" w:eastAsia="zh-CN" w:bidi="ar-SA"/>
        </w:rPr>
      </w:pPr>
      <w:r>
        <w:rPr>
          <w:rFonts w:hint="eastAsia" w:ascii="Times New Roman" w:hAnsi="Times New Roman" w:eastAsia="宋体" w:cs="Times New Roman"/>
          <w:b w:val="0"/>
          <w:color w:val="0000FF"/>
          <w:kern w:val="2"/>
          <w:sz w:val="28"/>
          <w:szCs w:val="24"/>
          <w:lang w:val="en-US" w:eastAsia="zh-CN" w:bidi="ar-SA"/>
        </w:rPr>
        <w:t>LPG泄漏发生火灾</w:t>
      </w:r>
      <w:r>
        <w:rPr>
          <w:rFonts w:hint="eastAsia" w:ascii="Times New Roman" w:hAnsi="Times New Roman" w:eastAsia="宋体" w:cs="Times New Roman"/>
          <w:b w:val="0"/>
          <w:color w:val="0000FF"/>
          <w:kern w:val="2"/>
          <w:sz w:val="28"/>
          <w:szCs w:val="24"/>
          <w:lang w:val="zh-CN" w:eastAsia="zh-CN" w:bidi="ar-SA"/>
        </w:rPr>
        <w:t>事故计算结果</w:t>
      </w:r>
    </w:p>
    <w:p w14:paraId="7D804FD2">
      <w:pPr>
        <w:widowControl w:val="0"/>
        <w:spacing w:line="360" w:lineRule="auto"/>
        <w:ind w:firstLine="480" w:firstLineChars="200"/>
        <w:jc w:val="both"/>
        <w:rPr>
          <w:rFonts w:ascii="宋体" w:hAnsi="Times New Roman" w:eastAsia="宋体" w:cs="Times New Roman"/>
          <w:color w:val="0000FF"/>
          <w:kern w:val="2"/>
          <w:sz w:val="24"/>
          <w:szCs w:val="22"/>
          <w:lang w:val="en-US" w:eastAsia="zh-CN" w:bidi="zh-CN"/>
        </w:rPr>
      </w:pPr>
      <w:r>
        <w:rPr>
          <w:rFonts w:hint="eastAsia" w:ascii="宋体" w:hAnsi="Times New Roman" w:eastAsia="宋体" w:cs="Times New Roman"/>
          <w:color w:val="0000FF"/>
          <w:kern w:val="2"/>
          <w:sz w:val="24"/>
          <w:szCs w:val="22"/>
          <w:lang w:val="zh-CN" w:eastAsia="zh-CN" w:bidi="zh-CN"/>
        </w:rPr>
        <w:t>（</w:t>
      </w:r>
      <w:r>
        <w:rPr>
          <w:rFonts w:hint="eastAsia" w:ascii="宋体" w:hAnsi="Times New Roman" w:eastAsia="宋体" w:cs="Times New Roman"/>
          <w:color w:val="0000FF"/>
          <w:kern w:val="2"/>
          <w:sz w:val="24"/>
          <w:szCs w:val="22"/>
          <w:lang w:val="en-US" w:eastAsia="zh-CN" w:bidi="zh-CN"/>
        </w:rPr>
        <w:t>1</w:t>
      </w:r>
      <w:r>
        <w:rPr>
          <w:rFonts w:hint="eastAsia" w:ascii="宋体" w:hAnsi="Times New Roman" w:eastAsia="宋体" w:cs="Times New Roman"/>
          <w:color w:val="0000FF"/>
          <w:kern w:val="2"/>
          <w:sz w:val="24"/>
          <w:szCs w:val="22"/>
          <w:lang w:val="zh-CN" w:eastAsia="zh-CN" w:bidi="zh-CN"/>
        </w:rPr>
        <w:t>）</w:t>
      </w:r>
      <w:r>
        <w:rPr>
          <w:rFonts w:ascii="宋体" w:hAnsi="Times New Roman" w:eastAsia="宋体" w:cs="Times New Roman"/>
          <w:color w:val="0000FF"/>
          <w:kern w:val="2"/>
          <w:sz w:val="24"/>
          <w:szCs w:val="22"/>
          <w:lang w:val="zh-CN" w:eastAsia="zh-CN" w:bidi="zh-CN"/>
        </w:rPr>
        <w:t>下风向最远距离</w:t>
      </w:r>
    </w:p>
    <w:p w14:paraId="7F9A67A0">
      <w:pPr>
        <w:adjustRightInd w:val="0"/>
        <w:snapToGrid w:val="0"/>
        <w:spacing w:line="360" w:lineRule="auto"/>
        <w:ind w:firstLine="510"/>
        <w:textAlignment w:val="baseline"/>
        <w:rPr>
          <w:rFonts w:ascii="Times New Roman" w:hAnsi="Times New Roman" w:eastAsia="宋体" w:cs="Times New Roman"/>
          <w:color w:val="0000FF"/>
          <w:spacing w:val="6"/>
          <w:kern w:val="0"/>
          <w:sz w:val="24"/>
          <w:szCs w:val="22"/>
          <w:lang w:val="zh-CN" w:bidi="zh-CN"/>
        </w:rPr>
      </w:pPr>
      <w:r>
        <w:rPr>
          <w:rFonts w:ascii="Times New Roman" w:hAnsi="Times New Roman" w:eastAsia="宋体" w:cs="Times New Roman"/>
          <w:color w:val="0000FF"/>
          <w:spacing w:val="6"/>
          <w:kern w:val="0"/>
          <w:sz w:val="24"/>
          <w:szCs w:val="22"/>
          <w:lang w:val="zh-CN" w:bidi="zh-CN"/>
        </w:rPr>
        <w:t>采用AFTOX模型进行进一步预测计算，</w:t>
      </w:r>
      <w:r>
        <w:rPr>
          <w:rFonts w:hint="eastAsia" w:ascii="Times New Roman" w:hAnsi="Times New Roman" w:eastAsia="宋体" w:cs="Times New Roman"/>
          <w:color w:val="0000FF"/>
          <w:spacing w:val="6"/>
          <w:kern w:val="0"/>
          <w:sz w:val="24"/>
          <w:szCs w:val="21"/>
          <w:lang w:val="en-US" w:eastAsia="zh-CN"/>
        </w:rPr>
        <w:t>LPG泄漏</w:t>
      </w:r>
      <w:r>
        <w:rPr>
          <w:rFonts w:ascii="Times New Roman" w:hAnsi="Times New Roman" w:eastAsia="宋体" w:cs="Times New Roman"/>
          <w:color w:val="0000FF"/>
          <w:spacing w:val="6"/>
          <w:kern w:val="0"/>
          <w:sz w:val="24"/>
          <w:szCs w:val="22"/>
          <w:lang w:val="zh-CN" w:bidi="zh-CN"/>
        </w:rPr>
        <w:t>发生火灾事故情况下，释放的CO毒性终点浓度-1（380mg/m</w:t>
      </w:r>
      <w:r>
        <w:rPr>
          <w:rFonts w:ascii="Times New Roman" w:hAnsi="Times New Roman" w:eastAsia="宋体" w:cs="Times New Roman"/>
          <w:color w:val="0000FF"/>
          <w:spacing w:val="6"/>
          <w:kern w:val="0"/>
          <w:sz w:val="24"/>
          <w:szCs w:val="22"/>
          <w:vertAlign w:val="superscript"/>
          <w:lang w:val="zh-CN" w:bidi="zh-CN"/>
        </w:rPr>
        <w:t>3</w:t>
      </w:r>
      <w:r>
        <w:rPr>
          <w:rFonts w:ascii="Times New Roman" w:hAnsi="Times New Roman" w:eastAsia="宋体" w:cs="Times New Roman"/>
          <w:color w:val="0000FF"/>
          <w:spacing w:val="6"/>
          <w:kern w:val="0"/>
          <w:sz w:val="24"/>
          <w:szCs w:val="22"/>
          <w:lang w:val="zh-CN" w:bidi="zh-CN"/>
        </w:rPr>
        <w:t>）、毒性终点浓度-2（95mg/m</w:t>
      </w:r>
      <w:r>
        <w:rPr>
          <w:rFonts w:ascii="Times New Roman" w:hAnsi="Times New Roman" w:eastAsia="宋体" w:cs="Times New Roman"/>
          <w:color w:val="0000FF"/>
          <w:spacing w:val="6"/>
          <w:kern w:val="0"/>
          <w:sz w:val="24"/>
          <w:szCs w:val="22"/>
          <w:vertAlign w:val="superscript"/>
          <w:lang w:val="zh-CN" w:bidi="zh-CN"/>
        </w:rPr>
        <w:t>3</w:t>
      </w:r>
      <w:r>
        <w:rPr>
          <w:rFonts w:ascii="Times New Roman" w:hAnsi="Times New Roman" w:eastAsia="宋体" w:cs="Times New Roman"/>
          <w:color w:val="0000FF"/>
          <w:spacing w:val="6"/>
          <w:kern w:val="0"/>
          <w:sz w:val="24"/>
          <w:szCs w:val="22"/>
          <w:lang w:val="zh-CN" w:bidi="zh-CN"/>
        </w:rPr>
        <w:t>）对应的下风向最远距离具体见表</w:t>
      </w:r>
      <w:r>
        <w:rPr>
          <w:rFonts w:hint="eastAsia" w:ascii="Times New Roman" w:hAnsi="Times New Roman" w:eastAsia="宋体" w:cs="Times New Roman"/>
          <w:color w:val="0000FF"/>
          <w:spacing w:val="6"/>
          <w:kern w:val="0"/>
          <w:sz w:val="24"/>
          <w:szCs w:val="22"/>
          <w:lang w:val="en-US" w:bidi="zh-CN"/>
        </w:rPr>
        <w:t>4.1-4</w:t>
      </w:r>
      <w:r>
        <w:rPr>
          <w:rFonts w:ascii="Times New Roman" w:hAnsi="Times New Roman" w:eastAsia="宋体" w:cs="Times New Roman"/>
          <w:color w:val="0000FF"/>
          <w:spacing w:val="6"/>
          <w:kern w:val="0"/>
          <w:sz w:val="24"/>
          <w:szCs w:val="22"/>
          <w:lang w:val="zh-CN" w:bidi="zh-CN"/>
        </w:rPr>
        <w:t>。</w:t>
      </w:r>
    </w:p>
    <w:p w14:paraId="6157C4BB">
      <w:pPr>
        <w:spacing w:line="240" w:lineRule="auto"/>
        <w:jc w:val="center"/>
        <w:rPr>
          <w:rFonts w:ascii="Times New Roman" w:hAnsi="Times New Roman" w:eastAsia="宋体" w:cs="Times New Roman"/>
          <w:b/>
          <w:color w:val="0000FF"/>
          <w:sz w:val="24"/>
          <w:szCs w:val="21"/>
        </w:rPr>
      </w:pPr>
      <w:r>
        <w:rPr>
          <w:rFonts w:ascii="Times New Roman" w:hAnsi="Times New Roman" w:eastAsia="宋体" w:cs="Times New Roman"/>
          <w:b/>
          <w:color w:val="0000FF"/>
          <w:sz w:val="24"/>
          <w:szCs w:val="21"/>
        </w:rPr>
        <w:t>表</w:t>
      </w:r>
      <w:r>
        <w:rPr>
          <w:rFonts w:hint="eastAsia" w:ascii="Times New Roman" w:hAnsi="Times New Roman" w:eastAsia="宋体" w:cs="Times New Roman"/>
          <w:b/>
          <w:color w:val="0000FF"/>
          <w:sz w:val="24"/>
          <w:szCs w:val="21"/>
          <w:lang w:val="en-US" w:eastAsia="zh-CN"/>
        </w:rPr>
        <w:t>4.1-4</w:t>
      </w:r>
      <w:r>
        <w:rPr>
          <w:rFonts w:ascii="Times New Roman" w:hAnsi="Times New Roman" w:eastAsia="宋体" w:cs="Times New Roman"/>
          <w:b/>
          <w:color w:val="0000FF"/>
          <w:sz w:val="24"/>
          <w:szCs w:val="21"/>
        </w:rPr>
        <w:t xml:space="preserve">   </w:t>
      </w:r>
      <w:r>
        <w:rPr>
          <w:rFonts w:hint="eastAsia" w:ascii="Times New Roman" w:hAnsi="Times New Roman" w:eastAsia="宋体" w:cs="Times New Roman"/>
          <w:b/>
          <w:color w:val="0000FF"/>
          <w:sz w:val="24"/>
          <w:szCs w:val="21"/>
        </w:rPr>
        <w:t>漆类发</w:t>
      </w:r>
      <w:r>
        <w:rPr>
          <w:rFonts w:ascii="Times New Roman" w:hAnsi="Times New Roman" w:eastAsia="宋体" w:cs="Times New Roman"/>
          <w:b/>
          <w:color w:val="0000FF"/>
          <w:sz w:val="24"/>
          <w:szCs w:val="21"/>
        </w:rPr>
        <w:t>生火灾事故下风向最远距离计算结果一览表</w:t>
      </w:r>
    </w:p>
    <w:tbl>
      <w:tblPr>
        <w:tblStyle w:val="32"/>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40"/>
        <w:gridCol w:w="687"/>
        <w:gridCol w:w="721"/>
        <w:gridCol w:w="508"/>
        <w:gridCol w:w="1950"/>
        <w:gridCol w:w="1302"/>
        <w:gridCol w:w="1302"/>
        <w:gridCol w:w="1309"/>
      </w:tblGrid>
      <w:tr w14:paraId="77C3E2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434" w:type="pct"/>
            <w:tcBorders>
              <w:top w:val="single" w:color="auto" w:sz="4" w:space="0"/>
              <w:left w:val="single" w:color="auto" w:sz="4" w:space="0"/>
              <w:bottom w:val="single" w:color="auto" w:sz="4" w:space="0"/>
              <w:right w:val="single" w:color="auto" w:sz="4" w:space="0"/>
            </w:tcBorders>
            <w:noWrap w:val="0"/>
            <w:vAlign w:val="center"/>
          </w:tcPr>
          <w:p w14:paraId="30CED40E">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气象条件</w:t>
            </w:r>
          </w:p>
        </w:tc>
        <w:tc>
          <w:tcPr>
            <w:tcW w:w="403" w:type="pct"/>
            <w:tcBorders>
              <w:top w:val="single" w:color="auto" w:sz="4" w:space="0"/>
              <w:left w:val="single" w:color="auto" w:sz="4" w:space="0"/>
              <w:bottom w:val="single" w:color="auto" w:sz="4" w:space="0"/>
              <w:right w:val="single" w:color="auto" w:sz="4" w:space="0"/>
            </w:tcBorders>
            <w:noWrap w:val="0"/>
            <w:vAlign w:val="center"/>
          </w:tcPr>
          <w:p w14:paraId="7371CD44">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风险类型</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6C7DCDB1">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事故类型</w:t>
            </w:r>
          </w:p>
        </w:tc>
        <w:tc>
          <w:tcPr>
            <w:tcW w:w="298" w:type="pct"/>
            <w:tcBorders>
              <w:top w:val="single" w:color="auto" w:sz="4" w:space="0"/>
              <w:left w:val="single" w:color="auto" w:sz="4" w:space="0"/>
              <w:bottom w:val="single" w:color="auto" w:sz="4" w:space="0"/>
              <w:right w:val="single" w:color="auto" w:sz="4" w:space="0"/>
            </w:tcBorders>
            <w:noWrap w:val="0"/>
            <w:vAlign w:val="center"/>
          </w:tcPr>
          <w:p w14:paraId="020DA027">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物质</w:t>
            </w:r>
          </w:p>
        </w:tc>
        <w:tc>
          <w:tcPr>
            <w:tcW w:w="1144" w:type="pct"/>
            <w:tcBorders>
              <w:top w:val="single" w:color="auto" w:sz="4" w:space="0"/>
              <w:left w:val="single" w:color="auto" w:sz="4" w:space="0"/>
              <w:bottom w:val="single" w:color="auto" w:sz="4" w:space="0"/>
              <w:right w:val="single" w:color="auto" w:sz="4" w:space="0"/>
            </w:tcBorders>
            <w:noWrap w:val="0"/>
            <w:vAlign w:val="center"/>
          </w:tcPr>
          <w:p w14:paraId="1675F73F">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评价指标</w:t>
            </w:r>
          </w:p>
        </w:tc>
        <w:tc>
          <w:tcPr>
            <w:tcW w:w="764" w:type="pct"/>
            <w:tcBorders>
              <w:top w:val="single" w:color="auto" w:sz="4" w:space="0"/>
              <w:left w:val="single" w:color="auto" w:sz="4" w:space="0"/>
              <w:bottom w:val="single" w:color="auto" w:sz="4" w:space="0"/>
              <w:right w:val="single" w:color="auto" w:sz="4" w:space="0"/>
            </w:tcBorders>
            <w:noWrap w:val="0"/>
            <w:vAlign w:val="center"/>
          </w:tcPr>
          <w:p w14:paraId="0043024D">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下风向最远距离m</w:t>
            </w:r>
          </w:p>
        </w:tc>
        <w:tc>
          <w:tcPr>
            <w:tcW w:w="764" w:type="pct"/>
            <w:tcBorders>
              <w:top w:val="single" w:color="auto" w:sz="4" w:space="0"/>
              <w:left w:val="single" w:color="auto" w:sz="4" w:space="0"/>
              <w:bottom w:val="single" w:color="auto" w:sz="4" w:space="0"/>
              <w:right w:val="single" w:color="auto" w:sz="4" w:space="0"/>
            </w:tcBorders>
            <w:noWrap w:val="0"/>
            <w:vAlign w:val="center"/>
          </w:tcPr>
          <w:p w14:paraId="76793DDD">
            <w:pPr>
              <w:adjustRightInd w:val="0"/>
              <w:spacing w:line="240" w:lineRule="auto"/>
              <w:jc w:val="center"/>
              <w:textAlignment w:val="baseline"/>
              <w:rPr>
                <w:rFonts w:ascii="Times New Roman" w:hAnsi="Times New Roman" w:eastAsia="宋体" w:cs="宋体"/>
                <w:snapToGrid w:val="0"/>
                <w:color w:val="0000FF"/>
                <w:kern w:val="0"/>
                <w:szCs w:val="20"/>
              </w:rPr>
            </w:pPr>
            <w:r>
              <w:rPr>
                <w:rFonts w:hint="eastAsia" w:ascii="Times New Roman" w:hAnsi="Times New Roman" w:eastAsia="宋体" w:cs="宋体"/>
                <w:snapToGrid w:val="0"/>
                <w:color w:val="0000FF"/>
                <w:kern w:val="0"/>
                <w:szCs w:val="20"/>
              </w:rPr>
              <w:t>最大半宽m</w:t>
            </w:r>
          </w:p>
        </w:tc>
        <w:tc>
          <w:tcPr>
            <w:tcW w:w="767" w:type="pct"/>
            <w:tcBorders>
              <w:top w:val="single" w:color="auto" w:sz="4" w:space="0"/>
              <w:left w:val="single" w:color="auto" w:sz="4" w:space="0"/>
              <w:bottom w:val="single" w:color="auto" w:sz="4" w:space="0"/>
              <w:right w:val="single" w:color="auto" w:sz="4" w:space="0"/>
            </w:tcBorders>
            <w:noWrap w:val="0"/>
            <w:vAlign w:val="center"/>
          </w:tcPr>
          <w:p w14:paraId="1AC9A767">
            <w:pPr>
              <w:adjustRightInd w:val="0"/>
              <w:spacing w:line="240" w:lineRule="auto"/>
              <w:jc w:val="center"/>
              <w:textAlignment w:val="baseline"/>
              <w:rPr>
                <w:rFonts w:ascii="Times New Roman" w:hAnsi="Times New Roman" w:eastAsia="宋体" w:cs="宋体"/>
                <w:snapToGrid w:val="0"/>
                <w:color w:val="0000FF"/>
                <w:kern w:val="0"/>
                <w:szCs w:val="20"/>
              </w:rPr>
            </w:pPr>
            <w:r>
              <w:rPr>
                <w:rFonts w:hint="eastAsia" w:ascii="Times New Roman" w:hAnsi="Times New Roman" w:eastAsia="宋体" w:cs="宋体"/>
                <w:snapToGrid w:val="0"/>
                <w:color w:val="0000FF"/>
                <w:kern w:val="0"/>
                <w:szCs w:val="20"/>
              </w:rPr>
              <w:t>最大半宽对应距离m</w:t>
            </w:r>
          </w:p>
        </w:tc>
      </w:tr>
      <w:tr w14:paraId="7271356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4" w:type="pct"/>
            <w:vMerge w:val="restart"/>
            <w:tcBorders>
              <w:top w:val="single" w:color="auto" w:sz="4" w:space="0"/>
              <w:left w:val="single" w:color="auto" w:sz="4" w:space="0"/>
              <w:bottom w:val="single" w:color="auto" w:sz="4" w:space="0"/>
              <w:right w:val="single" w:color="auto" w:sz="4" w:space="0"/>
            </w:tcBorders>
            <w:noWrap w:val="0"/>
            <w:vAlign w:val="center"/>
          </w:tcPr>
          <w:p w14:paraId="33C75873">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最不利气象条件</w:t>
            </w:r>
          </w:p>
        </w:tc>
        <w:tc>
          <w:tcPr>
            <w:tcW w:w="403" w:type="pct"/>
            <w:vMerge w:val="restart"/>
            <w:tcBorders>
              <w:top w:val="single" w:color="auto" w:sz="4" w:space="0"/>
              <w:left w:val="single" w:color="auto" w:sz="4" w:space="0"/>
              <w:bottom w:val="single" w:color="auto" w:sz="4" w:space="0"/>
              <w:right w:val="single" w:color="auto" w:sz="4" w:space="0"/>
            </w:tcBorders>
            <w:noWrap w:val="0"/>
            <w:vAlign w:val="center"/>
          </w:tcPr>
          <w:p w14:paraId="72889853">
            <w:pPr>
              <w:adjustRightInd w:val="0"/>
              <w:snapToGrid w:val="0"/>
              <w:spacing w:line="240" w:lineRule="exact"/>
              <w:jc w:val="center"/>
              <w:rPr>
                <w:rFonts w:ascii="Times New Roman" w:hAnsi="Times New Roman" w:eastAsia="宋体" w:cs="宋体"/>
                <w:snapToGrid w:val="0"/>
                <w:color w:val="0000FF"/>
                <w:kern w:val="0"/>
                <w:szCs w:val="20"/>
              </w:rPr>
            </w:pPr>
            <w:r>
              <w:rPr>
                <w:rFonts w:ascii="Times New Roman" w:hAnsi="Times New Roman" w:eastAsia="宋体" w:cs="Times New Roman"/>
                <w:color w:val="0000FF"/>
                <w:szCs w:val="21"/>
              </w:rPr>
              <w:t>火灾</w:t>
            </w:r>
          </w:p>
        </w:tc>
        <w:tc>
          <w:tcPr>
            <w:tcW w:w="423" w:type="pct"/>
            <w:vMerge w:val="restart"/>
            <w:tcBorders>
              <w:top w:val="single" w:color="auto" w:sz="4" w:space="0"/>
              <w:left w:val="single" w:color="auto" w:sz="4" w:space="0"/>
              <w:bottom w:val="single" w:color="auto" w:sz="4" w:space="0"/>
              <w:right w:val="single" w:color="auto" w:sz="4" w:space="0"/>
            </w:tcBorders>
            <w:noWrap w:val="0"/>
            <w:vAlign w:val="center"/>
          </w:tcPr>
          <w:p w14:paraId="3E6AE239">
            <w:pPr>
              <w:adjustRightInd w:val="0"/>
              <w:snapToGrid w:val="0"/>
              <w:spacing w:line="240" w:lineRule="exact"/>
              <w:jc w:val="center"/>
              <w:rPr>
                <w:rFonts w:ascii="Times New Roman" w:hAnsi="Times New Roman" w:eastAsia="宋体" w:cs="宋体"/>
                <w:snapToGrid w:val="0"/>
                <w:color w:val="0000FF"/>
                <w:kern w:val="0"/>
                <w:szCs w:val="20"/>
              </w:rPr>
            </w:pPr>
            <w:r>
              <w:rPr>
                <w:rFonts w:hint="eastAsia" w:ascii="Times New Roman" w:hAnsi="Times New Roman" w:eastAsia="宋体" w:cs="Times New Roman"/>
                <w:color w:val="0000FF"/>
                <w:szCs w:val="21"/>
              </w:rPr>
              <w:t>漆类发生火灾</w:t>
            </w:r>
          </w:p>
        </w:tc>
        <w:tc>
          <w:tcPr>
            <w:tcW w:w="298" w:type="pct"/>
            <w:vMerge w:val="restart"/>
            <w:tcBorders>
              <w:top w:val="single" w:color="auto" w:sz="4" w:space="0"/>
              <w:left w:val="single" w:color="auto" w:sz="4" w:space="0"/>
              <w:bottom w:val="single" w:color="auto" w:sz="4" w:space="0"/>
              <w:right w:val="single" w:color="auto" w:sz="4" w:space="0"/>
            </w:tcBorders>
            <w:noWrap w:val="0"/>
            <w:vAlign w:val="center"/>
          </w:tcPr>
          <w:p w14:paraId="19BED0A1">
            <w:pPr>
              <w:adjustRightInd w:val="0"/>
              <w:snapToGrid w:val="0"/>
              <w:spacing w:line="240" w:lineRule="exact"/>
              <w:jc w:val="center"/>
              <w:rPr>
                <w:rFonts w:ascii="Times New Roman" w:hAnsi="Times New Roman" w:eastAsia="宋体" w:cs="宋体"/>
                <w:snapToGrid w:val="0"/>
                <w:color w:val="0000FF"/>
                <w:kern w:val="0"/>
                <w:szCs w:val="20"/>
              </w:rPr>
            </w:pPr>
            <w:r>
              <w:rPr>
                <w:rFonts w:ascii="Times New Roman" w:hAnsi="Times New Roman" w:eastAsia="宋体" w:cs="Times New Roman"/>
                <w:color w:val="0000FF"/>
                <w:szCs w:val="21"/>
              </w:rPr>
              <w:t>CO</w:t>
            </w:r>
          </w:p>
        </w:tc>
        <w:tc>
          <w:tcPr>
            <w:tcW w:w="1144" w:type="pct"/>
            <w:tcBorders>
              <w:top w:val="single" w:color="auto" w:sz="4" w:space="0"/>
              <w:left w:val="single" w:color="auto" w:sz="4" w:space="0"/>
              <w:bottom w:val="single" w:color="auto" w:sz="4" w:space="0"/>
              <w:right w:val="single" w:color="auto" w:sz="4" w:space="0"/>
            </w:tcBorders>
            <w:noWrap w:val="0"/>
            <w:vAlign w:val="center"/>
          </w:tcPr>
          <w:p w14:paraId="3ABDAB15">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毒性终点浓度-1（</w:t>
            </w:r>
            <w:r>
              <w:rPr>
                <w:rFonts w:hint="eastAsia" w:ascii="Times New Roman" w:hAnsi="Times New Roman" w:eastAsia="宋体" w:cs="宋体"/>
                <w:snapToGrid w:val="0"/>
                <w:color w:val="0000FF"/>
                <w:kern w:val="0"/>
                <w:szCs w:val="20"/>
              </w:rPr>
              <w:t>380</w:t>
            </w:r>
            <w:r>
              <w:rPr>
                <w:rFonts w:ascii="Times New Roman" w:hAnsi="Times New Roman" w:eastAsia="宋体" w:cs="宋体"/>
                <w:snapToGrid w:val="0"/>
                <w:color w:val="0000FF"/>
                <w:kern w:val="0"/>
                <w:szCs w:val="20"/>
              </w:rPr>
              <w:t>mg/m</w:t>
            </w:r>
            <w:r>
              <w:rPr>
                <w:rFonts w:ascii="Times New Roman" w:hAnsi="Times New Roman" w:eastAsia="宋体" w:cs="宋体"/>
                <w:snapToGrid w:val="0"/>
                <w:color w:val="0000FF"/>
                <w:kern w:val="0"/>
                <w:szCs w:val="20"/>
                <w:vertAlign w:val="superscript"/>
              </w:rPr>
              <w:t>3</w:t>
            </w:r>
            <w:r>
              <w:rPr>
                <w:rFonts w:ascii="Times New Roman" w:hAnsi="Times New Roman" w:eastAsia="宋体" w:cs="宋体"/>
                <w:snapToGrid w:val="0"/>
                <w:color w:val="0000FF"/>
                <w:kern w:val="0"/>
                <w:szCs w:val="20"/>
              </w:rPr>
              <w:t>）</w:t>
            </w:r>
          </w:p>
        </w:tc>
        <w:tc>
          <w:tcPr>
            <w:tcW w:w="764" w:type="pct"/>
            <w:tcBorders>
              <w:top w:val="single" w:color="auto" w:sz="4" w:space="0"/>
              <w:left w:val="single" w:color="auto" w:sz="4" w:space="0"/>
              <w:bottom w:val="single" w:color="auto" w:sz="4" w:space="0"/>
              <w:right w:val="single" w:color="auto" w:sz="4" w:space="0"/>
            </w:tcBorders>
            <w:noWrap w:val="0"/>
            <w:vAlign w:val="center"/>
          </w:tcPr>
          <w:p w14:paraId="309D9DF2">
            <w:pPr>
              <w:adjustRightInd w:val="0"/>
              <w:spacing w:line="240" w:lineRule="auto"/>
              <w:jc w:val="center"/>
              <w:textAlignment w:val="baseline"/>
              <w:rPr>
                <w:rFonts w:hint="default" w:ascii="Times New Roman" w:hAnsi="Times New Roman" w:eastAsia="宋体" w:cs="宋体"/>
                <w:snapToGrid w:val="0"/>
                <w:color w:val="0000FF"/>
                <w:kern w:val="0"/>
                <w:szCs w:val="20"/>
                <w:lang w:val="en-US" w:eastAsia="zh-CN"/>
              </w:rPr>
            </w:pPr>
            <w:r>
              <w:rPr>
                <w:rFonts w:hint="eastAsia" w:ascii="Times New Roman" w:hAnsi="Times New Roman" w:eastAsia="宋体" w:cs="宋体"/>
                <w:snapToGrid w:val="0"/>
                <w:color w:val="0000FF"/>
                <w:kern w:val="0"/>
                <w:szCs w:val="20"/>
                <w:lang w:val="en-US" w:eastAsia="zh-CN"/>
              </w:rPr>
              <w:t>260</w:t>
            </w:r>
          </w:p>
        </w:tc>
        <w:tc>
          <w:tcPr>
            <w:tcW w:w="764" w:type="pct"/>
            <w:tcBorders>
              <w:top w:val="single" w:color="auto" w:sz="4" w:space="0"/>
              <w:left w:val="single" w:color="auto" w:sz="4" w:space="0"/>
              <w:bottom w:val="single" w:color="auto" w:sz="4" w:space="0"/>
              <w:right w:val="single" w:color="auto" w:sz="4" w:space="0"/>
            </w:tcBorders>
            <w:noWrap w:val="0"/>
            <w:vAlign w:val="center"/>
          </w:tcPr>
          <w:p w14:paraId="08E6A6DF">
            <w:pPr>
              <w:adjustRightInd w:val="0"/>
              <w:spacing w:line="240" w:lineRule="auto"/>
              <w:jc w:val="center"/>
              <w:textAlignment w:val="baseline"/>
              <w:rPr>
                <w:rFonts w:hint="eastAsia" w:ascii="Times New Roman" w:hAnsi="Times New Roman" w:eastAsia="宋体" w:cs="宋体"/>
                <w:snapToGrid w:val="0"/>
                <w:color w:val="0000FF"/>
                <w:kern w:val="0"/>
                <w:szCs w:val="20"/>
                <w:lang w:eastAsia="zh-CN"/>
              </w:rPr>
            </w:pPr>
            <w:r>
              <w:rPr>
                <w:rFonts w:hint="eastAsia" w:ascii="Times New Roman" w:hAnsi="Times New Roman" w:eastAsia="宋体" w:cs="宋体"/>
                <w:snapToGrid w:val="0"/>
                <w:color w:val="0000FF"/>
                <w:kern w:val="0"/>
                <w:szCs w:val="20"/>
                <w:lang w:val="en-US" w:eastAsia="zh-CN"/>
              </w:rPr>
              <w:t>7</w:t>
            </w:r>
          </w:p>
        </w:tc>
        <w:tc>
          <w:tcPr>
            <w:tcW w:w="767" w:type="pct"/>
            <w:tcBorders>
              <w:top w:val="single" w:color="auto" w:sz="4" w:space="0"/>
              <w:left w:val="single" w:color="auto" w:sz="4" w:space="0"/>
              <w:bottom w:val="single" w:color="auto" w:sz="4" w:space="0"/>
              <w:right w:val="single" w:color="auto" w:sz="4" w:space="0"/>
            </w:tcBorders>
            <w:noWrap w:val="0"/>
            <w:vAlign w:val="center"/>
          </w:tcPr>
          <w:p w14:paraId="584FEFD3">
            <w:pPr>
              <w:adjustRightInd w:val="0"/>
              <w:spacing w:line="240" w:lineRule="auto"/>
              <w:jc w:val="center"/>
              <w:textAlignment w:val="baseline"/>
              <w:rPr>
                <w:rFonts w:hint="default" w:ascii="Times New Roman" w:hAnsi="Times New Roman" w:eastAsia="宋体" w:cs="宋体"/>
                <w:snapToGrid w:val="0"/>
                <w:color w:val="0000FF"/>
                <w:kern w:val="0"/>
                <w:szCs w:val="20"/>
                <w:lang w:val="en-US" w:eastAsia="zh-CN"/>
              </w:rPr>
            </w:pPr>
            <w:r>
              <w:rPr>
                <w:rFonts w:hint="eastAsia" w:ascii="Times New Roman" w:hAnsi="Times New Roman" w:eastAsia="宋体" w:cs="宋体"/>
                <w:snapToGrid w:val="0"/>
                <w:color w:val="0000FF"/>
                <w:kern w:val="0"/>
                <w:szCs w:val="20"/>
                <w:lang w:val="en-US" w:eastAsia="zh-CN"/>
              </w:rPr>
              <w:t>170</w:t>
            </w:r>
          </w:p>
        </w:tc>
      </w:tr>
      <w:tr w14:paraId="4705B9F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4" w:type="pct"/>
            <w:vMerge w:val="continue"/>
            <w:tcBorders>
              <w:top w:val="single" w:color="auto" w:sz="4" w:space="0"/>
              <w:left w:val="single" w:color="auto" w:sz="4" w:space="0"/>
              <w:bottom w:val="single" w:color="auto" w:sz="4" w:space="0"/>
              <w:right w:val="single" w:color="auto" w:sz="4" w:space="0"/>
            </w:tcBorders>
            <w:noWrap w:val="0"/>
            <w:vAlign w:val="center"/>
          </w:tcPr>
          <w:p w14:paraId="27FBB351">
            <w:pPr>
              <w:adjustRightInd w:val="0"/>
              <w:spacing w:line="240" w:lineRule="auto"/>
              <w:jc w:val="center"/>
              <w:textAlignment w:val="baseline"/>
              <w:rPr>
                <w:rFonts w:ascii="Times New Roman" w:hAnsi="Times New Roman" w:eastAsia="宋体" w:cs="宋体"/>
                <w:snapToGrid w:val="0"/>
                <w:color w:val="0000FF"/>
                <w:kern w:val="0"/>
                <w:szCs w:val="20"/>
              </w:rPr>
            </w:pPr>
          </w:p>
        </w:tc>
        <w:tc>
          <w:tcPr>
            <w:tcW w:w="403" w:type="pct"/>
            <w:vMerge w:val="continue"/>
            <w:tcBorders>
              <w:top w:val="single" w:color="auto" w:sz="4" w:space="0"/>
              <w:left w:val="single" w:color="auto" w:sz="4" w:space="0"/>
              <w:bottom w:val="single" w:color="auto" w:sz="4" w:space="0"/>
              <w:right w:val="single" w:color="auto" w:sz="4" w:space="0"/>
            </w:tcBorders>
            <w:noWrap w:val="0"/>
            <w:vAlign w:val="center"/>
          </w:tcPr>
          <w:p w14:paraId="77102B73">
            <w:pPr>
              <w:adjustRightInd w:val="0"/>
              <w:spacing w:line="240" w:lineRule="auto"/>
              <w:jc w:val="center"/>
              <w:textAlignment w:val="baseline"/>
              <w:rPr>
                <w:rFonts w:ascii="Times New Roman" w:hAnsi="Times New Roman" w:eastAsia="宋体" w:cs="宋体"/>
                <w:snapToGrid w:val="0"/>
                <w:color w:val="0000FF"/>
                <w:kern w:val="0"/>
                <w:szCs w:val="20"/>
              </w:rPr>
            </w:pPr>
          </w:p>
        </w:tc>
        <w:tc>
          <w:tcPr>
            <w:tcW w:w="423" w:type="pct"/>
            <w:vMerge w:val="continue"/>
            <w:tcBorders>
              <w:top w:val="single" w:color="auto" w:sz="4" w:space="0"/>
              <w:left w:val="single" w:color="auto" w:sz="4" w:space="0"/>
              <w:bottom w:val="single" w:color="auto" w:sz="4" w:space="0"/>
              <w:right w:val="single" w:color="auto" w:sz="4" w:space="0"/>
            </w:tcBorders>
            <w:noWrap w:val="0"/>
            <w:vAlign w:val="center"/>
          </w:tcPr>
          <w:p w14:paraId="05166023">
            <w:pPr>
              <w:adjustRightInd w:val="0"/>
              <w:spacing w:line="240" w:lineRule="auto"/>
              <w:jc w:val="center"/>
              <w:textAlignment w:val="baseline"/>
              <w:rPr>
                <w:rFonts w:ascii="Times New Roman" w:hAnsi="Times New Roman" w:eastAsia="宋体" w:cs="宋体"/>
                <w:snapToGrid w:val="0"/>
                <w:color w:val="0000FF"/>
                <w:kern w:val="0"/>
                <w:szCs w:val="20"/>
              </w:rPr>
            </w:pPr>
          </w:p>
        </w:tc>
        <w:tc>
          <w:tcPr>
            <w:tcW w:w="298" w:type="pct"/>
            <w:vMerge w:val="continue"/>
            <w:tcBorders>
              <w:top w:val="single" w:color="auto" w:sz="4" w:space="0"/>
              <w:left w:val="single" w:color="auto" w:sz="4" w:space="0"/>
              <w:bottom w:val="single" w:color="auto" w:sz="4" w:space="0"/>
              <w:right w:val="single" w:color="auto" w:sz="4" w:space="0"/>
            </w:tcBorders>
            <w:noWrap w:val="0"/>
            <w:vAlign w:val="center"/>
          </w:tcPr>
          <w:p w14:paraId="638A8A34">
            <w:pPr>
              <w:adjustRightInd w:val="0"/>
              <w:spacing w:line="240" w:lineRule="auto"/>
              <w:jc w:val="center"/>
              <w:textAlignment w:val="baseline"/>
              <w:rPr>
                <w:rFonts w:ascii="Times New Roman" w:hAnsi="Times New Roman" w:eastAsia="宋体" w:cs="宋体"/>
                <w:snapToGrid w:val="0"/>
                <w:color w:val="0000FF"/>
                <w:kern w:val="0"/>
                <w:szCs w:val="20"/>
              </w:rPr>
            </w:pPr>
          </w:p>
        </w:tc>
        <w:tc>
          <w:tcPr>
            <w:tcW w:w="1144" w:type="pct"/>
            <w:tcBorders>
              <w:top w:val="single" w:color="auto" w:sz="4" w:space="0"/>
              <w:left w:val="single" w:color="auto" w:sz="4" w:space="0"/>
              <w:bottom w:val="single" w:color="auto" w:sz="4" w:space="0"/>
              <w:right w:val="single" w:color="auto" w:sz="4" w:space="0"/>
            </w:tcBorders>
            <w:noWrap w:val="0"/>
            <w:vAlign w:val="center"/>
          </w:tcPr>
          <w:p w14:paraId="094BFF7F">
            <w:pPr>
              <w:adjustRightInd w:val="0"/>
              <w:spacing w:line="240" w:lineRule="auto"/>
              <w:jc w:val="center"/>
              <w:textAlignment w:val="baseline"/>
              <w:rPr>
                <w:rFonts w:ascii="Times New Roman" w:hAnsi="Times New Roman" w:eastAsia="宋体" w:cs="宋体"/>
                <w:snapToGrid w:val="0"/>
                <w:color w:val="0000FF"/>
                <w:kern w:val="0"/>
                <w:szCs w:val="20"/>
              </w:rPr>
            </w:pPr>
            <w:r>
              <w:rPr>
                <w:rFonts w:ascii="Times New Roman" w:hAnsi="Times New Roman" w:eastAsia="宋体" w:cs="宋体"/>
                <w:snapToGrid w:val="0"/>
                <w:color w:val="0000FF"/>
                <w:kern w:val="0"/>
                <w:szCs w:val="20"/>
              </w:rPr>
              <w:t>毒性终点浓度-2（</w:t>
            </w:r>
            <w:r>
              <w:rPr>
                <w:rFonts w:hint="eastAsia" w:ascii="Times New Roman" w:hAnsi="Times New Roman" w:eastAsia="宋体" w:cs="宋体"/>
                <w:snapToGrid w:val="0"/>
                <w:color w:val="0000FF"/>
                <w:kern w:val="0"/>
                <w:szCs w:val="20"/>
              </w:rPr>
              <w:t>95</w:t>
            </w:r>
            <w:r>
              <w:rPr>
                <w:rFonts w:ascii="Times New Roman" w:hAnsi="Times New Roman" w:eastAsia="宋体" w:cs="宋体"/>
                <w:snapToGrid w:val="0"/>
                <w:color w:val="0000FF"/>
                <w:kern w:val="0"/>
                <w:szCs w:val="20"/>
              </w:rPr>
              <w:t>mg/m</w:t>
            </w:r>
            <w:r>
              <w:rPr>
                <w:rFonts w:ascii="Times New Roman" w:hAnsi="Times New Roman" w:eastAsia="宋体" w:cs="宋体"/>
                <w:snapToGrid w:val="0"/>
                <w:color w:val="0000FF"/>
                <w:kern w:val="0"/>
                <w:szCs w:val="20"/>
                <w:vertAlign w:val="superscript"/>
              </w:rPr>
              <w:t>3</w:t>
            </w:r>
            <w:r>
              <w:rPr>
                <w:rFonts w:ascii="Times New Roman" w:hAnsi="Times New Roman" w:eastAsia="宋体" w:cs="宋体"/>
                <w:snapToGrid w:val="0"/>
                <w:color w:val="0000FF"/>
                <w:kern w:val="0"/>
                <w:szCs w:val="20"/>
              </w:rPr>
              <w:t>）</w:t>
            </w:r>
          </w:p>
        </w:tc>
        <w:tc>
          <w:tcPr>
            <w:tcW w:w="764" w:type="pct"/>
            <w:tcBorders>
              <w:top w:val="single" w:color="auto" w:sz="4" w:space="0"/>
              <w:left w:val="single" w:color="auto" w:sz="4" w:space="0"/>
              <w:bottom w:val="single" w:color="auto" w:sz="4" w:space="0"/>
              <w:right w:val="single" w:color="auto" w:sz="4" w:space="0"/>
            </w:tcBorders>
            <w:noWrap w:val="0"/>
            <w:vAlign w:val="center"/>
          </w:tcPr>
          <w:p w14:paraId="023A6D14">
            <w:pPr>
              <w:adjustRightInd w:val="0"/>
              <w:spacing w:line="240" w:lineRule="auto"/>
              <w:jc w:val="center"/>
              <w:textAlignment w:val="baseline"/>
              <w:rPr>
                <w:rFonts w:hint="default" w:ascii="Times New Roman" w:hAnsi="Times New Roman" w:eastAsia="宋体" w:cs="宋体"/>
                <w:snapToGrid w:val="0"/>
                <w:color w:val="0000FF"/>
                <w:kern w:val="0"/>
                <w:szCs w:val="20"/>
                <w:lang w:val="en-US" w:eastAsia="zh-CN"/>
              </w:rPr>
            </w:pPr>
            <w:r>
              <w:rPr>
                <w:rFonts w:hint="eastAsia" w:ascii="Times New Roman" w:hAnsi="Times New Roman" w:eastAsia="宋体" w:cs="宋体"/>
                <w:snapToGrid w:val="0"/>
                <w:color w:val="0000FF"/>
                <w:kern w:val="0"/>
                <w:szCs w:val="20"/>
                <w:lang w:val="en-US" w:eastAsia="zh-CN"/>
              </w:rPr>
              <w:t>720</w:t>
            </w:r>
          </w:p>
        </w:tc>
        <w:tc>
          <w:tcPr>
            <w:tcW w:w="764" w:type="pct"/>
            <w:tcBorders>
              <w:top w:val="single" w:color="auto" w:sz="4" w:space="0"/>
              <w:left w:val="single" w:color="auto" w:sz="4" w:space="0"/>
              <w:bottom w:val="single" w:color="auto" w:sz="4" w:space="0"/>
              <w:right w:val="single" w:color="auto" w:sz="4" w:space="0"/>
            </w:tcBorders>
            <w:noWrap w:val="0"/>
            <w:vAlign w:val="center"/>
          </w:tcPr>
          <w:p w14:paraId="6CFF18DD">
            <w:pPr>
              <w:adjustRightInd w:val="0"/>
              <w:spacing w:line="240" w:lineRule="auto"/>
              <w:jc w:val="center"/>
              <w:textAlignment w:val="baseline"/>
              <w:rPr>
                <w:rFonts w:hint="default" w:ascii="Times New Roman" w:hAnsi="Times New Roman" w:eastAsia="宋体" w:cs="宋体"/>
                <w:snapToGrid w:val="0"/>
                <w:color w:val="0000FF"/>
                <w:kern w:val="0"/>
                <w:szCs w:val="20"/>
                <w:lang w:val="en-US" w:eastAsia="zh-CN"/>
              </w:rPr>
            </w:pPr>
            <w:r>
              <w:rPr>
                <w:rFonts w:hint="eastAsia" w:ascii="Times New Roman" w:hAnsi="Times New Roman" w:eastAsia="宋体" w:cs="宋体"/>
                <w:snapToGrid w:val="0"/>
                <w:color w:val="0000FF"/>
                <w:kern w:val="0"/>
                <w:szCs w:val="20"/>
                <w:lang w:val="en-US" w:eastAsia="zh-CN"/>
              </w:rPr>
              <w:t>20</w:t>
            </w:r>
          </w:p>
        </w:tc>
        <w:tc>
          <w:tcPr>
            <w:tcW w:w="767" w:type="pct"/>
            <w:tcBorders>
              <w:top w:val="single" w:color="auto" w:sz="4" w:space="0"/>
              <w:left w:val="single" w:color="auto" w:sz="4" w:space="0"/>
              <w:bottom w:val="single" w:color="auto" w:sz="4" w:space="0"/>
              <w:right w:val="single" w:color="auto" w:sz="4" w:space="0"/>
            </w:tcBorders>
            <w:noWrap w:val="0"/>
            <w:vAlign w:val="center"/>
          </w:tcPr>
          <w:p w14:paraId="56F71207">
            <w:pPr>
              <w:adjustRightInd w:val="0"/>
              <w:spacing w:line="240" w:lineRule="auto"/>
              <w:jc w:val="center"/>
              <w:textAlignment w:val="baseline"/>
              <w:rPr>
                <w:rFonts w:hint="default" w:ascii="Times New Roman" w:hAnsi="Times New Roman" w:eastAsia="宋体" w:cs="宋体"/>
                <w:snapToGrid w:val="0"/>
                <w:color w:val="0000FF"/>
                <w:kern w:val="0"/>
                <w:szCs w:val="20"/>
                <w:lang w:val="en-US" w:eastAsia="zh-CN"/>
              </w:rPr>
            </w:pPr>
            <w:r>
              <w:rPr>
                <w:rFonts w:hint="eastAsia" w:ascii="Times New Roman" w:hAnsi="Times New Roman" w:eastAsia="宋体" w:cs="宋体"/>
                <w:snapToGrid w:val="0"/>
                <w:color w:val="0000FF"/>
                <w:kern w:val="0"/>
                <w:szCs w:val="20"/>
                <w:lang w:val="en-US" w:eastAsia="zh-CN"/>
              </w:rPr>
              <w:t>340</w:t>
            </w:r>
          </w:p>
        </w:tc>
      </w:tr>
    </w:tbl>
    <w:p w14:paraId="29FC62F8">
      <w:pPr>
        <w:widowControl w:val="0"/>
        <w:spacing w:line="360" w:lineRule="auto"/>
        <w:ind w:firstLine="480" w:firstLineChars="200"/>
        <w:jc w:val="both"/>
        <w:rPr>
          <w:rFonts w:hint="default" w:ascii="Times New Roman" w:hAnsi="Times New Roman" w:eastAsia="宋体" w:cs="Times New Roman"/>
          <w:color w:val="0000FF"/>
          <w:kern w:val="2"/>
          <w:sz w:val="24"/>
          <w:szCs w:val="22"/>
          <w:lang w:val="en-US" w:eastAsia="zh-CN" w:bidi="ar-SA"/>
        </w:rPr>
      </w:pPr>
      <w:r>
        <w:rPr>
          <w:rFonts w:hint="default" w:ascii="Times New Roman" w:hAnsi="Times New Roman" w:eastAsia="宋体" w:cs="Times New Roman"/>
          <w:color w:val="0000FF"/>
          <w:kern w:val="2"/>
          <w:sz w:val="24"/>
          <w:szCs w:val="22"/>
          <w:lang w:val="en-US" w:eastAsia="zh-CN" w:bidi="ar-SA"/>
        </w:rPr>
        <w:t>（2）下风向不同距离处最大浓度及对应半宽</w:t>
      </w:r>
    </w:p>
    <w:p w14:paraId="7CE3EDB5">
      <w:pPr>
        <w:spacing w:line="360" w:lineRule="auto"/>
        <w:ind w:firstLine="480" w:firstLineChars="200"/>
        <w:rPr>
          <w:rFonts w:hint="default" w:ascii="Times New Roman" w:hAnsi="Times New Roman" w:eastAsia="宋体" w:cs="Times New Roman"/>
          <w:bCs/>
          <w:color w:val="0000FF"/>
          <w:sz w:val="24"/>
        </w:rPr>
      </w:pPr>
      <w:r>
        <w:rPr>
          <w:rFonts w:hint="default" w:ascii="Times New Roman" w:hAnsi="Times New Roman" w:eastAsia="宋体" w:cs="Times New Roman"/>
          <w:bCs/>
          <w:color w:val="0000FF"/>
          <w:sz w:val="24"/>
          <w:szCs w:val="22"/>
        </w:rPr>
        <w:t>在最不利气象条件下，</w:t>
      </w:r>
      <w:r>
        <w:rPr>
          <w:rFonts w:hint="default" w:ascii="Times New Roman" w:hAnsi="Times New Roman" w:eastAsia="宋体" w:cs="Times New Roman"/>
          <w:bCs/>
          <w:color w:val="0000FF"/>
          <w:sz w:val="24"/>
        </w:rPr>
        <w:t>下风向不同距离处CO的最大浓度及对应半宽分别见表</w:t>
      </w:r>
      <w:r>
        <w:rPr>
          <w:rFonts w:hint="eastAsia" w:ascii="Times New Roman" w:hAnsi="Times New Roman" w:eastAsia="黑体" w:cs="Times New Roman"/>
          <w:bCs/>
          <w:color w:val="0000FF"/>
          <w:sz w:val="24"/>
          <w:szCs w:val="32"/>
          <w:lang w:val="en-US" w:eastAsia="zh-CN"/>
        </w:rPr>
        <w:t>4.1-5</w:t>
      </w:r>
      <w:r>
        <w:rPr>
          <w:rFonts w:hint="default" w:ascii="Times New Roman" w:hAnsi="Times New Roman" w:eastAsia="宋体" w:cs="Times New Roman"/>
          <w:bCs/>
          <w:color w:val="0000FF"/>
          <w:sz w:val="24"/>
        </w:rPr>
        <w:t>。</w:t>
      </w:r>
    </w:p>
    <w:p w14:paraId="741480DB">
      <w:pPr>
        <w:spacing w:line="240" w:lineRule="auto"/>
        <w:ind w:firstLine="482" w:firstLineChars="200"/>
        <w:jc w:val="center"/>
        <w:rPr>
          <w:rFonts w:ascii="Times New Roman" w:hAnsi="Times New Roman" w:eastAsia="宋体" w:cs="Times New Roman"/>
          <w:b/>
          <w:color w:val="0000FF"/>
          <w:sz w:val="24"/>
          <w:szCs w:val="21"/>
        </w:rPr>
      </w:pPr>
      <w:r>
        <w:rPr>
          <w:rFonts w:ascii="Times New Roman" w:hAnsi="Times New Roman" w:eastAsia="宋体" w:cs="Times New Roman"/>
          <w:b/>
          <w:color w:val="0000FF"/>
          <w:sz w:val="24"/>
          <w:szCs w:val="21"/>
        </w:rPr>
        <w:t>表</w:t>
      </w:r>
      <w:r>
        <w:rPr>
          <w:rFonts w:hint="eastAsia" w:ascii="Times New Roman" w:hAnsi="Times New Roman" w:eastAsia="宋体" w:cs="Times New Roman"/>
          <w:b/>
          <w:color w:val="0000FF"/>
          <w:sz w:val="24"/>
          <w:szCs w:val="21"/>
          <w:lang w:val="en-US" w:eastAsia="zh-CN"/>
        </w:rPr>
        <w:t>4.1-5</w:t>
      </w:r>
      <w:r>
        <w:rPr>
          <w:rFonts w:ascii="Times New Roman" w:hAnsi="Times New Roman" w:eastAsia="宋体" w:cs="Times New Roman"/>
          <w:b/>
          <w:color w:val="0000FF"/>
          <w:sz w:val="24"/>
          <w:szCs w:val="21"/>
        </w:rPr>
        <w:t xml:space="preserve">  下风向不同距离处</w:t>
      </w:r>
      <w:r>
        <w:rPr>
          <w:rFonts w:hint="eastAsia" w:ascii="Times New Roman" w:hAnsi="Times New Roman" w:eastAsia="宋体" w:cs="Times New Roman"/>
          <w:b/>
          <w:color w:val="0000FF"/>
          <w:sz w:val="24"/>
          <w:szCs w:val="21"/>
        </w:rPr>
        <w:t>CO</w:t>
      </w:r>
      <w:r>
        <w:rPr>
          <w:rFonts w:ascii="Times New Roman" w:hAnsi="Times New Roman" w:eastAsia="宋体" w:cs="Times New Roman"/>
          <w:b/>
          <w:color w:val="0000FF"/>
          <w:sz w:val="24"/>
          <w:szCs w:val="21"/>
        </w:rPr>
        <w:t>的最大浓度及对应半宽一览表</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583"/>
        <w:gridCol w:w="1172"/>
        <w:gridCol w:w="1956"/>
        <w:gridCol w:w="2403"/>
        <w:gridCol w:w="2403"/>
      </w:tblGrid>
      <w:tr w14:paraId="189CE56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342" w:type="pct"/>
            <w:noWrap w:val="0"/>
            <w:vAlign w:val="center"/>
          </w:tcPr>
          <w:p w14:paraId="5C3113B4">
            <w:pPr>
              <w:adjustRightInd w:val="0"/>
              <w:spacing w:line="240" w:lineRule="auto"/>
              <w:jc w:val="center"/>
              <w:textAlignment w:val="baseline"/>
              <w:rPr>
                <w:rFonts w:ascii="Times New Roman" w:hAnsi="Times New Roman" w:eastAsia="宋体" w:cs="Times New Roman"/>
                <w:snapToGrid w:val="0"/>
                <w:color w:val="0000FF"/>
                <w:kern w:val="0"/>
                <w:szCs w:val="20"/>
              </w:rPr>
            </w:pPr>
            <w:r>
              <w:rPr>
                <w:rFonts w:ascii="Times New Roman" w:hAnsi="Times New Roman" w:eastAsia="宋体" w:cs="Times New Roman"/>
                <w:snapToGrid w:val="0"/>
                <w:color w:val="0000FF"/>
                <w:kern w:val="0"/>
                <w:szCs w:val="20"/>
              </w:rPr>
              <w:t>序号</w:t>
            </w:r>
          </w:p>
        </w:tc>
        <w:tc>
          <w:tcPr>
            <w:tcW w:w="688" w:type="pct"/>
            <w:noWrap w:val="0"/>
            <w:vAlign w:val="center"/>
          </w:tcPr>
          <w:p w14:paraId="16F9E865">
            <w:pPr>
              <w:adjustRightInd w:val="0"/>
              <w:spacing w:line="240" w:lineRule="auto"/>
              <w:jc w:val="center"/>
              <w:textAlignment w:val="baseline"/>
              <w:rPr>
                <w:rFonts w:ascii="Times New Roman" w:hAnsi="Times New Roman" w:eastAsia="宋体" w:cs="Times New Roman"/>
                <w:snapToGrid w:val="0"/>
                <w:color w:val="0000FF"/>
                <w:kern w:val="0"/>
                <w:szCs w:val="20"/>
              </w:rPr>
            </w:pPr>
            <w:r>
              <w:rPr>
                <w:rFonts w:ascii="Times New Roman" w:hAnsi="Times New Roman" w:eastAsia="宋体" w:cs="Times New Roman"/>
                <w:snapToGrid w:val="0"/>
                <w:color w:val="0000FF"/>
                <w:kern w:val="0"/>
                <w:szCs w:val="20"/>
              </w:rPr>
              <w:t>距离（m）</w:t>
            </w:r>
          </w:p>
        </w:tc>
        <w:tc>
          <w:tcPr>
            <w:tcW w:w="1148" w:type="pct"/>
            <w:noWrap w:val="0"/>
            <w:vAlign w:val="center"/>
          </w:tcPr>
          <w:p w14:paraId="696C543C">
            <w:pPr>
              <w:adjustRightInd w:val="0"/>
              <w:spacing w:line="240" w:lineRule="auto"/>
              <w:jc w:val="center"/>
              <w:textAlignment w:val="baseline"/>
              <w:rPr>
                <w:rFonts w:ascii="Times New Roman" w:hAnsi="Times New Roman" w:eastAsia="宋体" w:cs="Times New Roman"/>
                <w:snapToGrid w:val="0"/>
                <w:color w:val="0000FF"/>
                <w:kern w:val="0"/>
                <w:szCs w:val="20"/>
              </w:rPr>
            </w:pPr>
            <w:r>
              <w:rPr>
                <w:rFonts w:ascii="Times New Roman" w:hAnsi="Times New Roman" w:eastAsia="宋体" w:cs="Times New Roman"/>
                <w:snapToGrid w:val="0"/>
                <w:color w:val="0000FF"/>
                <w:kern w:val="0"/>
                <w:szCs w:val="20"/>
              </w:rPr>
              <w:t>最大浓度（mg/m</w:t>
            </w:r>
            <w:r>
              <w:rPr>
                <w:rFonts w:ascii="Times New Roman" w:hAnsi="Times New Roman" w:eastAsia="宋体" w:cs="Times New Roman"/>
                <w:snapToGrid w:val="0"/>
                <w:color w:val="0000FF"/>
                <w:kern w:val="0"/>
                <w:szCs w:val="20"/>
                <w:vertAlign w:val="superscript"/>
              </w:rPr>
              <w:t>3</w:t>
            </w:r>
            <w:r>
              <w:rPr>
                <w:rFonts w:ascii="Times New Roman" w:hAnsi="Times New Roman" w:eastAsia="宋体" w:cs="Times New Roman"/>
                <w:snapToGrid w:val="0"/>
                <w:color w:val="0000FF"/>
                <w:kern w:val="0"/>
                <w:szCs w:val="20"/>
              </w:rPr>
              <w:t>）</w:t>
            </w:r>
          </w:p>
        </w:tc>
        <w:tc>
          <w:tcPr>
            <w:tcW w:w="1410" w:type="pct"/>
            <w:noWrap w:val="0"/>
            <w:vAlign w:val="center"/>
          </w:tcPr>
          <w:p w14:paraId="4A9A2583">
            <w:pPr>
              <w:adjustRightInd w:val="0"/>
              <w:spacing w:line="240" w:lineRule="auto"/>
              <w:jc w:val="center"/>
              <w:textAlignment w:val="baseline"/>
              <w:rPr>
                <w:rFonts w:ascii="Times New Roman" w:hAnsi="Times New Roman" w:eastAsia="宋体" w:cs="Times New Roman"/>
                <w:snapToGrid w:val="0"/>
                <w:color w:val="0000FF"/>
                <w:kern w:val="0"/>
                <w:szCs w:val="20"/>
              </w:rPr>
            </w:pPr>
            <w:r>
              <w:rPr>
                <w:rFonts w:ascii="Times New Roman" w:hAnsi="Times New Roman" w:eastAsia="宋体" w:cs="Times New Roman"/>
                <w:snapToGrid w:val="0"/>
                <w:color w:val="0000FF"/>
                <w:kern w:val="0"/>
                <w:szCs w:val="20"/>
              </w:rPr>
              <w:t>阈值-2</w:t>
            </w:r>
            <w:r>
              <w:rPr>
                <w:rFonts w:ascii="Times New Roman" w:hAnsi="Times New Roman" w:eastAsia="宋体" w:cs="宋体"/>
                <w:snapToGrid w:val="0"/>
                <w:color w:val="0000FF"/>
                <w:kern w:val="0"/>
                <w:szCs w:val="20"/>
              </w:rPr>
              <w:t>（</w:t>
            </w:r>
            <w:r>
              <w:rPr>
                <w:rFonts w:hint="eastAsia" w:ascii="Times New Roman" w:hAnsi="Times New Roman" w:eastAsia="宋体" w:cs="宋体"/>
                <w:snapToGrid w:val="0"/>
                <w:color w:val="0000FF"/>
                <w:kern w:val="0"/>
                <w:szCs w:val="20"/>
              </w:rPr>
              <w:t>95</w:t>
            </w:r>
            <w:r>
              <w:rPr>
                <w:rFonts w:ascii="Times New Roman" w:hAnsi="Times New Roman" w:eastAsia="宋体" w:cs="宋体"/>
                <w:snapToGrid w:val="0"/>
                <w:color w:val="0000FF"/>
                <w:kern w:val="0"/>
                <w:szCs w:val="20"/>
              </w:rPr>
              <w:t>mg/m</w:t>
            </w:r>
            <w:r>
              <w:rPr>
                <w:rFonts w:ascii="Times New Roman" w:hAnsi="Times New Roman" w:eastAsia="宋体" w:cs="宋体"/>
                <w:snapToGrid w:val="0"/>
                <w:color w:val="0000FF"/>
                <w:kern w:val="0"/>
                <w:szCs w:val="20"/>
                <w:vertAlign w:val="superscript"/>
              </w:rPr>
              <w:t>3</w:t>
            </w:r>
            <w:r>
              <w:rPr>
                <w:rFonts w:ascii="Times New Roman" w:hAnsi="Times New Roman" w:eastAsia="宋体" w:cs="宋体"/>
                <w:snapToGrid w:val="0"/>
                <w:color w:val="0000FF"/>
                <w:kern w:val="0"/>
                <w:szCs w:val="20"/>
              </w:rPr>
              <w:t>）</w:t>
            </w:r>
            <w:r>
              <w:rPr>
                <w:rFonts w:ascii="Times New Roman" w:hAnsi="Times New Roman" w:eastAsia="宋体" w:cs="Times New Roman"/>
                <w:snapToGrid w:val="0"/>
                <w:color w:val="0000FF"/>
                <w:kern w:val="0"/>
                <w:szCs w:val="20"/>
              </w:rPr>
              <w:t>对应的半宽（m）</w:t>
            </w:r>
          </w:p>
        </w:tc>
        <w:tc>
          <w:tcPr>
            <w:tcW w:w="1410" w:type="pct"/>
            <w:noWrap w:val="0"/>
            <w:vAlign w:val="center"/>
          </w:tcPr>
          <w:p w14:paraId="2A500A6A">
            <w:pPr>
              <w:adjustRightInd w:val="0"/>
              <w:spacing w:line="240" w:lineRule="auto"/>
              <w:jc w:val="center"/>
              <w:textAlignment w:val="baseline"/>
              <w:rPr>
                <w:rFonts w:ascii="Times New Roman" w:hAnsi="Times New Roman" w:eastAsia="宋体" w:cs="Times New Roman"/>
                <w:snapToGrid w:val="0"/>
                <w:color w:val="0000FF"/>
                <w:kern w:val="0"/>
                <w:szCs w:val="20"/>
              </w:rPr>
            </w:pPr>
            <w:r>
              <w:rPr>
                <w:rFonts w:ascii="Times New Roman" w:hAnsi="Times New Roman" w:eastAsia="宋体" w:cs="Times New Roman"/>
                <w:snapToGrid w:val="0"/>
                <w:color w:val="0000FF"/>
                <w:kern w:val="0"/>
                <w:szCs w:val="20"/>
              </w:rPr>
              <w:t>阈值-1</w:t>
            </w:r>
            <w:r>
              <w:rPr>
                <w:rFonts w:ascii="Times New Roman" w:hAnsi="Times New Roman" w:eastAsia="宋体" w:cs="宋体"/>
                <w:snapToGrid w:val="0"/>
                <w:color w:val="0000FF"/>
                <w:kern w:val="0"/>
                <w:szCs w:val="20"/>
              </w:rPr>
              <w:t>（</w:t>
            </w:r>
            <w:r>
              <w:rPr>
                <w:rFonts w:hint="eastAsia" w:ascii="Times New Roman" w:hAnsi="Times New Roman" w:eastAsia="宋体" w:cs="宋体"/>
                <w:snapToGrid w:val="0"/>
                <w:color w:val="0000FF"/>
                <w:kern w:val="0"/>
                <w:szCs w:val="20"/>
              </w:rPr>
              <w:t>380</w:t>
            </w:r>
            <w:r>
              <w:rPr>
                <w:rFonts w:ascii="Times New Roman" w:hAnsi="Times New Roman" w:eastAsia="宋体" w:cs="宋体"/>
                <w:snapToGrid w:val="0"/>
                <w:color w:val="0000FF"/>
                <w:kern w:val="0"/>
                <w:szCs w:val="20"/>
              </w:rPr>
              <w:t>mg/m</w:t>
            </w:r>
            <w:r>
              <w:rPr>
                <w:rFonts w:ascii="Times New Roman" w:hAnsi="Times New Roman" w:eastAsia="宋体" w:cs="宋体"/>
                <w:snapToGrid w:val="0"/>
                <w:color w:val="0000FF"/>
                <w:kern w:val="0"/>
                <w:szCs w:val="20"/>
                <w:vertAlign w:val="superscript"/>
              </w:rPr>
              <w:t>3</w:t>
            </w:r>
            <w:r>
              <w:rPr>
                <w:rFonts w:ascii="Times New Roman" w:hAnsi="Times New Roman" w:eastAsia="宋体" w:cs="宋体"/>
                <w:snapToGrid w:val="0"/>
                <w:color w:val="0000FF"/>
                <w:kern w:val="0"/>
                <w:szCs w:val="20"/>
              </w:rPr>
              <w:t>）</w:t>
            </w:r>
            <w:r>
              <w:rPr>
                <w:rFonts w:ascii="Times New Roman" w:hAnsi="Times New Roman" w:eastAsia="宋体" w:cs="Times New Roman"/>
                <w:snapToGrid w:val="0"/>
                <w:color w:val="0000FF"/>
                <w:kern w:val="0"/>
                <w:szCs w:val="20"/>
              </w:rPr>
              <w:t>对应的半宽（m）</w:t>
            </w:r>
          </w:p>
        </w:tc>
      </w:tr>
      <w:tr w14:paraId="4C0B716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331BD8A">
            <w:pPr>
              <w:pStyle w:val="40"/>
              <w:bidi w:val="0"/>
              <w:rPr>
                <w:color w:val="0000FF"/>
              </w:rPr>
            </w:pPr>
            <w:r>
              <w:rPr>
                <w:color w:val="0000FF"/>
              </w:rPr>
              <w:t>1</w:t>
            </w:r>
          </w:p>
        </w:tc>
        <w:tc>
          <w:tcPr>
            <w:tcW w:w="688" w:type="pct"/>
            <w:noWrap w:val="0"/>
            <w:vAlign w:val="center"/>
          </w:tcPr>
          <w:p w14:paraId="7F5D40F6">
            <w:pPr>
              <w:pStyle w:val="40"/>
              <w:bidi w:val="0"/>
              <w:rPr>
                <w:color w:val="0000FF"/>
              </w:rPr>
            </w:pPr>
            <w:r>
              <w:rPr>
                <w:rFonts w:hint="eastAsia"/>
                <w:color w:val="0000FF"/>
                <w:lang w:val="en-US" w:eastAsia="zh-CN"/>
              </w:rPr>
              <w:t xml:space="preserve">30 </w:t>
            </w:r>
          </w:p>
        </w:tc>
        <w:tc>
          <w:tcPr>
            <w:tcW w:w="1148" w:type="pct"/>
            <w:noWrap w:val="0"/>
            <w:vAlign w:val="center"/>
          </w:tcPr>
          <w:p w14:paraId="6D14164B">
            <w:pPr>
              <w:pStyle w:val="40"/>
              <w:bidi w:val="0"/>
              <w:rPr>
                <w:color w:val="0000FF"/>
              </w:rPr>
            </w:pPr>
            <w:r>
              <w:rPr>
                <w:rFonts w:hint="eastAsia"/>
                <w:color w:val="0000FF"/>
                <w:lang w:val="en-US" w:eastAsia="zh-CN"/>
              </w:rPr>
              <w:t xml:space="preserve">209.60 </w:t>
            </w:r>
          </w:p>
        </w:tc>
        <w:tc>
          <w:tcPr>
            <w:tcW w:w="1410" w:type="pct"/>
            <w:noWrap w:val="0"/>
            <w:vAlign w:val="center"/>
          </w:tcPr>
          <w:p w14:paraId="0DE7A099">
            <w:pPr>
              <w:pStyle w:val="40"/>
              <w:bidi w:val="0"/>
              <w:rPr>
                <w:color w:val="0000FF"/>
                <w:lang w:val="zh-CN"/>
              </w:rPr>
            </w:pPr>
            <w:r>
              <w:rPr>
                <w:rFonts w:hint="eastAsia"/>
                <w:color w:val="0000FF"/>
                <w:lang w:val="en-US" w:eastAsia="zh-CN"/>
              </w:rPr>
              <w:t xml:space="preserve">2.00 </w:t>
            </w:r>
          </w:p>
        </w:tc>
        <w:tc>
          <w:tcPr>
            <w:tcW w:w="1410" w:type="pct"/>
            <w:noWrap w:val="0"/>
            <w:vAlign w:val="center"/>
          </w:tcPr>
          <w:p w14:paraId="5B115F54">
            <w:pPr>
              <w:pStyle w:val="40"/>
              <w:bidi w:val="0"/>
              <w:rPr>
                <w:rFonts w:hint="default"/>
                <w:color w:val="0000FF"/>
                <w:lang w:val="en-US" w:eastAsia="zh-CN"/>
              </w:rPr>
            </w:pPr>
            <w:r>
              <w:rPr>
                <w:rFonts w:hint="eastAsia"/>
                <w:color w:val="0000FF"/>
                <w:lang w:val="en-US" w:eastAsia="zh-CN"/>
              </w:rPr>
              <w:t>0.00</w:t>
            </w:r>
          </w:p>
        </w:tc>
      </w:tr>
      <w:tr w14:paraId="3375CCE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342" w:type="pct"/>
            <w:noWrap w:val="0"/>
            <w:vAlign w:val="center"/>
          </w:tcPr>
          <w:p w14:paraId="774857F3">
            <w:pPr>
              <w:pStyle w:val="40"/>
              <w:bidi w:val="0"/>
              <w:rPr>
                <w:color w:val="0000FF"/>
              </w:rPr>
            </w:pPr>
            <w:r>
              <w:rPr>
                <w:color w:val="0000FF"/>
              </w:rPr>
              <w:t>2</w:t>
            </w:r>
          </w:p>
        </w:tc>
        <w:tc>
          <w:tcPr>
            <w:tcW w:w="688" w:type="pct"/>
            <w:noWrap w:val="0"/>
            <w:vAlign w:val="center"/>
          </w:tcPr>
          <w:p w14:paraId="6F6C3380">
            <w:pPr>
              <w:pStyle w:val="40"/>
              <w:bidi w:val="0"/>
              <w:rPr>
                <w:color w:val="0000FF"/>
              </w:rPr>
            </w:pPr>
            <w:r>
              <w:rPr>
                <w:rFonts w:hint="eastAsia"/>
                <w:color w:val="0000FF"/>
                <w:lang w:val="en-US" w:eastAsia="zh-CN"/>
              </w:rPr>
              <w:t xml:space="preserve">40 </w:t>
            </w:r>
          </w:p>
        </w:tc>
        <w:tc>
          <w:tcPr>
            <w:tcW w:w="1148" w:type="pct"/>
            <w:noWrap w:val="0"/>
            <w:vAlign w:val="center"/>
          </w:tcPr>
          <w:p w14:paraId="5DC2F087">
            <w:pPr>
              <w:pStyle w:val="40"/>
              <w:bidi w:val="0"/>
              <w:rPr>
                <w:color w:val="0000FF"/>
              </w:rPr>
            </w:pPr>
            <w:r>
              <w:rPr>
                <w:rFonts w:hint="eastAsia"/>
                <w:color w:val="0000FF"/>
                <w:lang w:val="en-US" w:eastAsia="zh-CN"/>
              </w:rPr>
              <w:t xml:space="preserve">535.30 </w:t>
            </w:r>
          </w:p>
        </w:tc>
        <w:tc>
          <w:tcPr>
            <w:tcW w:w="1410" w:type="pct"/>
            <w:noWrap w:val="0"/>
            <w:vAlign w:val="center"/>
          </w:tcPr>
          <w:p w14:paraId="3BD49FC6">
            <w:pPr>
              <w:pStyle w:val="40"/>
              <w:bidi w:val="0"/>
              <w:rPr>
                <w:color w:val="0000FF"/>
                <w:lang w:val="zh-CN"/>
              </w:rPr>
            </w:pPr>
            <w:r>
              <w:rPr>
                <w:rFonts w:hint="eastAsia"/>
                <w:color w:val="0000FF"/>
                <w:lang w:val="en-US" w:eastAsia="zh-CN"/>
              </w:rPr>
              <w:t xml:space="preserve">3.00 </w:t>
            </w:r>
          </w:p>
        </w:tc>
        <w:tc>
          <w:tcPr>
            <w:tcW w:w="1410" w:type="pct"/>
            <w:noWrap w:val="0"/>
            <w:vAlign w:val="center"/>
          </w:tcPr>
          <w:p w14:paraId="5B9F6523">
            <w:pPr>
              <w:pStyle w:val="40"/>
              <w:bidi w:val="0"/>
              <w:rPr>
                <w:color w:val="0000FF"/>
                <w:lang w:val="zh-CN"/>
              </w:rPr>
            </w:pPr>
            <w:r>
              <w:rPr>
                <w:rFonts w:hint="eastAsia"/>
                <w:color w:val="0000FF"/>
                <w:lang w:val="en-US" w:eastAsia="zh-CN"/>
              </w:rPr>
              <w:t xml:space="preserve">1.00 </w:t>
            </w:r>
          </w:p>
        </w:tc>
      </w:tr>
      <w:tr w14:paraId="0EB07F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936F3A2">
            <w:pPr>
              <w:pStyle w:val="40"/>
              <w:bidi w:val="0"/>
              <w:rPr>
                <w:color w:val="0000FF"/>
              </w:rPr>
            </w:pPr>
            <w:r>
              <w:rPr>
                <w:color w:val="0000FF"/>
              </w:rPr>
              <w:t>3</w:t>
            </w:r>
          </w:p>
        </w:tc>
        <w:tc>
          <w:tcPr>
            <w:tcW w:w="688" w:type="pct"/>
            <w:noWrap w:val="0"/>
            <w:vAlign w:val="center"/>
          </w:tcPr>
          <w:p w14:paraId="5A25EC44">
            <w:pPr>
              <w:pStyle w:val="40"/>
              <w:bidi w:val="0"/>
              <w:rPr>
                <w:color w:val="0000FF"/>
              </w:rPr>
            </w:pPr>
            <w:r>
              <w:rPr>
                <w:rFonts w:hint="eastAsia"/>
                <w:color w:val="0000FF"/>
                <w:lang w:val="en-US" w:eastAsia="zh-CN"/>
              </w:rPr>
              <w:t xml:space="preserve">50 </w:t>
            </w:r>
          </w:p>
        </w:tc>
        <w:tc>
          <w:tcPr>
            <w:tcW w:w="1148" w:type="pct"/>
            <w:noWrap w:val="0"/>
            <w:vAlign w:val="center"/>
          </w:tcPr>
          <w:p w14:paraId="5B485EE2">
            <w:pPr>
              <w:pStyle w:val="40"/>
              <w:bidi w:val="0"/>
              <w:rPr>
                <w:color w:val="0000FF"/>
                <w:lang w:val="zh-CN"/>
              </w:rPr>
            </w:pPr>
            <w:r>
              <w:rPr>
                <w:rFonts w:hint="eastAsia"/>
                <w:color w:val="0000FF"/>
                <w:lang w:val="en-US" w:eastAsia="zh-CN"/>
              </w:rPr>
              <w:t xml:space="preserve">771.48 </w:t>
            </w:r>
          </w:p>
        </w:tc>
        <w:tc>
          <w:tcPr>
            <w:tcW w:w="1410" w:type="pct"/>
            <w:noWrap w:val="0"/>
            <w:vAlign w:val="center"/>
          </w:tcPr>
          <w:p w14:paraId="32FE37E6">
            <w:pPr>
              <w:pStyle w:val="40"/>
              <w:bidi w:val="0"/>
              <w:rPr>
                <w:color w:val="0000FF"/>
                <w:lang w:val="zh-CN"/>
              </w:rPr>
            </w:pPr>
            <w:r>
              <w:rPr>
                <w:rFonts w:hint="eastAsia"/>
                <w:color w:val="0000FF"/>
                <w:lang w:val="en-US" w:eastAsia="zh-CN"/>
              </w:rPr>
              <w:t xml:space="preserve">5.00 </w:t>
            </w:r>
          </w:p>
        </w:tc>
        <w:tc>
          <w:tcPr>
            <w:tcW w:w="1410" w:type="pct"/>
            <w:noWrap w:val="0"/>
            <w:vAlign w:val="center"/>
          </w:tcPr>
          <w:p w14:paraId="631489BF">
            <w:pPr>
              <w:pStyle w:val="40"/>
              <w:bidi w:val="0"/>
              <w:rPr>
                <w:color w:val="0000FF"/>
                <w:lang w:val="zh-CN"/>
              </w:rPr>
            </w:pPr>
            <w:r>
              <w:rPr>
                <w:rFonts w:hint="eastAsia"/>
                <w:color w:val="0000FF"/>
                <w:lang w:val="en-US" w:eastAsia="zh-CN"/>
              </w:rPr>
              <w:t xml:space="preserve">3.00 </w:t>
            </w:r>
          </w:p>
        </w:tc>
      </w:tr>
      <w:tr w14:paraId="5047900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3F52AE4">
            <w:pPr>
              <w:pStyle w:val="40"/>
              <w:bidi w:val="0"/>
              <w:rPr>
                <w:color w:val="0000FF"/>
              </w:rPr>
            </w:pPr>
            <w:r>
              <w:rPr>
                <w:color w:val="0000FF"/>
              </w:rPr>
              <w:t>4</w:t>
            </w:r>
          </w:p>
        </w:tc>
        <w:tc>
          <w:tcPr>
            <w:tcW w:w="688" w:type="pct"/>
            <w:noWrap w:val="0"/>
            <w:vAlign w:val="center"/>
          </w:tcPr>
          <w:p w14:paraId="5C7374CC">
            <w:pPr>
              <w:pStyle w:val="40"/>
              <w:bidi w:val="0"/>
              <w:rPr>
                <w:color w:val="0000FF"/>
              </w:rPr>
            </w:pPr>
            <w:r>
              <w:rPr>
                <w:rFonts w:hint="eastAsia"/>
                <w:color w:val="0000FF"/>
                <w:lang w:val="en-US" w:eastAsia="zh-CN"/>
              </w:rPr>
              <w:t xml:space="preserve">60 </w:t>
            </w:r>
          </w:p>
        </w:tc>
        <w:tc>
          <w:tcPr>
            <w:tcW w:w="1148" w:type="pct"/>
            <w:noWrap w:val="0"/>
            <w:vAlign w:val="center"/>
          </w:tcPr>
          <w:p w14:paraId="7FF6AB3A">
            <w:pPr>
              <w:pStyle w:val="40"/>
              <w:bidi w:val="0"/>
              <w:rPr>
                <w:color w:val="0000FF"/>
                <w:lang w:val="zh-CN"/>
              </w:rPr>
            </w:pPr>
            <w:r>
              <w:rPr>
                <w:rFonts w:hint="eastAsia"/>
                <w:color w:val="0000FF"/>
                <w:lang w:val="en-US" w:eastAsia="zh-CN"/>
              </w:rPr>
              <w:t xml:space="preserve">885.15 </w:t>
            </w:r>
          </w:p>
        </w:tc>
        <w:tc>
          <w:tcPr>
            <w:tcW w:w="1410" w:type="pct"/>
            <w:noWrap w:val="0"/>
            <w:vAlign w:val="center"/>
          </w:tcPr>
          <w:p w14:paraId="1C572897">
            <w:pPr>
              <w:pStyle w:val="40"/>
              <w:bidi w:val="0"/>
              <w:rPr>
                <w:color w:val="0000FF"/>
                <w:lang w:val="zh-CN"/>
              </w:rPr>
            </w:pPr>
            <w:r>
              <w:rPr>
                <w:rFonts w:hint="eastAsia"/>
                <w:color w:val="0000FF"/>
                <w:lang w:val="en-US" w:eastAsia="zh-CN"/>
              </w:rPr>
              <w:t xml:space="preserve">6.00 </w:t>
            </w:r>
          </w:p>
        </w:tc>
        <w:tc>
          <w:tcPr>
            <w:tcW w:w="1410" w:type="pct"/>
            <w:noWrap w:val="0"/>
            <w:vAlign w:val="center"/>
          </w:tcPr>
          <w:p w14:paraId="764F8B65">
            <w:pPr>
              <w:pStyle w:val="40"/>
              <w:bidi w:val="0"/>
              <w:rPr>
                <w:color w:val="0000FF"/>
                <w:lang w:val="zh-CN"/>
              </w:rPr>
            </w:pPr>
            <w:r>
              <w:rPr>
                <w:rFonts w:hint="eastAsia"/>
                <w:color w:val="0000FF"/>
                <w:lang w:val="en-US" w:eastAsia="zh-CN"/>
              </w:rPr>
              <w:t xml:space="preserve">3.00 </w:t>
            </w:r>
          </w:p>
        </w:tc>
      </w:tr>
      <w:tr w14:paraId="153FF97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BE60097">
            <w:pPr>
              <w:pStyle w:val="40"/>
              <w:bidi w:val="0"/>
              <w:rPr>
                <w:color w:val="0000FF"/>
              </w:rPr>
            </w:pPr>
            <w:r>
              <w:rPr>
                <w:color w:val="0000FF"/>
              </w:rPr>
              <w:t>5</w:t>
            </w:r>
          </w:p>
        </w:tc>
        <w:tc>
          <w:tcPr>
            <w:tcW w:w="688" w:type="pct"/>
            <w:noWrap w:val="0"/>
            <w:vAlign w:val="center"/>
          </w:tcPr>
          <w:p w14:paraId="35EA7822">
            <w:pPr>
              <w:pStyle w:val="40"/>
              <w:bidi w:val="0"/>
              <w:rPr>
                <w:color w:val="0000FF"/>
              </w:rPr>
            </w:pPr>
            <w:r>
              <w:rPr>
                <w:rFonts w:hint="eastAsia"/>
                <w:color w:val="0000FF"/>
                <w:lang w:val="en-US" w:eastAsia="zh-CN"/>
              </w:rPr>
              <w:t xml:space="preserve">70 </w:t>
            </w:r>
          </w:p>
        </w:tc>
        <w:tc>
          <w:tcPr>
            <w:tcW w:w="1148" w:type="pct"/>
            <w:noWrap w:val="0"/>
            <w:vAlign w:val="center"/>
          </w:tcPr>
          <w:p w14:paraId="6DA9331A">
            <w:pPr>
              <w:pStyle w:val="40"/>
              <w:bidi w:val="0"/>
              <w:rPr>
                <w:color w:val="0000FF"/>
                <w:lang w:val="zh-CN"/>
              </w:rPr>
            </w:pPr>
            <w:r>
              <w:rPr>
                <w:rFonts w:hint="eastAsia"/>
                <w:color w:val="0000FF"/>
                <w:lang w:val="en-US" w:eastAsia="zh-CN"/>
              </w:rPr>
              <w:t xml:space="preserve">917.35 </w:t>
            </w:r>
          </w:p>
        </w:tc>
        <w:tc>
          <w:tcPr>
            <w:tcW w:w="1410" w:type="pct"/>
            <w:noWrap w:val="0"/>
            <w:vAlign w:val="center"/>
          </w:tcPr>
          <w:p w14:paraId="4E6F99F7">
            <w:pPr>
              <w:pStyle w:val="40"/>
              <w:bidi w:val="0"/>
              <w:rPr>
                <w:color w:val="0000FF"/>
                <w:lang w:val="zh-CN"/>
              </w:rPr>
            </w:pPr>
            <w:r>
              <w:rPr>
                <w:rFonts w:hint="eastAsia"/>
                <w:color w:val="0000FF"/>
                <w:lang w:val="en-US" w:eastAsia="zh-CN"/>
              </w:rPr>
              <w:t xml:space="preserve">7.00 </w:t>
            </w:r>
          </w:p>
        </w:tc>
        <w:tc>
          <w:tcPr>
            <w:tcW w:w="1410" w:type="pct"/>
            <w:noWrap w:val="0"/>
            <w:vAlign w:val="center"/>
          </w:tcPr>
          <w:p w14:paraId="6D3D6E46">
            <w:pPr>
              <w:pStyle w:val="40"/>
              <w:bidi w:val="0"/>
              <w:rPr>
                <w:color w:val="0000FF"/>
              </w:rPr>
            </w:pPr>
            <w:r>
              <w:rPr>
                <w:rFonts w:hint="eastAsia"/>
                <w:color w:val="0000FF"/>
                <w:lang w:val="en-US" w:eastAsia="zh-CN"/>
              </w:rPr>
              <w:t xml:space="preserve">4.00 </w:t>
            </w:r>
          </w:p>
        </w:tc>
      </w:tr>
      <w:tr w14:paraId="7FD7DF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0573F4E8">
            <w:pPr>
              <w:pStyle w:val="40"/>
              <w:bidi w:val="0"/>
              <w:rPr>
                <w:color w:val="0000FF"/>
              </w:rPr>
            </w:pPr>
            <w:r>
              <w:rPr>
                <w:color w:val="0000FF"/>
              </w:rPr>
              <w:t>6</w:t>
            </w:r>
          </w:p>
        </w:tc>
        <w:tc>
          <w:tcPr>
            <w:tcW w:w="688" w:type="pct"/>
            <w:noWrap w:val="0"/>
            <w:vAlign w:val="center"/>
          </w:tcPr>
          <w:p w14:paraId="46A2B07E">
            <w:pPr>
              <w:pStyle w:val="40"/>
              <w:bidi w:val="0"/>
              <w:rPr>
                <w:color w:val="0000FF"/>
              </w:rPr>
            </w:pPr>
            <w:r>
              <w:rPr>
                <w:rFonts w:hint="eastAsia"/>
                <w:color w:val="0000FF"/>
                <w:lang w:val="en-US" w:eastAsia="zh-CN"/>
              </w:rPr>
              <w:t xml:space="preserve">80 </w:t>
            </w:r>
          </w:p>
        </w:tc>
        <w:tc>
          <w:tcPr>
            <w:tcW w:w="1148" w:type="pct"/>
            <w:noWrap w:val="0"/>
            <w:vAlign w:val="center"/>
          </w:tcPr>
          <w:p w14:paraId="19479385">
            <w:pPr>
              <w:pStyle w:val="40"/>
              <w:bidi w:val="0"/>
              <w:rPr>
                <w:color w:val="0000FF"/>
                <w:lang w:val="zh-CN"/>
              </w:rPr>
            </w:pPr>
            <w:r>
              <w:rPr>
                <w:rFonts w:hint="eastAsia"/>
                <w:color w:val="0000FF"/>
                <w:lang w:val="en-US" w:eastAsia="zh-CN"/>
              </w:rPr>
              <w:t xml:space="preserve">907.12 </w:t>
            </w:r>
          </w:p>
        </w:tc>
        <w:tc>
          <w:tcPr>
            <w:tcW w:w="1410" w:type="pct"/>
            <w:noWrap w:val="0"/>
            <w:vAlign w:val="center"/>
          </w:tcPr>
          <w:p w14:paraId="3ECA3E51">
            <w:pPr>
              <w:pStyle w:val="40"/>
              <w:bidi w:val="0"/>
              <w:rPr>
                <w:color w:val="0000FF"/>
                <w:lang w:val="zh-CN"/>
              </w:rPr>
            </w:pPr>
            <w:r>
              <w:rPr>
                <w:rFonts w:hint="eastAsia"/>
                <w:color w:val="0000FF"/>
                <w:lang w:val="en-US" w:eastAsia="zh-CN"/>
              </w:rPr>
              <w:t xml:space="preserve">8.00 </w:t>
            </w:r>
          </w:p>
        </w:tc>
        <w:tc>
          <w:tcPr>
            <w:tcW w:w="1410" w:type="pct"/>
            <w:noWrap w:val="0"/>
            <w:vAlign w:val="center"/>
          </w:tcPr>
          <w:p w14:paraId="7A41701F">
            <w:pPr>
              <w:pStyle w:val="40"/>
              <w:bidi w:val="0"/>
              <w:rPr>
                <w:color w:val="0000FF"/>
                <w:lang w:val="zh-CN"/>
              </w:rPr>
            </w:pPr>
            <w:r>
              <w:rPr>
                <w:rFonts w:hint="eastAsia"/>
                <w:color w:val="0000FF"/>
                <w:lang w:val="en-US" w:eastAsia="zh-CN"/>
              </w:rPr>
              <w:t xml:space="preserve">5.00 </w:t>
            </w:r>
          </w:p>
        </w:tc>
      </w:tr>
      <w:tr w14:paraId="4398A20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2B6D12C">
            <w:pPr>
              <w:pStyle w:val="40"/>
              <w:bidi w:val="0"/>
              <w:rPr>
                <w:color w:val="0000FF"/>
              </w:rPr>
            </w:pPr>
            <w:r>
              <w:rPr>
                <w:color w:val="0000FF"/>
              </w:rPr>
              <w:t>7</w:t>
            </w:r>
          </w:p>
        </w:tc>
        <w:tc>
          <w:tcPr>
            <w:tcW w:w="688" w:type="pct"/>
            <w:noWrap w:val="0"/>
            <w:vAlign w:val="center"/>
          </w:tcPr>
          <w:p w14:paraId="2ECD9D11">
            <w:pPr>
              <w:pStyle w:val="40"/>
              <w:bidi w:val="0"/>
              <w:rPr>
                <w:color w:val="0000FF"/>
              </w:rPr>
            </w:pPr>
            <w:r>
              <w:rPr>
                <w:rFonts w:hint="eastAsia"/>
                <w:color w:val="0000FF"/>
                <w:lang w:val="en-US" w:eastAsia="zh-CN"/>
              </w:rPr>
              <w:t xml:space="preserve">90 </w:t>
            </w:r>
          </w:p>
        </w:tc>
        <w:tc>
          <w:tcPr>
            <w:tcW w:w="1148" w:type="pct"/>
            <w:noWrap w:val="0"/>
            <w:vAlign w:val="center"/>
          </w:tcPr>
          <w:p w14:paraId="176B62EF">
            <w:pPr>
              <w:pStyle w:val="40"/>
              <w:bidi w:val="0"/>
              <w:rPr>
                <w:color w:val="0000FF"/>
                <w:lang w:val="zh-CN"/>
              </w:rPr>
            </w:pPr>
            <w:r>
              <w:rPr>
                <w:rFonts w:hint="eastAsia"/>
                <w:color w:val="0000FF"/>
                <w:lang w:val="en-US" w:eastAsia="zh-CN"/>
              </w:rPr>
              <w:t xml:space="preserve">877.92 </w:t>
            </w:r>
          </w:p>
        </w:tc>
        <w:tc>
          <w:tcPr>
            <w:tcW w:w="1410" w:type="pct"/>
            <w:noWrap w:val="0"/>
            <w:vAlign w:val="center"/>
          </w:tcPr>
          <w:p w14:paraId="740799CF">
            <w:pPr>
              <w:pStyle w:val="40"/>
              <w:bidi w:val="0"/>
              <w:rPr>
                <w:color w:val="0000FF"/>
                <w:lang w:val="zh-CN"/>
              </w:rPr>
            </w:pPr>
            <w:r>
              <w:rPr>
                <w:rFonts w:hint="eastAsia"/>
                <w:color w:val="0000FF"/>
                <w:lang w:val="en-US" w:eastAsia="zh-CN"/>
              </w:rPr>
              <w:t xml:space="preserve">8.00 </w:t>
            </w:r>
          </w:p>
        </w:tc>
        <w:tc>
          <w:tcPr>
            <w:tcW w:w="1410" w:type="pct"/>
            <w:noWrap w:val="0"/>
            <w:vAlign w:val="center"/>
          </w:tcPr>
          <w:p w14:paraId="056AD90F">
            <w:pPr>
              <w:pStyle w:val="40"/>
              <w:bidi w:val="0"/>
              <w:rPr>
                <w:color w:val="0000FF"/>
                <w:lang w:val="zh-CN"/>
              </w:rPr>
            </w:pPr>
            <w:r>
              <w:rPr>
                <w:rFonts w:hint="eastAsia"/>
                <w:color w:val="0000FF"/>
                <w:lang w:val="en-US" w:eastAsia="zh-CN"/>
              </w:rPr>
              <w:t xml:space="preserve">5.00 </w:t>
            </w:r>
          </w:p>
        </w:tc>
      </w:tr>
      <w:tr w14:paraId="6980D22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09C414FB">
            <w:pPr>
              <w:pStyle w:val="40"/>
              <w:bidi w:val="0"/>
              <w:rPr>
                <w:color w:val="0000FF"/>
              </w:rPr>
            </w:pPr>
            <w:r>
              <w:rPr>
                <w:color w:val="0000FF"/>
              </w:rPr>
              <w:t>8</w:t>
            </w:r>
          </w:p>
        </w:tc>
        <w:tc>
          <w:tcPr>
            <w:tcW w:w="688" w:type="pct"/>
            <w:noWrap w:val="0"/>
            <w:vAlign w:val="center"/>
          </w:tcPr>
          <w:p w14:paraId="79D3C26E">
            <w:pPr>
              <w:pStyle w:val="40"/>
              <w:bidi w:val="0"/>
              <w:rPr>
                <w:color w:val="0000FF"/>
              </w:rPr>
            </w:pPr>
            <w:r>
              <w:rPr>
                <w:rFonts w:hint="eastAsia"/>
                <w:color w:val="0000FF"/>
                <w:lang w:val="en-US" w:eastAsia="zh-CN"/>
              </w:rPr>
              <w:t xml:space="preserve">100 </w:t>
            </w:r>
          </w:p>
        </w:tc>
        <w:tc>
          <w:tcPr>
            <w:tcW w:w="1148" w:type="pct"/>
            <w:noWrap w:val="0"/>
            <w:vAlign w:val="center"/>
          </w:tcPr>
          <w:p w14:paraId="4407C820">
            <w:pPr>
              <w:pStyle w:val="40"/>
              <w:bidi w:val="0"/>
              <w:rPr>
                <w:color w:val="0000FF"/>
                <w:lang w:val="zh-CN"/>
              </w:rPr>
            </w:pPr>
            <w:r>
              <w:rPr>
                <w:rFonts w:hint="eastAsia"/>
                <w:color w:val="0000FF"/>
                <w:lang w:val="en-US" w:eastAsia="zh-CN"/>
              </w:rPr>
              <w:t xml:space="preserve">841.53 </w:t>
            </w:r>
          </w:p>
        </w:tc>
        <w:tc>
          <w:tcPr>
            <w:tcW w:w="1410" w:type="pct"/>
            <w:noWrap w:val="0"/>
            <w:vAlign w:val="center"/>
          </w:tcPr>
          <w:p w14:paraId="3DB91E32">
            <w:pPr>
              <w:pStyle w:val="40"/>
              <w:bidi w:val="0"/>
              <w:rPr>
                <w:color w:val="0000FF"/>
                <w:lang w:val="zh-CN"/>
              </w:rPr>
            </w:pPr>
            <w:r>
              <w:rPr>
                <w:rFonts w:hint="eastAsia"/>
                <w:color w:val="0000FF"/>
                <w:lang w:val="en-US" w:eastAsia="zh-CN"/>
              </w:rPr>
              <w:t xml:space="preserve">9.00 </w:t>
            </w:r>
          </w:p>
        </w:tc>
        <w:tc>
          <w:tcPr>
            <w:tcW w:w="1410" w:type="pct"/>
            <w:noWrap w:val="0"/>
            <w:vAlign w:val="center"/>
          </w:tcPr>
          <w:p w14:paraId="31155919">
            <w:pPr>
              <w:pStyle w:val="40"/>
              <w:bidi w:val="0"/>
              <w:rPr>
                <w:color w:val="0000FF"/>
                <w:lang w:val="zh-CN"/>
              </w:rPr>
            </w:pPr>
            <w:r>
              <w:rPr>
                <w:rFonts w:hint="eastAsia"/>
                <w:color w:val="0000FF"/>
                <w:lang w:val="en-US" w:eastAsia="zh-CN"/>
              </w:rPr>
              <w:t xml:space="preserve">5.00 </w:t>
            </w:r>
          </w:p>
        </w:tc>
      </w:tr>
      <w:tr w14:paraId="4B8C8ED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E063A4E">
            <w:pPr>
              <w:pStyle w:val="40"/>
              <w:bidi w:val="0"/>
              <w:rPr>
                <w:color w:val="0000FF"/>
              </w:rPr>
            </w:pPr>
            <w:r>
              <w:rPr>
                <w:color w:val="0000FF"/>
              </w:rPr>
              <w:t>9</w:t>
            </w:r>
          </w:p>
        </w:tc>
        <w:tc>
          <w:tcPr>
            <w:tcW w:w="688" w:type="pct"/>
            <w:noWrap w:val="0"/>
            <w:vAlign w:val="center"/>
          </w:tcPr>
          <w:p w14:paraId="5DA74BA4">
            <w:pPr>
              <w:pStyle w:val="40"/>
              <w:bidi w:val="0"/>
              <w:rPr>
                <w:color w:val="0000FF"/>
              </w:rPr>
            </w:pPr>
            <w:r>
              <w:rPr>
                <w:rFonts w:hint="eastAsia"/>
                <w:color w:val="0000FF"/>
                <w:lang w:val="en-US" w:eastAsia="zh-CN"/>
              </w:rPr>
              <w:t xml:space="preserve">110 </w:t>
            </w:r>
          </w:p>
        </w:tc>
        <w:tc>
          <w:tcPr>
            <w:tcW w:w="1148" w:type="pct"/>
            <w:noWrap w:val="0"/>
            <w:vAlign w:val="center"/>
          </w:tcPr>
          <w:p w14:paraId="0426B1FD">
            <w:pPr>
              <w:pStyle w:val="40"/>
              <w:bidi w:val="0"/>
              <w:rPr>
                <w:color w:val="0000FF"/>
                <w:lang w:val="zh-CN"/>
              </w:rPr>
            </w:pPr>
            <w:r>
              <w:rPr>
                <w:rFonts w:hint="eastAsia"/>
                <w:color w:val="0000FF"/>
                <w:lang w:val="en-US" w:eastAsia="zh-CN"/>
              </w:rPr>
              <w:t xml:space="preserve">803.30 </w:t>
            </w:r>
          </w:p>
        </w:tc>
        <w:tc>
          <w:tcPr>
            <w:tcW w:w="1410" w:type="pct"/>
            <w:noWrap w:val="0"/>
            <w:vAlign w:val="center"/>
          </w:tcPr>
          <w:p w14:paraId="1C0AABE6">
            <w:pPr>
              <w:pStyle w:val="40"/>
              <w:bidi w:val="0"/>
              <w:rPr>
                <w:color w:val="0000FF"/>
                <w:lang w:val="zh-CN"/>
              </w:rPr>
            </w:pPr>
            <w:r>
              <w:rPr>
                <w:rFonts w:hint="eastAsia"/>
                <w:color w:val="0000FF"/>
                <w:lang w:val="en-US" w:eastAsia="zh-CN"/>
              </w:rPr>
              <w:t xml:space="preserve">10.00 </w:t>
            </w:r>
          </w:p>
        </w:tc>
        <w:tc>
          <w:tcPr>
            <w:tcW w:w="1410" w:type="pct"/>
            <w:noWrap w:val="0"/>
            <w:vAlign w:val="center"/>
          </w:tcPr>
          <w:p w14:paraId="135A4AEC">
            <w:pPr>
              <w:pStyle w:val="40"/>
              <w:bidi w:val="0"/>
              <w:rPr>
                <w:color w:val="0000FF"/>
                <w:lang w:val="zh-CN"/>
              </w:rPr>
            </w:pPr>
            <w:r>
              <w:rPr>
                <w:rFonts w:hint="eastAsia"/>
                <w:color w:val="0000FF"/>
                <w:lang w:val="en-US" w:eastAsia="zh-CN"/>
              </w:rPr>
              <w:t xml:space="preserve">6.00 </w:t>
            </w:r>
          </w:p>
        </w:tc>
      </w:tr>
      <w:tr w14:paraId="1EC6421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488125A9">
            <w:pPr>
              <w:pStyle w:val="40"/>
              <w:bidi w:val="0"/>
              <w:rPr>
                <w:color w:val="0000FF"/>
              </w:rPr>
            </w:pPr>
            <w:r>
              <w:rPr>
                <w:color w:val="0000FF"/>
              </w:rPr>
              <w:t>10</w:t>
            </w:r>
          </w:p>
        </w:tc>
        <w:tc>
          <w:tcPr>
            <w:tcW w:w="688" w:type="pct"/>
            <w:noWrap w:val="0"/>
            <w:vAlign w:val="center"/>
          </w:tcPr>
          <w:p w14:paraId="0D9294EF">
            <w:pPr>
              <w:pStyle w:val="40"/>
              <w:bidi w:val="0"/>
              <w:rPr>
                <w:color w:val="0000FF"/>
              </w:rPr>
            </w:pPr>
            <w:r>
              <w:rPr>
                <w:rFonts w:hint="eastAsia"/>
                <w:color w:val="0000FF"/>
                <w:lang w:val="en-US" w:eastAsia="zh-CN"/>
              </w:rPr>
              <w:t xml:space="preserve">120 </w:t>
            </w:r>
          </w:p>
        </w:tc>
        <w:tc>
          <w:tcPr>
            <w:tcW w:w="1148" w:type="pct"/>
            <w:noWrap w:val="0"/>
            <w:vAlign w:val="center"/>
          </w:tcPr>
          <w:p w14:paraId="162EA363">
            <w:pPr>
              <w:pStyle w:val="40"/>
              <w:bidi w:val="0"/>
              <w:rPr>
                <w:color w:val="0000FF"/>
                <w:lang w:val="zh-CN"/>
              </w:rPr>
            </w:pPr>
            <w:r>
              <w:rPr>
                <w:rFonts w:hint="eastAsia"/>
                <w:color w:val="0000FF"/>
                <w:lang w:val="en-US" w:eastAsia="zh-CN"/>
              </w:rPr>
              <w:t xml:space="preserve">765.46 </w:t>
            </w:r>
          </w:p>
        </w:tc>
        <w:tc>
          <w:tcPr>
            <w:tcW w:w="1410" w:type="pct"/>
            <w:noWrap w:val="0"/>
            <w:vAlign w:val="center"/>
          </w:tcPr>
          <w:p w14:paraId="6C9F3DA3">
            <w:pPr>
              <w:pStyle w:val="40"/>
              <w:bidi w:val="0"/>
              <w:rPr>
                <w:color w:val="0000FF"/>
                <w:lang w:val="zh-CN"/>
              </w:rPr>
            </w:pPr>
            <w:r>
              <w:rPr>
                <w:rFonts w:hint="eastAsia"/>
                <w:color w:val="0000FF"/>
                <w:lang w:val="en-US" w:eastAsia="zh-CN"/>
              </w:rPr>
              <w:t xml:space="preserve">11.00 </w:t>
            </w:r>
          </w:p>
        </w:tc>
        <w:tc>
          <w:tcPr>
            <w:tcW w:w="1410" w:type="pct"/>
            <w:noWrap w:val="0"/>
            <w:vAlign w:val="center"/>
          </w:tcPr>
          <w:p w14:paraId="7B5AC95B">
            <w:pPr>
              <w:pStyle w:val="40"/>
              <w:bidi w:val="0"/>
              <w:rPr>
                <w:color w:val="0000FF"/>
                <w:lang w:val="zh-CN"/>
              </w:rPr>
            </w:pPr>
            <w:r>
              <w:rPr>
                <w:rFonts w:hint="eastAsia"/>
                <w:color w:val="0000FF"/>
                <w:lang w:val="en-US" w:eastAsia="zh-CN"/>
              </w:rPr>
              <w:t xml:space="preserve">6.00 </w:t>
            </w:r>
          </w:p>
        </w:tc>
      </w:tr>
      <w:tr w14:paraId="1D2D797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5BF0741">
            <w:pPr>
              <w:pStyle w:val="40"/>
              <w:bidi w:val="0"/>
              <w:rPr>
                <w:color w:val="0000FF"/>
              </w:rPr>
            </w:pPr>
            <w:r>
              <w:rPr>
                <w:color w:val="0000FF"/>
              </w:rPr>
              <w:t>11</w:t>
            </w:r>
          </w:p>
        </w:tc>
        <w:tc>
          <w:tcPr>
            <w:tcW w:w="688" w:type="pct"/>
            <w:noWrap w:val="0"/>
            <w:vAlign w:val="center"/>
          </w:tcPr>
          <w:p w14:paraId="4ACE16B5">
            <w:pPr>
              <w:pStyle w:val="40"/>
              <w:bidi w:val="0"/>
              <w:rPr>
                <w:color w:val="0000FF"/>
              </w:rPr>
            </w:pPr>
            <w:r>
              <w:rPr>
                <w:rFonts w:hint="eastAsia"/>
                <w:color w:val="0000FF"/>
                <w:lang w:val="en-US" w:eastAsia="zh-CN"/>
              </w:rPr>
              <w:t xml:space="preserve">130 </w:t>
            </w:r>
          </w:p>
        </w:tc>
        <w:tc>
          <w:tcPr>
            <w:tcW w:w="1148" w:type="pct"/>
            <w:noWrap w:val="0"/>
            <w:vAlign w:val="center"/>
          </w:tcPr>
          <w:p w14:paraId="35A1821D">
            <w:pPr>
              <w:pStyle w:val="40"/>
              <w:bidi w:val="0"/>
              <w:rPr>
                <w:color w:val="0000FF"/>
                <w:lang w:val="zh-CN"/>
              </w:rPr>
            </w:pPr>
            <w:r>
              <w:rPr>
                <w:rFonts w:hint="eastAsia"/>
                <w:color w:val="0000FF"/>
                <w:lang w:val="en-US" w:eastAsia="zh-CN"/>
              </w:rPr>
              <w:t xml:space="preserve">728.91 </w:t>
            </w:r>
          </w:p>
        </w:tc>
        <w:tc>
          <w:tcPr>
            <w:tcW w:w="1410" w:type="pct"/>
            <w:noWrap w:val="0"/>
            <w:vAlign w:val="center"/>
          </w:tcPr>
          <w:p w14:paraId="7558C612">
            <w:pPr>
              <w:pStyle w:val="40"/>
              <w:bidi w:val="0"/>
              <w:rPr>
                <w:color w:val="0000FF"/>
                <w:lang w:val="zh-CN"/>
              </w:rPr>
            </w:pPr>
            <w:r>
              <w:rPr>
                <w:rFonts w:hint="eastAsia"/>
                <w:color w:val="0000FF"/>
                <w:lang w:val="en-US" w:eastAsia="zh-CN"/>
              </w:rPr>
              <w:t xml:space="preserve">11.00 </w:t>
            </w:r>
          </w:p>
        </w:tc>
        <w:tc>
          <w:tcPr>
            <w:tcW w:w="1410" w:type="pct"/>
            <w:noWrap w:val="0"/>
            <w:vAlign w:val="center"/>
          </w:tcPr>
          <w:p w14:paraId="57E86621">
            <w:pPr>
              <w:pStyle w:val="40"/>
              <w:bidi w:val="0"/>
              <w:rPr>
                <w:color w:val="0000FF"/>
                <w:lang w:val="zh-CN"/>
              </w:rPr>
            </w:pPr>
            <w:r>
              <w:rPr>
                <w:rFonts w:hint="eastAsia"/>
                <w:color w:val="0000FF"/>
                <w:lang w:val="en-US" w:eastAsia="zh-CN"/>
              </w:rPr>
              <w:t xml:space="preserve">6.00 </w:t>
            </w:r>
          </w:p>
        </w:tc>
      </w:tr>
      <w:tr w14:paraId="688670B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645F293">
            <w:pPr>
              <w:pStyle w:val="40"/>
              <w:bidi w:val="0"/>
              <w:rPr>
                <w:color w:val="0000FF"/>
              </w:rPr>
            </w:pPr>
            <w:r>
              <w:rPr>
                <w:color w:val="0000FF"/>
              </w:rPr>
              <w:t>12</w:t>
            </w:r>
          </w:p>
        </w:tc>
        <w:tc>
          <w:tcPr>
            <w:tcW w:w="688" w:type="pct"/>
            <w:noWrap w:val="0"/>
            <w:vAlign w:val="center"/>
          </w:tcPr>
          <w:p w14:paraId="0F213F1E">
            <w:pPr>
              <w:pStyle w:val="40"/>
              <w:bidi w:val="0"/>
              <w:rPr>
                <w:color w:val="0000FF"/>
              </w:rPr>
            </w:pPr>
            <w:r>
              <w:rPr>
                <w:rFonts w:hint="eastAsia"/>
                <w:color w:val="0000FF"/>
                <w:lang w:val="en-US" w:eastAsia="zh-CN"/>
              </w:rPr>
              <w:t xml:space="preserve">140 </w:t>
            </w:r>
          </w:p>
        </w:tc>
        <w:tc>
          <w:tcPr>
            <w:tcW w:w="1148" w:type="pct"/>
            <w:noWrap w:val="0"/>
            <w:vAlign w:val="center"/>
          </w:tcPr>
          <w:p w14:paraId="0CEA8A7D">
            <w:pPr>
              <w:pStyle w:val="40"/>
              <w:bidi w:val="0"/>
              <w:rPr>
                <w:color w:val="0000FF"/>
                <w:lang w:val="zh-CN"/>
              </w:rPr>
            </w:pPr>
            <w:r>
              <w:rPr>
                <w:rFonts w:hint="eastAsia"/>
                <w:color w:val="0000FF"/>
                <w:lang w:val="en-US" w:eastAsia="zh-CN"/>
              </w:rPr>
              <w:t xml:space="preserve">693.94 </w:t>
            </w:r>
          </w:p>
        </w:tc>
        <w:tc>
          <w:tcPr>
            <w:tcW w:w="1410" w:type="pct"/>
            <w:noWrap w:val="0"/>
            <w:vAlign w:val="center"/>
          </w:tcPr>
          <w:p w14:paraId="16D2B321">
            <w:pPr>
              <w:pStyle w:val="40"/>
              <w:bidi w:val="0"/>
              <w:rPr>
                <w:color w:val="0000FF"/>
                <w:lang w:val="zh-CN"/>
              </w:rPr>
            </w:pPr>
            <w:r>
              <w:rPr>
                <w:rFonts w:hint="eastAsia"/>
                <w:color w:val="0000FF"/>
                <w:lang w:val="en-US" w:eastAsia="zh-CN"/>
              </w:rPr>
              <w:t xml:space="preserve">12.00 </w:t>
            </w:r>
          </w:p>
        </w:tc>
        <w:tc>
          <w:tcPr>
            <w:tcW w:w="1410" w:type="pct"/>
            <w:noWrap w:val="0"/>
            <w:vAlign w:val="center"/>
          </w:tcPr>
          <w:p w14:paraId="5383A562">
            <w:pPr>
              <w:pStyle w:val="40"/>
              <w:bidi w:val="0"/>
              <w:rPr>
                <w:color w:val="0000FF"/>
                <w:lang w:val="zh-CN"/>
              </w:rPr>
            </w:pPr>
            <w:r>
              <w:rPr>
                <w:rFonts w:hint="eastAsia"/>
                <w:color w:val="0000FF"/>
                <w:lang w:val="en-US" w:eastAsia="zh-CN"/>
              </w:rPr>
              <w:t xml:space="preserve">6.00 </w:t>
            </w:r>
          </w:p>
        </w:tc>
      </w:tr>
      <w:tr w14:paraId="1DD0BB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01C294D7">
            <w:pPr>
              <w:pStyle w:val="40"/>
              <w:bidi w:val="0"/>
              <w:rPr>
                <w:color w:val="0000FF"/>
              </w:rPr>
            </w:pPr>
            <w:r>
              <w:rPr>
                <w:color w:val="0000FF"/>
              </w:rPr>
              <w:t>13</w:t>
            </w:r>
          </w:p>
        </w:tc>
        <w:tc>
          <w:tcPr>
            <w:tcW w:w="688" w:type="pct"/>
            <w:noWrap w:val="0"/>
            <w:vAlign w:val="center"/>
          </w:tcPr>
          <w:p w14:paraId="3C6EC276">
            <w:pPr>
              <w:pStyle w:val="40"/>
              <w:bidi w:val="0"/>
              <w:rPr>
                <w:color w:val="0000FF"/>
              </w:rPr>
            </w:pPr>
            <w:r>
              <w:rPr>
                <w:rFonts w:hint="eastAsia"/>
                <w:color w:val="0000FF"/>
                <w:lang w:val="en-US" w:eastAsia="zh-CN"/>
              </w:rPr>
              <w:t xml:space="preserve">150 </w:t>
            </w:r>
          </w:p>
        </w:tc>
        <w:tc>
          <w:tcPr>
            <w:tcW w:w="1148" w:type="pct"/>
            <w:noWrap w:val="0"/>
            <w:vAlign w:val="center"/>
          </w:tcPr>
          <w:p w14:paraId="4DF3B901">
            <w:pPr>
              <w:pStyle w:val="40"/>
              <w:bidi w:val="0"/>
              <w:rPr>
                <w:color w:val="0000FF"/>
                <w:lang w:val="zh-CN"/>
              </w:rPr>
            </w:pPr>
            <w:r>
              <w:rPr>
                <w:rFonts w:hint="eastAsia"/>
                <w:color w:val="0000FF"/>
                <w:lang w:val="en-US" w:eastAsia="zh-CN"/>
              </w:rPr>
              <w:t xml:space="preserve">660.65 </w:t>
            </w:r>
          </w:p>
        </w:tc>
        <w:tc>
          <w:tcPr>
            <w:tcW w:w="1410" w:type="pct"/>
            <w:noWrap w:val="0"/>
            <w:vAlign w:val="center"/>
          </w:tcPr>
          <w:p w14:paraId="0C6C2320">
            <w:pPr>
              <w:pStyle w:val="40"/>
              <w:bidi w:val="0"/>
              <w:rPr>
                <w:color w:val="0000FF"/>
                <w:lang w:val="zh-CN"/>
              </w:rPr>
            </w:pPr>
            <w:r>
              <w:rPr>
                <w:rFonts w:hint="eastAsia"/>
                <w:color w:val="0000FF"/>
                <w:lang w:val="en-US" w:eastAsia="zh-CN"/>
              </w:rPr>
              <w:t xml:space="preserve">12.00 </w:t>
            </w:r>
          </w:p>
        </w:tc>
        <w:tc>
          <w:tcPr>
            <w:tcW w:w="1410" w:type="pct"/>
            <w:noWrap w:val="0"/>
            <w:vAlign w:val="center"/>
          </w:tcPr>
          <w:p w14:paraId="07C70861">
            <w:pPr>
              <w:pStyle w:val="40"/>
              <w:bidi w:val="0"/>
              <w:rPr>
                <w:color w:val="0000FF"/>
                <w:lang w:val="zh-CN"/>
              </w:rPr>
            </w:pPr>
            <w:r>
              <w:rPr>
                <w:rFonts w:hint="eastAsia"/>
                <w:color w:val="0000FF"/>
                <w:lang w:val="en-US" w:eastAsia="zh-CN"/>
              </w:rPr>
              <w:t xml:space="preserve">6.00 </w:t>
            </w:r>
          </w:p>
        </w:tc>
      </w:tr>
      <w:tr w14:paraId="04F6F8D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D9C6F41">
            <w:pPr>
              <w:pStyle w:val="40"/>
              <w:bidi w:val="0"/>
              <w:rPr>
                <w:color w:val="0000FF"/>
              </w:rPr>
            </w:pPr>
            <w:r>
              <w:rPr>
                <w:color w:val="0000FF"/>
              </w:rPr>
              <w:t>14</w:t>
            </w:r>
          </w:p>
        </w:tc>
        <w:tc>
          <w:tcPr>
            <w:tcW w:w="688" w:type="pct"/>
            <w:noWrap w:val="0"/>
            <w:vAlign w:val="center"/>
          </w:tcPr>
          <w:p w14:paraId="778E1F68">
            <w:pPr>
              <w:pStyle w:val="40"/>
              <w:bidi w:val="0"/>
              <w:rPr>
                <w:color w:val="0000FF"/>
              </w:rPr>
            </w:pPr>
            <w:r>
              <w:rPr>
                <w:rFonts w:hint="eastAsia"/>
                <w:color w:val="0000FF"/>
                <w:lang w:val="en-US" w:eastAsia="zh-CN"/>
              </w:rPr>
              <w:t xml:space="preserve">160 </w:t>
            </w:r>
          </w:p>
        </w:tc>
        <w:tc>
          <w:tcPr>
            <w:tcW w:w="1148" w:type="pct"/>
            <w:noWrap w:val="0"/>
            <w:vAlign w:val="center"/>
          </w:tcPr>
          <w:p w14:paraId="50758C8B">
            <w:pPr>
              <w:pStyle w:val="40"/>
              <w:bidi w:val="0"/>
              <w:rPr>
                <w:color w:val="0000FF"/>
                <w:lang w:val="zh-CN"/>
              </w:rPr>
            </w:pPr>
            <w:r>
              <w:rPr>
                <w:rFonts w:hint="eastAsia"/>
                <w:color w:val="0000FF"/>
                <w:lang w:val="en-US" w:eastAsia="zh-CN"/>
              </w:rPr>
              <w:t xml:space="preserve">629.04 </w:t>
            </w:r>
          </w:p>
        </w:tc>
        <w:tc>
          <w:tcPr>
            <w:tcW w:w="1410" w:type="pct"/>
            <w:noWrap w:val="0"/>
            <w:vAlign w:val="center"/>
          </w:tcPr>
          <w:p w14:paraId="40B6E1BA">
            <w:pPr>
              <w:pStyle w:val="40"/>
              <w:bidi w:val="0"/>
              <w:rPr>
                <w:color w:val="0000FF"/>
                <w:lang w:val="zh-CN"/>
              </w:rPr>
            </w:pPr>
            <w:r>
              <w:rPr>
                <w:rFonts w:hint="eastAsia"/>
                <w:color w:val="0000FF"/>
                <w:lang w:val="en-US" w:eastAsia="zh-CN"/>
              </w:rPr>
              <w:t xml:space="preserve">13.00 </w:t>
            </w:r>
          </w:p>
        </w:tc>
        <w:tc>
          <w:tcPr>
            <w:tcW w:w="1410" w:type="pct"/>
            <w:noWrap w:val="0"/>
            <w:vAlign w:val="center"/>
          </w:tcPr>
          <w:p w14:paraId="43E6C746">
            <w:pPr>
              <w:pStyle w:val="40"/>
              <w:bidi w:val="0"/>
              <w:rPr>
                <w:color w:val="0000FF"/>
                <w:lang w:val="zh-CN"/>
              </w:rPr>
            </w:pPr>
            <w:r>
              <w:rPr>
                <w:rFonts w:hint="eastAsia"/>
                <w:color w:val="0000FF"/>
                <w:lang w:val="en-US" w:eastAsia="zh-CN"/>
              </w:rPr>
              <w:t xml:space="preserve">6.00 </w:t>
            </w:r>
          </w:p>
        </w:tc>
      </w:tr>
      <w:tr w14:paraId="307765A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9EBDE20">
            <w:pPr>
              <w:pStyle w:val="40"/>
              <w:bidi w:val="0"/>
              <w:rPr>
                <w:color w:val="0000FF"/>
              </w:rPr>
            </w:pPr>
            <w:r>
              <w:rPr>
                <w:color w:val="0000FF"/>
              </w:rPr>
              <w:t>15</w:t>
            </w:r>
          </w:p>
        </w:tc>
        <w:tc>
          <w:tcPr>
            <w:tcW w:w="688" w:type="pct"/>
            <w:noWrap w:val="0"/>
            <w:vAlign w:val="center"/>
          </w:tcPr>
          <w:p w14:paraId="6118474D">
            <w:pPr>
              <w:pStyle w:val="40"/>
              <w:bidi w:val="0"/>
              <w:rPr>
                <w:color w:val="0000FF"/>
              </w:rPr>
            </w:pPr>
            <w:r>
              <w:rPr>
                <w:rFonts w:hint="eastAsia"/>
                <w:color w:val="0000FF"/>
                <w:lang w:val="en-US" w:eastAsia="zh-CN"/>
              </w:rPr>
              <w:t xml:space="preserve">170 </w:t>
            </w:r>
          </w:p>
        </w:tc>
        <w:tc>
          <w:tcPr>
            <w:tcW w:w="1148" w:type="pct"/>
            <w:noWrap w:val="0"/>
            <w:vAlign w:val="center"/>
          </w:tcPr>
          <w:p w14:paraId="3EF01550">
            <w:pPr>
              <w:pStyle w:val="40"/>
              <w:bidi w:val="0"/>
              <w:rPr>
                <w:color w:val="0000FF"/>
                <w:lang w:val="zh-CN"/>
              </w:rPr>
            </w:pPr>
            <w:r>
              <w:rPr>
                <w:rFonts w:hint="eastAsia"/>
                <w:color w:val="0000FF"/>
                <w:lang w:val="en-US" w:eastAsia="zh-CN"/>
              </w:rPr>
              <w:t xml:space="preserve">599.08 </w:t>
            </w:r>
          </w:p>
        </w:tc>
        <w:tc>
          <w:tcPr>
            <w:tcW w:w="1410" w:type="pct"/>
            <w:noWrap w:val="0"/>
            <w:vAlign w:val="center"/>
          </w:tcPr>
          <w:p w14:paraId="03117956">
            <w:pPr>
              <w:pStyle w:val="40"/>
              <w:bidi w:val="0"/>
              <w:rPr>
                <w:color w:val="0000FF"/>
                <w:lang w:val="zh-CN"/>
              </w:rPr>
            </w:pPr>
            <w:r>
              <w:rPr>
                <w:rFonts w:hint="eastAsia"/>
                <w:color w:val="0000FF"/>
                <w:lang w:val="en-US" w:eastAsia="zh-CN"/>
              </w:rPr>
              <w:t xml:space="preserve">14.00 </w:t>
            </w:r>
          </w:p>
        </w:tc>
        <w:tc>
          <w:tcPr>
            <w:tcW w:w="1410" w:type="pct"/>
            <w:noWrap w:val="0"/>
            <w:vAlign w:val="center"/>
          </w:tcPr>
          <w:p w14:paraId="4E4879E3">
            <w:pPr>
              <w:pStyle w:val="40"/>
              <w:bidi w:val="0"/>
              <w:rPr>
                <w:color w:val="0000FF"/>
                <w:lang w:val="zh-CN"/>
              </w:rPr>
            </w:pPr>
            <w:r>
              <w:rPr>
                <w:rFonts w:hint="eastAsia"/>
                <w:color w:val="0000FF"/>
                <w:lang w:val="en-US" w:eastAsia="zh-CN"/>
              </w:rPr>
              <w:t xml:space="preserve">7.00 </w:t>
            </w:r>
          </w:p>
        </w:tc>
      </w:tr>
      <w:tr w14:paraId="595F683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A7DD353">
            <w:pPr>
              <w:pStyle w:val="40"/>
              <w:bidi w:val="0"/>
              <w:rPr>
                <w:color w:val="0000FF"/>
              </w:rPr>
            </w:pPr>
            <w:r>
              <w:rPr>
                <w:color w:val="0000FF"/>
              </w:rPr>
              <w:t>16</w:t>
            </w:r>
          </w:p>
        </w:tc>
        <w:tc>
          <w:tcPr>
            <w:tcW w:w="688" w:type="pct"/>
            <w:noWrap w:val="0"/>
            <w:vAlign w:val="center"/>
          </w:tcPr>
          <w:p w14:paraId="18095914">
            <w:pPr>
              <w:pStyle w:val="40"/>
              <w:bidi w:val="0"/>
              <w:rPr>
                <w:color w:val="0000FF"/>
              </w:rPr>
            </w:pPr>
            <w:r>
              <w:rPr>
                <w:rFonts w:hint="eastAsia"/>
                <w:color w:val="0000FF"/>
                <w:lang w:val="en-US" w:eastAsia="zh-CN"/>
              </w:rPr>
              <w:t xml:space="preserve">180 </w:t>
            </w:r>
          </w:p>
        </w:tc>
        <w:tc>
          <w:tcPr>
            <w:tcW w:w="1148" w:type="pct"/>
            <w:noWrap w:val="0"/>
            <w:vAlign w:val="center"/>
          </w:tcPr>
          <w:p w14:paraId="7935DD22">
            <w:pPr>
              <w:pStyle w:val="40"/>
              <w:bidi w:val="0"/>
              <w:rPr>
                <w:color w:val="0000FF"/>
                <w:lang w:val="zh-CN"/>
              </w:rPr>
            </w:pPr>
            <w:r>
              <w:rPr>
                <w:rFonts w:hint="eastAsia"/>
                <w:color w:val="0000FF"/>
                <w:lang w:val="en-US" w:eastAsia="zh-CN"/>
              </w:rPr>
              <w:t xml:space="preserve">570.73 </w:t>
            </w:r>
          </w:p>
        </w:tc>
        <w:tc>
          <w:tcPr>
            <w:tcW w:w="1410" w:type="pct"/>
            <w:noWrap w:val="0"/>
            <w:vAlign w:val="center"/>
          </w:tcPr>
          <w:p w14:paraId="5C8829B0">
            <w:pPr>
              <w:pStyle w:val="40"/>
              <w:bidi w:val="0"/>
              <w:rPr>
                <w:color w:val="0000FF"/>
                <w:lang w:val="zh-CN"/>
              </w:rPr>
            </w:pPr>
            <w:r>
              <w:rPr>
                <w:rFonts w:hint="eastAsia"/>
                <w:color w:val="0000FF"/>
                <w:lang w:val="en-US" w:eastAsia="zh-CN"/>
              </w:rPr>
              <w:t xml:space="preserve">14.00 </w:t>
            </w:r>
          </w:p>
        </w:tc>
        <w:tc>
          <w:tcPr>
            <w:tcW w:w="1410" w:type="pct"/>
            <w:noWrap w:val="0"/>
            <w:vAlign w:val="center"/>
          </w:tcPr>
          <w:p w14:paraId="4D05CDFE">
            <w:pPr>
              <w:pStyle w:val="40"/>
              <w:bidi w:val="0"/>
              <w:rPr>
                <w:color w:val="0000FF"/>
                <w:lang w:val="zh-CN"/>
              </w:rPr>
            </w:pPr>
            <w:r>
              <w:rPr>
                <w:rFonts w:hint="eastAsia"/>
                <w:color w:val="0000FF"/>
                <w:lang w:val="en-US" w:eastAsia="zh-CN"/>
              </w:rPr>
              <w:t xml:space="preserve">6.00 </w:t>
            </w:r>
          </w:p>
        </w:tc>
      </w:tr>
      <w:tr w14:paraId="04FC569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456F9F27">
            <w:pPr>
              <w:pStyle w:val="40"/>
              <w:bidi w:val="0"/>
              <w:rPr>
                <w:color w:val="0000FF"/>
              </w:rPr>
            </w:pPr>
            <w:r>
              <w:rPr>
                <w:color w:val="0000FF"/>
              </w:rPr>
              <w:t>17</w:t>
            </w:r>
          </w:p>
        </w:tc>
        <w:tc>
          <w:tcPr>
            <w:tcW w:w="688" w:type="pct"/>
            <w:noWrap w:val="0"/>
            <w:vAlign w:val="center"/>
          </w:tcPr>
          <w:p w14:paraId="07F97062">
            <w:pPr>
              <w:pStyle w:val="40"/>
              <w:bidi w:val="0"/>
              <w:rPr>
                <w:color w:val="0000FF"/>
              </w:rPr>
            </w:pPr>
            <w:r>
              <w:rPr>
                <w:rFonts w:hint="eastAsia"/>
                <w:color w:val="0000FF"/>
                <w:lang w:val="en-US" w:eastAsia="zh-CN"/>
              </w:rPr>
              <w:t xml:space="preserve">190 </w:t>
            </w:r>
          </w:p>
        </w:tc>
        <w:tc>
          <w:tcPr>
            <w:tcW w:w="1148" w:type="pct"/>
            <w:noWrap w:val="0"/>
            <w:vAlign w:val="center"/>
          </w:tcPr>
          <w:p w14:paraId="12827497">
            <w:pPr>
              <w:pStyle w:val="40"/>
              <w:bidi w:val="0"/>
              <w:rPr>
                <w:color w:val="0000FF"/>
                <w:lang w:val="zh-CN"/>
              </w:rPr>
            </w:pPr>
            <w:r>
              <w:rPr>
                <w:rFonts w:hint="eastAsia"/>
                <w:color w:val="0000FF"/>
                <w:lang w:val="en-US" w:eastAsia="zh-CN"/>
              </w:rPr>
              <w:t xml:space="preserve">543.94 </w:t>
            </w:r>
          </w:p>
        </w:tc>
        <w:tc>
          <w:tcPr>
            <w:tcW w:w="1410" w:type="pct"/>
            <w:noWrap w:val="0"/>
            <w:vAlign w:val="center"/>
          </w:tcPr>
          <w:p w14:paraId="71F790F8">
            <w:pPr>
              <w:pStyle w:val="40"/>
              <w:bidi w:val="0"/>
              <w:rPr>
                <w:color w:val="0000FF"/>
                <w:lang w:val="zh-CN"/>
              </w:rPr>
            </w:pPr>
            <w:r>
              <w:rPr>
                <w:rFonts w:hint="eastAsia"/>
                <w:color w:val="0000FF"/>
                <w:lang w:val="en-US" w:eastAsia="zh-CN"/>
              </w:rPr>
              <w:t xml:space="preserve">15.00 </w:t>
            </w:r>
          </w:p>
        </w:tc>
        <w:tc>
          <w:tcPr>
            <w:tcW w:w="1410" w:type="pct"/>
            <w:noWrap w:val="0"/>
            <w:vAlign w:val="center"/>
          </w:tcPr>
          <w:p w14:paraId="0129AD16">
            <w:pPr>
              <w:pStyle w:val="40"/>
              <w:bidi w:val="0"/>
              <w:rPr>
                <w:color w:val="0000FF"/>
                <w:lang w:val="zh-CN"/>
              </w:rPr>
            </w:pPr>
            <w:r>
              <w:rPr>
                <w:rFonts w:hint="eastAsia"/>
                <w:color w:val="0000FF"/>
                <w:lang w:val="en-US" w:eastAsia="zh-CN"/>
              </w:rPr>
              <w:t xml:space="preserve">6.00 </w:t>
            </w:r>
          </w:p>
        </w:tc>
      </w:tr>
      <w:tr w14:paraId="3AF4447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5CED4C15">
            <w:pPr>
              <w:pStyle w:val="40"/>
              <w:bidi w:val="0"/>
              <w:rPr>
                <w:color w:val="0000FF"/>
              </w:rPr>
            </w:pPr>
            <w:r>
              <w:rPr>
                <w:color w:val="0000FF"/>
              </w:rPr>
              <w:t>18</w:t>
            </w:r>
          </w:p>
        </w:tc>
        <w:tc>
          <w:tcPr>
            <w:tcW w:w="688" w:type="pct"/>
            <w:noWrap w:val="0"/>
            <w:vAlign w:val="center"/>
          </w:tcPr>
          <w:p w14:paraId="3571CEB8">
            <w:pPr>
              <w:pStyle w:val="40"/>
              <w:bidi w:val="0"/>
              <w:rPr>
                <w:color w:val="0000FF"/>
              </w:rPr>
            </w:pPr>
            <w:r>
              <w:rPr>
                <w:rFonts w:hint="eastAsia"/>
                <w:color w:val="0000FF"/>
                <w:lang w:val="en-US" w:eastAsia="zh-CN"/>
              </w:rPr>
              <w:t xml:space="preserve">200 </w:t>
            </w:r>
          </w:p>
        </w:tc>
        <w:tc>
          <w:tcPr>
            <w:tcW w:w="1148" w:type="pct"/>
            <w:noWrap w:val="0"/>
            <w:vAlign w:val="center"/>
          </w:tcPr>
          <w:p w14:paraId="56B93D6A">
            <w:pPr>
              <w:pStyle w:val="40"/>
              <w:bidi w:val="0"/>
              <w:rPr>
                <w:color w:val="0000FF"/>
                <w:lang w:val="zh-CN"/>
              </w:rPr>
            </w:pPr>
            <w:r>
              <w:rPr>
                <w:rFonts w:hint="eastAsia"/>
                <w:color w:val="0000FF"/>
                <w:lang w:val="en-US" w:eastAsia="zh-CN"/>
              </w:rPr>
              <w:t xml:space="preserve">518.65 </w:t>
            </w:r>
          </w:p>
        </w:tc>
        <w:tc>
          <w:tcPr>
            <w:tcW w:w="1410" w:type="pct"/>
            <w:noWrap w:val="0"/>
            <w:vAlign w:val="center"/>
          </w:tcPr>
          <w:p w14:paraId="1DCF0949">
            <w:pPr>
              <w:pStyle w:val="40"/>
              <w:bidi w:val="0"/>
              <w:rPr>
                <w:color w:val="0000FF"/>
                <w:lang w:val="zh-CN"/>
              </w:rPr>
            </w:pPr>
            <w:r>
              <w:rPr>
                <w:rFonts w:hint="eastAsia"/>
                <w:color w:val="0000FF"/>
                <w:lang w:val="en-US" w:eastAsia="zh-CN"/>
              </w:rPr>
              <w:t xml:space="preserve">15.00 </w:t>
            </w:r>
          </w:p>
        </w:tc>
        <w:tc>
          <w:tcPr>
            <w:tcW w:w="1410" w:type="pct"/>
            <w:noWrap w:val="0"/>
            <w:vAlign w:val="center"/>
          </w:tcPr>
          <w:p w14:paraId="2327FE14">
            <w:pPr>
              <w:pStyle w:val="40"/>
              <w:bidi w:val="0"/>
              <w:rPr>
                <w:color w:val="0000FF"/>
                <w:lang w:val="zh-CN"/>
              </w:rPr>
            </w:pPr>
            <w:r>
              <w:rPr>
                <w:rFonts w:hint="eastAsia"/>
                <w:color w:val="0000FF"/>
                <w:lang w:val="en-US" w:eastAsia="zh-CN"/>
              </w:rPr>
              <w:t xml:space="preserve">6.00 </w:t>
            </w:r>
          </w:p>
        </w:tc>
      </w:tr>
      <w:tr w14:paraId="09452EA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85986F5">
            <w:pPr>
              <w:pStyle w:val="40"/>
              <w:bidi w:val="0"/>
              <w:rPr>
                <w:color w:val="0000FF"/>
              </w:rPr>
            </w:pPr>
            <w:r>
              <w:rPr>
                <w:color w:val="0000FF"/>
              </w:rPr>
              <w:t>19</w:t>
            </w:r>
          </w:p>
        </w:tc>
        <w:tc>
          <w:tcPr>
            <w:tcW w:w="688" w:type="pct"/>
            <w:noWrap w:val="0"/>
            <w:vAlign w:val="center"/>
          </w:tcPr>
          <w:p w14:paraId="4E5881BF">
            <w:pPr>
              <w:pStyle w:val="40"/>
              <w:bidi w:val="0"/>
              <w:rPr>
                <w:color w:val="0000FF"/>
              </w:rPr>
            </w:pPr>
            <w:r>
              <w:rPr>
                <w:rFonts w:hint="eastAsia"/>
                <w:color w:val="0000FF"/>
                <w:lang w:val="en-US" w:eastAsia="zh-CN"/>
              </w:rPr>
              <w:t xml:space="preserve">210 </w:t>
            </w:r>
          </w:p>
        </w:tc>
        <w:tc>
          <w:tcPr>
            <w:tcW w:w="1148" w:type="pct"/>
            <w:noWrap w:val="0"/>
            <w:vAlign w:val="center"/>
          </w:tcPr>
          <w:p w14:paraId="355459AF">
            <w:pPr>
              <w:pStyle w:val="40"/>
              <w:bidi w:val="0"/>
              <w:rPr>
                <w:color w:val="0000FF"/>
                <w:lang w:val="zh-CN"/>
              </w:rPr>
            </w:pPr>
            <w:r>
              <w:rPr>
                <w:rFonts w:hint="eastAsia"/>
                <w:color w:val="0000FF"/>
                <w:lang w:val="en-US" w:eastAsia="zh-CN"/>
              </w:rPr>
              <w:t xml:space="preserve">494.80 </w:t>
            </w:r>
          </w:p>
        </w:tc>
        <w:tc>
          <w:tcPr>
            <w:tcW w:w="1410" w:type="pct"/>
            <w:noWrap w:val="0"/>
            <w:vAlign w:val="center"/>
          </w:tcPr>
          <w:p w14:paraId="33CBE7FF">
            <w:pPr>
              <w:pStyle w:val="40"/>
              <w:bidi w:val="0"/>
              <w:rPr>
                <w:color w:val="0000FF"/>
                <w:lang w:val="zh-CN"/>
              </w:rPr>
            </w:pPr>
            <w:r>
              <w:rPr>
                <w:rFonts w:hint="eastAsia"/>
                <w:color w:val="0000FF"/>
                <w:lang w:val="en-US" w:eastAsia="zh-CN"/>
              </w:rPr>
              <w:t xml:space="preserve">16.00 </w:t>
            </w:r>
          </w:p>
        </w:tc>
        <w:tc>
          <w:tcPr>
            <w:tcW w:w="1410" w:type="pct"/>
            <w:noWrap w:val="0"/>
            <w:vAlign w:val="center"/>
          </w:tcPr>
          <w:p w14:paraId="58543BA0">
            <w:pPr>
              <w:pStyle w:val="40"/>
              <w:bidi w:val="0"/>
              <w:rPr>
                <w:color w:val="0000FF"/>
                <w:lang w:val="zh-CN"/>
              </w:rPr>
            </w:pPr>
            <w:r>
              <w:rPr>
                <w:rFonts w:hint="eastAsia"/>
                <w:color w:val="0000FF"/>
                <w:lang w:val="en-US" w:eastAsia="zh-CN"/>
              </w:rPr>
              <w:t xml:space="preserve">6.00 </w:t>
            </w:r>
          </w:p>
        </w:tc>
      </w:tr>
      <w:tr w14:paraId="003DABD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524F70DE">
            <w:pPr>
              <w:pStyle w:val="40"/>
              <w:bidi w:val="0"/>
              <w:rPr>
                <w:color w:val="0000FF"/>
              </w:rPr>
            </w:pPr>
            <w:r>
              <w:rPr>
                <w:color w:val="0000FF"/>
              </w:rPr>
              <w:t>20</w:t>
            </w:r>
          </w:p>
        </w:tc>
        <w:tc>
          <w:tcPr>
            <w:tcW w:w="688" w:type="pct"/>
            <w:noWrap w:val="0"/>
            <w:vAlign w:val="center"/>
          </w:tcPr>
          <w:p w14:paraId="61E99BC2">
            <w:pPr>
              <w:pStyle w:val="40"/>
              <w:bidi w:val="0"/>
              <w:rPr>
                <w:color w:val="0000FF"/>
              </w:rPr>
            </w:pPr>
            <w:r>
              <w:rPr>
                <w:rFonts w:hint="eastAsia"/>
                <w:color w:val="0000FF"/>
                <w:lang w:val="en-US" w:eastAsia="zh-CN"/>
              </w:rPr>
              <w:t xml:space="preserve">220 </w:t>
            </w:r>
          </w:p>
        </w:tc>
        <w:tc>
          <w:tcPr>
            <w:tcW w:w="1148" w:type="pct"/>
            <w:noWrap w:val="0"/>
            <w:vAlign w:val="center"/>
          </w:tcPr>
          <w:p w14:paraId="54CFE790">
            <w:pPr>
              <w:pStyle w:val="40"/>
              <w:bidi w:val="0"/>
              <w:rPr>
                <w:color w:val="0000FF"/>
                <w:lang w:val="zh-CN"/>
              </w:rPr>
            </w:pPr>
            <w:r>
              <w:rPr>
                <w:rFonts w:hint="eastAsia"/>
                <w:color w:val="0000FF"/>
                <w:lang w:val="en-US" w:eastAsia="zh-CN"/>
              </w:rPr>
              <w:t xml:space="preserve">472.31 </w:t>
            </w:r>
          </w:p>
        </w:tc>
        <w:tc>
          <w:tcPr>
            <w:tcW w:w="1410" w:type="pct"/>
            <w:noWrap w:val="0"/>
            <w:vAlign w:val="center"/>
          </w:tcPr>
          <w:p w14:paraId="7A9B1DB2">
            <w:pPr>
              <w:pStyle w:val="40"/>
              <w:bidi w:val="0"/>
              <w:rPr>
                <w:color w:val="0000FF"/>
                <w:lang w:val="zh-CN"/>
              </w:rPr>
            </w:pPr>
            <w:r>
              <w:rPr>
                <w:rFonts w:hint="eastAsia"/>
                <w:color w:val="0000FF"/>
                <w:lang w:val="en-US" w:eastAsia="zh-CN"/>
              </w:rPr>
              <w:t xml:space="preserve">16.00 </w:t>
            </w:r>
          </w:p>
        </w:tc>
        <w:tc>
          <w:tcPr>
            <w:tcW w:w="1410" w:type="pct"/>
            <w:noWrap w:val="0"/>
            <w:vAlign w:val="center"/>
          </w:tcPr>
          <w:p w14:paraId="0B3A97B3">
            <w:pPr>
              <w:pStyle w:val="40"/>
              <w:bidi w:val="0"/>
              <w:rPr>
                <w:color w:val="0000FF"/>
                <w:lang w:val="zh-CN"/>
              </w:rPr>
            </w:pPr>
            <w:r>
              <w:rPr>
                <w:rFonts w:hint="eastAsia"/>
                <w:color w:val="0000FF"/>
                <w:lang w:val="en-US" w:eastAsia="zh-CN"/>
              </w:rPr>
              <w:t xml:space="preserve">6.00 </w:t>
            </w:r>
          </w:p>
        </w:tc>
      </w:tr>
      <w:tr w14:paraId="6A2C945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E983F27">
            <w:pPr>
              <w:pStyle w:val="40"/>
              <w:bidi w:val="0"/>
              <w:rPr>
                <w:color w:val="0000FF"/>
              </w:rPr>
            </w:pPr>
            <w:r>
              <w:rPr>
                <w:color w:val="0000FF"/>
              </w:rPr>
              <w:t>21</w:t>
            </w:r>
          </w:p>
        </w:tc>
        <w:tc>
          <w:tcPr>
            <w:tcW w:w="688" w:type="pct"/>
            <w:noWrap w:val="0"/>
            <w:vAlign w:val="center"/>
          </w:tcPr>
          <w:p w14:paraId="6CF06AD9">
            <w:pPr>
              <w:pStyle w:val="40"/>
              <w:bidi w:val="0"/>
              <w:rPr>
                <w:color w:val="0000FF"/>
              </w:rPr>
            </w:pPr>
            <w:r>
              <w:rPr>
                <w:rFonts w:hint="eastAsia"/>
                <w:color w:val="0000FF"/>
                <w:lang w:val="en-US" w:eastAsia="zh-CN"/>
              </w:rPr>
              <w:t xml:space="preserve">230 </w:t>
            </w:r>
          </w:p>
        </w:tc>
        <w:tc>
          <w:tcPr>
            <w:tcW w:w="1148" w:type="pct"/>
            <w:noWrap w:val="0"/>
            <w:vAlign w:val="center"/>
          </w:tcPr>
          <w:p w14:paraId="3873927B">
            <w:pPr>
              <w:pStyle w:val="40"/>
              <w:bidi w:val="0"/>
              <w:rPr>
                <w:color w:val="0000FF"/>
                <w:lang w:val="zh-CN"/>
              </w:rPr>
            </w:pPr>
            <w:r>
              <w:rPr>
                <w:rFonts w:hint="eastAsia"/>
                <w:color w:val="0000FF"/>
                <w:lang w:val="en-US" w:eastAsia="zh-CN"/>
              </w:rPr>
              <w:t xml:space="preserve">451.13 </w:t>
            </w:r>
          </w:p>
        </w:tc>
        <w:tc>
          <w:tcPr>
            <w:tcW w:w="1410" w:type="pct"/>
            <w:noWrap w:val="0"/>
            <w:vAlign w:val="center"/>
          </w:tcPr>
          <w:p w14:paraId="226173FE">
            <w:pPr>
              <w:pStyle w:val="40"/>
              <w:bidi w:val="0"/>
              <w:rPr>
                <w:color w:val="0000FF"/>
                <w:lang w:val="zh-CN"/>
              </w:rPr>
            </w:pPr>
            <w:r>
              <w:rPr>
                <w:rFonts w:hint="eastAsia"/>
                <w:color w:val="0000FF"/>
                <w:lang w:val="en-US" w:eastAsia="zh-CN"/>
              </w:rPr>
              <w:t xml:space="preserve">16.00 </w:t>
            </w:r>
          </w:p>
        </w:tc>
        <w:tc>
          <w:tcPr>
            <w:tcW w:w="1410" w:type="pct"/>
            <w:noWrap w:val="0"/>
            <w:vAlign w:val="center"/>
          </w:tcPr>
          <w:p w14:paraId="6C6C80A9">
            <w:pPr>
              <w:pStyle w:val="40"/>
              <w:bidi w:val="0"/>
              <w:rPr>
                <w:color w:val="0000FF"/>
                <w:lang w:val="zh-CN"/>
              </w:rPr>
            </w:pPr>
            <w:r>
              <w:rPr>
                <w:rFonts w:hint="eastAsia"/>
                <w:color w:val="0000FF"/>
                <w:lang w:val="en-US" w:eastAsia="zh-CN"/>
              </w:rPr>
              <w:t xml:space="preserve">5.00 </w:t>
            </w:r>
          </w:p>
        </w:tc>
      </w:tr>
      <w:tr w14:paraId="461EE45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DD35E1E">
            <w:pPr>
              <w:pStyle w:val="40"/>
              <w:bidi w:val="0"/>
              <w:rPr>
                <w:color w:val="0000FF"/>
              </w:rPr>
            </w:pPr>
            <w:r>
              <w:rPr>
                <w:color w:val="0000FF"/>
              </w:rPr>
              <w:t>22</w:t>
            </w:r>
          </w:p>
        </w:tc>
        <w:tc>
          <w:tcPr>
            <w:tcW w:w="688" w:type="pct"/>
            <w:noWrap w:val="0"/>
            <w:vAlign w:val="center"/>
          </w:tcPr>
          <w:p w14:paraId="3CF1660D">
            <w:pPr>
              <w:pStyle w:val="40"/>
              <w:bidi w:val="0"/>
              <w:rPr>
                <w:color w:val="0000FF"/>
              </w:rPr>
            </w:pPr>
            <w:r>
              <w:rPr>
                <w:rFonts w:hint="eastAsia"/>
                <w:color w:val="0000FF"/>
                <w:lang w:val="en-US" w:eastAsia="zh-CN"/>
              </w:rPr>
              <w:t xml:space="preserve">240 </w:t>
            </w:r>
          </w:p>
        </w:tc>
        <w:tc>
          <w:tcPr>
            <w:tcW w:w="1148" w:type="pct"/>
            <w:noWrap w:val="0"/>
            <w:vAlign w:val="center"/>
          </w:tcPr>
          <w:p w14:paraId="0F25EED0">
            <w:pPr>
              <w:pStyle w:val="40"/>
              <w:bidi w:val="0"/>
              <w:rPr>
                <w:color w:val="0000FF"/>
                <w:lang w:val="zh-CN"/>
              </w:rPr>
            </w:pPr>
            <w:r>
              <w:rPr>
                <w:rFonts w:hint="eastAsia"/>
                <w:color w:val="0000FF"/>
                <w:lang w:val="en-US" w:eastAsia="zh-CN"/>
              </w:rPr>
              <w:t xml:space="preserve">431.18 </w:t>
            </w:r>
          </w:p>
        </w:tc>
        <w:tc>
          <w:tcPr>
            <w:tcW w:w="1410" w:type="pct"/>
            <w:noWrap w:val="0"/>
            <w:vAlign w:val="center"/>
          </w:tcPr>
          <w:p w14:paraId="10E6E3C8">
            <w:pPr>
              <w:pStyle w:val="40"/>
              <w:bidi w:val="0"/>
              <w:rPr>
                <w:color w:val="0000FF"/>
                <w:lang w:val="zh-CN"/>
              </w:rPr>
            </w:pPr>
            <w:r>
              <w:rPr>
                <w:rFonts w:hint="eastAsia"/>
                <w:color w:val="0000FF"/>
                <w:lang w:val="en-US" w:eastAsia="zh-CN"/>
              </w:rPr>
              <w:t xml:space="preserve">17.00 </w:t>
            </w:r>
          </w:p>
        </w:tc>
        <w:tc>
          <w:tcPr>
            <w:tcW w:w="1410" w:type="pct"/>
            <w:noWrap w:val="0"/>
            <w:vAlign w:val="center"/>
          </w:tcPr>
          <w:p w14:paraId="38AFEF7E">
            <w:pPr>
              <w:pStyle w:val="40"/>
              <w:bidi w:val="0"/>
              <w:rPr>
                <w:color w:val="0000FF"/>
                <w:lang w:val="zh-CN"/>
              </w:rPr>
            </w:pPr>
            <w:r>
              <w:rPr>
                <w:rFonts w:hint="eastAsia"/>
                <w:color w:val="0000FF"/>
                <w:lang w:val="en-US" w:eastAsia="zh-CN"/>
              </w:rPr>
              <w:t xml:space="preserve">5.00 </w:t>
            </w:r>
          </w:p>
        </w:tc>
      </w:tr>
      <w:tr w14:paraId="56E8D84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88802A7">
            <w:pPr>
              <w:pStyle w:val="40"/>
              <w:bidi w:val="0"/>
              <w:rPr>
                <w:color w:val="0000FF"/>
              </w:rPr>
            </w:pPr>
            <w:r>
              <w:rPr>
                <w:color w:val="0000FF"/>
              </w:rPr>
              <w:t>23</w:t>
            </w:r>
          </w:p>
        </w:tc>
        <w:tc>
          <w:tcPr>
            <w:tcW w:w="688" w:type="pct"/>
            <w:noWrap w:val="0"/>
            <w:vAlign w:val="center"/>
          </w:tcPr>
          <w:p w14:paraId="40997CEF">
            <w:pPr>
              <w:pStyle w:val="40"/>
              <w:bidi w:val="0"/>
              <w:rPr>
                <w:color w:val="0000FF"/>
              </w:rPr>
            </w:pPr>
            <w:r>
              <w:rPr>
                <w:rFonts w:hint="eastAsia"/>
                <w:color w:val="0000FF"/>
                <w:lang w:val="en-US" w:eastAsia="zh-CN"/>
              </w:rPr>
              <w:t xml:space="preserve">250 </w:t>
            </w:r>
          </w:p>
        </w:tc>
        <w:tc>
          <w:tcPr>
            <w:tcW w:w="1148" w:type="pct"/>
            <w:noWrap w:val="0"/>
            <w:vAlign w:val="center"/>
          </w:tcPr>
          <w:p w14:paraId="684BA4DB">
            <w:pPr>
              <w:pStyle w:val="40"/>
              <w:bidi w:val="0"/>
              <w:rPr>
                <w:color w:val="0000FF"/>
                <w:lang w:val="zh-CN"/>
              </w:rPr>
            </w:pPr>
            <w:r>
              <w:rPr>
                <w:rFonts w:hint="eastAsia"/>
                <w:color w:val="0000FF"/>
                <w:lang w:val="en-US" w:eastAsia="zh-CN"/>
              </w:rPr>
              <w:t xml:space="preserve">412.38 </w:t>
            </w:r>
          </w:p>
        </w:tc>
        <w:tc>
          <w:tcPr>
            <w:tcW w:w="1410" w:type="pct"/>
            <w:noWrap w:val="0"/>
            <w:vAlign w:val="center"/>
          </w:tcPr>
          <w:p w14:paraId="045CDB70">
            <w:pPr>
              <w:pStyle w:val="40"/>
              <w:bidi w:val="0"/>
              <w:rPr>
                <w:color w:val="0000FF"/>
                <w:lang w:val="zh-CN"/>
              </w:rPr>
            </w:pPr>
            <w:r>
              <w:rPr>
                <w:rFonts w:hint="eastAsia"/>
                <w:color w:val="0000FF"/>
                <w:lang w:val="en-US" w:eastAsia="zh-CN"/>
              </w:rPr>
              <w:t xml:space="preserve">17.00 </w:t>
            </w:r>
          </w:p>
        </w:tc>
        <w:tc>
          <w:tcPr>
            <w:tcW w:w="1410" w:type="pct"/>
            <w:noWrap w:val="0"/>
            <w:vAlign w:val="center"/>
          </w:tcPr>
          <w:p w14:paraId="6F6825EA">
            <w:pPr>
              <w:pStyle w:val="40"/>
              <w:bidi w:val="0"/>
              <w:rPr>
                <w:color w:val="0000FF"/>
                <w:lang w:val="zh-CN"/>
              </w:rPr>
            </w:pPr>
            <w:r>
              <w:rPr>
                <w:rFonts w:hint="eastAsia"/>
                <w:color w:val="0000FF"/>
                <w:lang w:val="en-US" w:eastAsia="zh-CN"/>
              </w:rPr>
              <w:t xml:space="preserve">4.00 </w:t>
            </w:r>
          </w:p>
        </w:tc>
      </w:tr>
      <w:tr w14:paraId="7C353ED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5F1F2BF3">
            <w:pPr>
              <w:pStyle w:val="40"/>
              <w:bidi w:val="0"/>
              <w:rPr>
                <w:color w:val="0000FF"/>
              </w:rPr>
            </w:pPr>
            <w:r>
              <w:rPr>
                <w:color w:val="0000FF"/>
              </w:rPr>
              <w:t>24</w:t>
            </w:r>
          </w:p>
        </w:tc>
        <w:tc>
          <w:tcPr>
            <w:tcW w:w="688" w:type="pct"/>
            <w:noWrap w:val="0"/>
            <w:vAlign w:val="center"/>
          </w:tcPr>
          <w:p w14:paraId="7A3E276E">
            <w:pPr>
              <w:pStyle w:val="40"/>
              <w:bidi w:val="0"/>
              <w:rPr>
                <w:color w:val="0000FF"/>
              </w:rPr>
            </w:pPr>
            <w:r>
              <w:rPr>
                <w:rFonts w:hint="eastAsia"/>
                <w:color w:val="0000FF"/>
                <w:lang w:val="en-US" w:eastAsia="zh-CN"/>
              </w:rPr>
              <w:t xml:space="preserve">260 </w:t>
            </w:r>
          </w:p>
        </w:tc>
        <w:tc>
          <w:tcPr>
            <w:tcW w:w="1148" w:type="pct"/>
            <w:noWrap w:val="0"/>
            <w:vAlign w:val="center"/>
          </w:tcPr>
          <w:p w14:paraId="035D42B0">
            <w:pPr>
              <w:pStyle w:val="40"/>
              <w:bidi w:val="0"/>
              <w:rPr>
                <w:color w:val="0000FF"/>
                <w:lang w:val="zh-CN"/>
              </w:rPr>
            </w:pPr>
            <w:r>
              <w:rPr>
                <w:rFonts w:hint="eastAsia"/>
                <w:color w:val="0000FF"/>
                <w:lang w:val="en-US" w:eastAsia="zh-CN"/>
              </w:rPr>
              <w:t xml:space="preserve">394.68 </w:t>
            </w:r>
          </w:p>
        </w:tc>
        <w:tc>
          <w:tcPr>
            <w:tcW w:w="1410" w:type="pct"/>
            <w:noWrap w:val="0"/>
            <w:vAlign w:val="center"/>
          </w:tcPr>
          <w:p w14:paraId="100608CD">
            <w:pPr>
              <w:pStyle w:val="40"/>
              <w:bidi w:val="0"/>
              <w:rPr>
                <w:color w:val="0000FF"/>
                <w:lang w:val="zh-CN"/>
              </w:rPr>
            </w:pPr>
            <w:r>
              <w:rPr>
                <w:rFonts w:hint="eastAsia"/>
                <w:color w:val="0000FF"/>
                <w:lang w:val="en-US" w:eastAsia="zh-CN"/>
              </w:rPr>
              <w:t xml:space="preserve">18.00 </w:t>
            </w:r>
          </w:p>
        </w:tc>
        <w:tc>
          <w:tcPr>
            <w:tcW w:w="1410" w:type="pct"/>
            <w:noWrap w:val="0"/>
            <w:vAlign w:val="center"/>
          </w:tcPr>
          <w:p w14:paraId="1D571193">
            <w:pPr>
              <w:pStyle w:val="40"/>
              <w:bidi w:val="0"/>
              <w:rPr>
                <w:color w:val="0000FF"/>
                <w:lang w:val="zh-CN"/>
              </w:rPr>
            </w:pPr>
            <w:r>
              <w:rPr>
                <w:rFonts w:hint="eastAsia"/>
                <w:color w:val="0000FF"/>
                <w:lang w:val="en-US" w:eastAsia="zh-CN"/>
              </w:rPr>
              <w:t xml:space="preserve">2.00 </w:t>
            </w:r>
          </w:p>
        </w:tc>
      </w:tr>
      <w:tr w14:paraId="5A1FC51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972E754">
            <w:pPr>
              <w:pStyle w:val="40"/>
              <w:bidi w:val="0"/>
              <w:rPr>
                <w:color w:val="0000FF"/>
              </w:rPr>
            </w:pPr>
            <w:r>
              <w:rPr>
                <w:color w:val="0000FF"/>
              </w:rPr>
              <w:t>25</w:t>
            </w:r>
          </w:p>
        </w:tc>
        <w:tc>
          <w:tcPr>
            <w:tcW w:w="688" w:type="pct"/>
            <w:noWrap w:val="0"/>
            <w:vAlign w:val="center"/>
          </w:tcPr>
          <w:p w14:paraId="6C25507D">
            <w:pPr>
              <w:pStyle w:val="40"/>
              <w:bidi w:val="0"/>
              <w:rPr>
                <w:color w:val="0000FF"/>
              </w:rPr>
            </w:pPr>
            <w:r>
              <w:rPr>
                <w:rFonts w:hint="eastAsia"/>
                <w:color w:val="0000FF"/>
                <w:lang w:val="en-US" w:eastAsia="zh-CN"/>
              </w:rPr>
              <w:t xml:space="preserve">270 </w:t>
            </w:r>
          </w:p>
        </w:tc>
        <w:tc>
          <w:tcPr>
            <w:tcW w:w="1148" w:type="pct"/>
            <w:noWrap w:val="0"/>
            <w:vAlign w:val="center"/>
          </w:tcPr>
          <w:p w14:paraId="7DAC3B28">
            <w:pPr>
              <w:pStyle w:val="40"/>
              <w:bidi w:val="0"/>
              <w:rPr>
                <w:color w:val="0000FF"/>
                <w:lang w:val="zh-CN"/>
              </w:rPr>
            </w:pPr>
            <w:r>
              <w:rPr>
                <w:rFonts w:hint="eastAsia"/>
                <w:color w:val="0000FF"/>
                <w:lang w:val="en-US" w:eastAsia="zh-CN"/>
              </w:rPr>
              <w:t xml:space="preserve">378.01 </w:t>
            </w:r>
          </w:p>
        </w:tc>
        <w:tc>
          <w:tcPr>
            <w:tcW w:w="1410" w:type="pct"/>
            <w:noWrap w:val="0"/>
            <w:vAlign w:val="center"/>
          </w:tcPr>
          <w:p w14:paraId="424D3978">
            <w:pPr>
              <w:pStyle w:val="40"/>
              <w:bidi w:val="0"/>
              <w:rPr>
                <w:color w:val="0000FF"/>
                <w:lang w:val="zh-CN"/>
              </w:rPr>
            </w:pPr>
            <w:r>
              <w:rPr>
                <w:rFonts w:hint="eastAsia"/>
                <w:color w:val="0000FF"/>
                <w:lang w:val="en-US" w:eastAsia="zh-CN"/>
              </w:rPr>
              <w:t xml:space="preserve">18.00 </w:t>
            </w:r>
          </w:p>
        </w:tc>
        <w:tc>
          <w:tcPr>
            <w:tcW w:w="1410" w:type="pct"/>
            <w:noWrap w:val="0"/>
            <w:vAlign w:val="center"/>
          </w:tcPr>
          <w:p w14:paraId="4CF1B1D5">
            <w:pPr>
              <w:pStyle w:val="40"/>
              <w:bidi w:val="0"/>
              <w:rPr>
                <w:color w:val="0000FF"/>
                <w:lang w:val="zh-CN"/>
              </w:rPr>
            </w:pPr>
            <w:r>
              <w:rPr>
                <w:rFonts w:hint="eastAsia"/>
                <w:color w:val="0000FF"/>
                <w:lang w:val="en-US" w:eastAsia="zh-CN"/>
              </w:rPr>
              <w:t>/</w:t>
            </w:r>
          </w:p>
        </w:tc>
      </w:tr>
      <w:tr w14:paraId="688E3E5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B2478E0">
            <w:pPr>
              <w:pStyle w:val="40"/>
              <w:bidi w:val="0"/>
              <w:rPr>
                <w:color w:val="0000FF"/>
              </w:rPr>
            </w:pPr>
            <w:r>
              <w:rPr>
                <w:color w:val="0000FF"/>
              </w:rPr>
              <w:t>26</w:t>
            </w:r>
          </w:p>
        </w:tc>
        <w:tc>
          <w:tcPr>
            <w:tcW w:w="688" w:type="pct"/>
            <w:noWrap w:val="0"/>
            <w:vAlign w:val="center"/>
          </w:tcPr>
          <w:p w14:paraId="36AD92BA">
            <w:pPr>
              <w:pStyle w:val="40"/>
              <w:bidi w:val="0"/>
              <w:rPr>
                <w:color w:val="0000FF"/>
              </w:rPr>
            </w:pPr>
            <w:r>
              <w:rPr>
                <w:rFonts w:hint="eastAsia"/>
                <w:color w:val="0000FF"/>
                <w:lang w:val="en-US" w:eastAsia="zh-CN"/>
              </w:rPr>
              <w:t xml:space="preserve">280 </w:t>
            </w:r>
          </w:p>
        </w:tc>
        <w:tc>
          <w:tcPr>
            <w:tcW w:w="1148" w:type="pct"/>
            <w:noWrap w:val="0"/>
            <w:vAlign w:val="center"/>
          </w:tcPr>
          <w:p w14:paraId="414E7BB9">
            <w:pPr>
              <w:pStyle w:val="40"/>
              <w:bidi w:val="0"/>
              <w:rPr>
                <w:color w:val="0000FF"/>
                <w:lang w:val="zh-CN"/>
              </w:rPr>
            </w:pPr>
            <w:r>
              <w:rPr>
                <w:rFonts w:hint="eastAsia"/>
                <w:color w:val="0000FF"/>
                <w:lang w:val="en-US" w:eastAsia="zh-CN"/>
              </w:rPr>
              <w:t xml:space="preserve">362.30 </w:t>
            </w:r>
          </w:p>
        </w:tc>
        <w:tc>
          <w:tcPr>
            <w:tcW w:w="1410" w:type="pct"/>
            <w:noWrap w:val="0"/>
            <w:vAlign w:val="center"/>
          </w:tcPr>
          <w:p w14:paraId="63F493DE">
            <w:pPr>
              <w:pStyle w:val="40"/>
              <w:bidi w:val="0"/>
              <w:rPr>
                <w:color w:val="0000FF"/>
                <w:lang w:val="zh-CN"/>
              </w:rPr>
            </w:pPr>
            <w:r>
              <w:rPr>
                <w:rFonts w:hint="eastAsia"/>
                <w:color w:val="0000FF"/>
                <w:lang w:val="en-US" w:eastAsia="zh-CN"/>
              </w:rPr>
              <w:t xml:space="preserve">18.00 </w:t>
            </w:r>
          </w:p>
        </w:tc>
        <w:tc>
          <w:tcPr>
            <w:tcW w:w="1410" w:type="pct"/>
            <w:noWrap w:val="0"/>
            <w:vAlign w:val="center"/>
          </w:tcPr>
          <w:p w14:paraId="6D4237C9">
            <w:pPr>
              <w:pStyle w:val="40"/>
              <w:bidi w:val="0"/>
              <w:rPr>
                <w:color w:val="0000FF"/>
                <w:lang w:val="zh-CN"/>
              </w:rPr>
            </w:pPr>
            <w:r>
              <w:rPr>
                <w:rFonts w:hint="eastAsia"/>
                <w:color w:val="0000FF"/>
                <w:lang w:val="en-US" w:eastAsia="zh-CN"/>
              </w:rPr>
              <w:t>/</w:t>
            </w:r>
          </w:p>
        </w:tc>
      </w:tr>
      <w:tr w14:paraId="75EFFE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4FF55B4E">
            <w:pPr>
              <w:pStyle w:val="40"/>
              <w:bidi w:val="0"/>
              <w:rPr>
                <w:color w:val="0000FF"/>
              </w:rPr>
            </w:pPr>
            <w:r>
              <w:rPr>
                <w:color w:val="0000FF"/>
              </w:rPr>
              <w:t>27</w:t>
            </w:r>
          </w:p>
        </w:tc>
        <w:tc>
          <w:tcPr>
            <w:tcW w:w="688" w:type="pct"/>
            <w:noWrap w:val="0"/>
            <w:vAlign w:val="center"/>
          </w:tcPr>
          <w:p w14:paraId="35C27BD2">
            <w:pPr>
              <w:pStyle w:val="40"/>
              <w:bidi w:val="0"/>
              <w:rPr>
                <w:color w:val="0000FF"/>
              </w:rPr>
            </w:pPr>
            <w:r>
              <w:rPr>
                <w:rFonts w:hint="eastAsia"/>
                <w:color w:val="0000FF"/>
                <w:lang w:val="en-US" w:eastAsia="zh-CN"/>
              </w:rPr>
              <w:t xml:space="preserve">290 </w:t>
            </w:r>
          </w:p>
        </w:tc>
        <w:tc>
          <w:tcPr>
            <w:tcW w:w="1148" w:type="pct"/>
            <w:noWrap w:val="0"/>
            <w:vAlign w:val="center"/>
          </w:tcPr>
          <w:p w14:paraId="6EC98180">
            <w:pPr>
              <w:pStyle w:val="40"/>
              <w:bidi w:val="0"/>
              <w:rPr>
                <w:color w:val="0000FF"/>
                <w:lang w:val="zh-CN"/>
              </w:rPr>
            </w:pPr>
            <w:r>
              <w:rPr>
                <w:rFonts w:hint="eastAsia"/>
                <w:color w:val="0000FF"/>
                <w:lang w:val="en-US" w:eastAsia="zh-CN"/>
              </w:rPr>
              <w:t xml:space="preserve">347.49 </w:t>
            </w:r>
          </w:p>
        </w:tc>
        <w:tc>
          <w:tcPr>
            <w:tcW w:w="1410" w:type="pct"/>
            <w:noWrap w:val="0"/>
            <w:vAlign w:val="center"/>
          </w:tcPr>
          <w:p w14:paraId="6B467603">
            <w:pPr>
              <w:pStyle w:val="40"/>
              <w:bidi w:val="0"/>
              <w:rPr>
                <w:color w:val="0000FF"/>
                <w:lang w:val="zh-CN"/>
              </w:rPr>
            </w:pPr>
            <w:r>
              <w:rPr>
                <w:rFonts w:hint="eastAsia"/>
                <w:color w:val="0000FF"/>
                <w:lang w:val="en-US" w:eastAsia="zh-CN"/>
              </w:rPr>
              <w:t xml:space="preserve">18.00 </w:t>
            </w:r>
          </w:p>
        </w:tc>
        <w:tc>
          <w:tcPr>
            <w:tcW w:w="1410" w:type="pct"/>
            <w:noWrap w:val="0"/>
            <w:vAlign w:val="center"/>
          </w:tcPr>
          <w:p w14:paraId="14A4DDEC">
            <w:pPr>
              <w:pStyle w:val="40"/>
              <w:bidi w:val="0"/>
              <w:rPr>
                <w:color w:val="0000FF"/>
                <w:lang w:val="zh-CN"/>
              </w:rPr>
            </w:pPr>
            <w:r>
              <w:rPr>
                <w:rFonts w:hint="eastAsia"/>
                <w:color w:val="0000FF"/>
                <w:lang w:val="en-US" w:eastAsia="zh-CN"/>
              </w:rPr>
              <w:t>/</w:t>
            </w:r>
          </w:p>
        </w:tc>
      </w:tr>
      <w:tr w14:paraId="0766FC3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43EE068">
            <w:pPr>
              <w:pStyle w:val="40"/>
              <w:bidi w:val="0"/>
              <w:rPr>
                <w:color w:val="0000FF"/>
              </w:rPr>
            </w:pPr>
            <w:r>
              <w:rPr>
                <w:color w:val="0000FF"/>
              </w:rPr>
              <w:t>28</w:t>
            </w:r>
          </w:p>
        </w:tc>
        <w:tc>
          <w:tcPr>
            <w:tcW w:w="688" w:type="pct"/>
            <w:noWrap w:val="0"/>
            <w:vAlign w:val="center"/>
          </w:tcPr>
          <w:p w14:paraId="3DD0902C">
            <w:pPr>
              <w:pStyle w:val="40"/>
              <w:bidi w:val="0"/>
              <w:rPr>
                <w:color w:val="0000FF"/>
              </w:rPr>
            </w:pPr>
            <w:r>
              <w:rPr>
                <w:rFonts w:hint="eastAsia"/>
                <w:color w:val="0000FF"/>
                <w:lang w:val="en-US" w:eastAsia="zh-CN"/>
              </w:rPr>
              <w:t xml:space="preserve">300 </w:t>
            </w:r>
          </w:p>
        </w:tc>
        <w:tc>
          <w:tcPr>
            <w:tcW w:w="1148" w:type="pct"/>
            <w:noWrap w:val="0"/>
            <w:vAlign w:val="center"/>
          </w:tcPr>
          <w:p w14:paraId="5433D351">
            <w:pPr>
              <w:pStyle w:val="40"/>
              <w:bidi w:val="0"/>
              <w:rPr>
                <w:color w:val="0000FF"/>
                <w:lang w:val="zh-CN"/>
              </w:rPr>
            </w:pPr>
            <w:r>
              <w:rPr>
                <w:rFonts w:hint="eastAsia"/>
                <w:color w:val="0000FF"/>
                <w:lang w:val="en-US" w:eastAsia="zh-CN"/>
              </w:rPr>
              <w:t xml:space="preserve">333.53 </w:t>
            </w:r>
          </w:p>
        </w:tc>
        <w:tc>
          <w:tcPr>
            <w:tcW w:w="1410" w:type="pct"/>
            <w:noWrap w:val="0"/>
            <w:vAlign w:val="center"/>
          </w:tcPr>
          <w:p w14:paraId="17D5B03D">
            <w:pPr>
              <w:pStyle w:val="40"/>
              <w:bidi w:val="0"/>
              <w:rPr>
                <w:color w:val="0000FF"/>
                <w:lang w:val="zh-CN"/>
              </w:rPr>
            </w:pPr>
            <w:r>
              <w:rPr>
                <w:rFonts w:hint="eastAsia"/>
                <w:color w:val="0000FF"/>
                <w:lang w:val="en-US" w:eastAsia="zh-CN"/>
              </w:rPr>
              <w:t xml:space="preserve">19.00 </w:t>
            </w:r>
          </w:p>
        </w:tc>
        <w:tc>
          <w:tcPr>
            <w:tcW w:w="1410" w:type="pct"/>
            <w:noWrap w:val="0"/>
            <w:vAlign w:val="center"/>
          </w:tcPr>
          <w:p w14:paraId="5CF35EAF">
            <w:pPr>
              <w:pStyle w:val="40"/>
              <w:bidi w:val="0"/>
              <w:rPr>
                <w:color w:val="0000FF"/>
                <w:lang w:val="zh-CN"/>
              </w:rPr>
            </w:pPr>
            <w:r>
              <w:rPr>
                <w:rFonts w:hint="eastAsia"/>
                <w:color w:val="0000FF"/>
                <w:lang w:val="en-US" w:eastAsia="zh-CN"/>
              </w:rPr>
              <w:t>/</w:t>
            </w:r>
          </w:p>
        </w:tc>
      </w:tr>
      <w:tr w14:paraId="5E47C7B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76B04BC">
            <w:pPr>
              <w:pStyle w:val="40"/>
              <w:bidi w:val="0"/>
              <w:rPr>
                <w:color w:val="0000FF"/>
              </w:rPr>
            </w:pPr>
            <w:r>
              <w:rPr>
                <w:color w:val="0000FF"/>
              </w:rPr>
              <w:t>29</w:t>
            </w:r>
          </w:p>
        </w:tc>
        <w:tc>
          <w:tcPr>
            <w:tcW w:w="688" w:type="pct"/>
            <w:noWrap w:val="0"/>
            <w:vAlign w:val="center"/>
          </w:tcPr>
          <w:p w14:paraId="02C344B8">
            <w:pPr>
              <w:pStyle w:val="40"/>
              <w:bidi w:val="0"/>
              <w:rPr>
                <w:color w:val="0000FF"/>
              </w:rPr>
            </w:pPr>
            <w:r>
              <w:rPr>
                <w:rFonts w:hint="eastAsia"/>
                <w:color w:val="0000FF"/>
                <w:lang w:val="en-US" w:eastAsia="zh-CN"/>
              </w:rPr>
              <w:t xml:space="preserve">310 </w:t>
            </w:r>
          </w:p>
        </w:tc>
        <w:tc>
          <w:tcPr>
            <w:tcW w:w="1148" w:type="pct"/>
            <w:noWrap w:val="0"/>
            <w:vAlign w:val="center"/>
          </w:tcPr>
          <w:p w14:paraId="2BC49307">
            <w:pPr>
              <w:pStyle w:val="40"/>
              <w:bidi w:val="0"/>
              <w:rPr>
                <w:color w:val="0000FF"/>
                <w:lang w:val="zh-CN"/>
              </w:rPr>
            </w:pPr>
            <w:r>
              <w:rPr>
                <w:rFonts w:hint="eastAsia"/>
                <w:color w:val="0000FF"/>
                <w:lang w:val="en-US" w:eastAsia="zh-CN"/>
              </w:rPr>
              <w:t xml:space="preserve">320.35 </w:t>
            </w:r>
          </w:p>
        </w:tc>
        <w:tc>
          <w:tcPr>
            <w:tcW w:w="1410" w:type="pct"/>
            <w:noWrap w:val="0"/>
            <w:vAlign w:val="center"/>
          </w:tcPr>
          <w:p w14:paraId="65F6C59A">
            <w:pPr>
              <w:pStyle w:val="40"/>
              <w:bidi w:val="0"/>
              <w:rPr>
                <w:color w:val="0000FF"/>
                <w:lang w:val="zh-CN"/>
              </w:rPr>
            </w:pPr>
            <w:r>
              <w:rPr>
                <w:rFonts w:hint="eastAsia"/>
                <w:color w:val="0000FF"/>
                <w:lang w:val="en-US" w:eastAsia="zh-CN"/>
              </w:rPr>
              <w:t xml:space="preserve">19.00 </w:t>
            </w:r>
          </w:p>
        </w:tc>
        <w:tc>
          <w:tcPr>
            <w:tcW w:w="1410" w:type="pct"/>
            <w:noWrap w:val="0"/>
            <w:vAlign w:val="center"/>
          </w:tcPr>
          <w:p w14:paraId="1AF75876">
            <w:pPr>
              <w:pStyle w:val="40"/>
              <w:bidi w:val="0"/>
              <w:rPr>
                <w:color w:val="0000FF"/>
                <w:lang w:val="zh-CN"/>
              </w:rPr>
            </w:pPr>
            <w:r>
              <w:rPr>
                <w:rFonts w:hint="eastAsia"/>
                <w:color w:val="0000FF"/>
                <w:lang w:val="en-US" w:eastAsia="zh-CN"/>
              </w:rPr>
              <w:t>/</w:t>
            </w:r>
          </w:p>
        </w:tc>
      </w:tr>
      <w:tr w14:paraId="4AF5029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42440964">
            <w:pPr>
              <w:pStyle w:val="40"/>
              <w:bidi w:val="0"/>
              <w:rPr>
                <w:color w:val="0000FF"/>
              </w:rPr>
            </w:pPr>
            <w:r>
              <w:rPr>
                <w:color w:val="0000FF"/>
              </w:rPr>
              <w:t>30</w:t>
            </w:r>
          </w:p>
        </w:tc>
        <w:tc>
          <w:tcPr>
            <w:tcW w:w="688" w:type="pct"/>
            <w:noWrap w:val="0"/>
            <w:vAlign w:val="center"/>
          </w:tcPr>
          <w:p w14:paraId="20EC5517">
            <w:pPr>
              <w:pStyle w:val="40"/>
              <w:bidi w:val="0"/>
              <w:rPr>
                <w:color w:val="0000FF"/>
              </w:rPr>
            </w:pPr>
            <w:r>
              <w:rPr>
                <w:rFonts w:hint="eastAsia"/>
                <w:color w:val="0000FF"/>
                <w:lang w:val="en-US" w:eastAsia="zh-CN"/>
              </w:rPr>
              <w:t xml:space="preserve">320 </w:t>
            </w:r>
          </w:p>
        </w:tc>
        <w:tc>
          <w:tcPr>
            <w:tcW w:w="1148" w:type="pct"/>
            <w:noWrap w:val="0"/>
            <w:vAlign w:val="center"/>
          </w:tcPr>
          <w:p w14:paraId="21170F64">
            <w:pPr>
              <w:pStyle w:val="40"/>
              <w:bidi w:val="0"/>
              <w:rPr>
                <w:color w:val="0000FF"/>
                <w:lang w:val="zh-CN"/>
              </w:rPr>
            </w:pPr>
            <w:r>
              <w:rPr>
                <w:rFonts w:hint="eastAsia"/>
                <w:color w:val="0000FF"/>
                <w:lang w:val="en-US" w:eastAsia="zh-CN"/>
              </w:rPr>
              <w:t xml:space="preserve">307.90 </w:t>
            </w:r>
          </w:p>
        </w:tc>
        <w:tc>
          <w:tcPr>
            <w:tcW w:w="1410" w:type="pct"/>
            <w:noWrap w:val="0"/>
            <w:vAlign w:val="center"/>
          </w:tcPr>
          <w:p w14:paraId="53C45E47">
            <w:pPr>
              <w:pStyle w:val="40"/>
              <w:bidi w:val="0"/>
              <w:rPr>
                <w:color w:val="0000FF"/>
                <w:lang w:val="zh-CN"/>
              </w:rPr>
            </w:pPr>
            <w:r>
              <w:rPr>
                <w:rFonts w:hint="eastAsia"/>
                <w:color w:val="0000FF"/>
                <w:lang w:val="en-US" w:eastAsia="zh-CN"/>
              </w:rPr>
              <w:t xml:space="preserve">19.00 </w:t>
            </w:r>
          </w:p>
        </w:tc>
        <w:tc>
          <w:tcPr>
            <w:tcW w:w="1410" w:type="pct"/>
            <w:noWrap w:val="0"/>
            <w:vAlign w:val="center"/>
          </w:tcPr>
          <w:p w14:paraId="505D5123">
            <w:pPr>
              <w:pStyle w:val="40"/>
              <w:bidi w:val="0"/>
              <w:rPr>
                <w:color w:val="0000FF"/>
                <w:lang w:val="zh-CN"/>
              </w:rPr>
            </w:pPr>
            <w:r>
              <w:rPr>
                <w:rFonts w:hint="eastAsia"/>
                <w:color w:val="0000FF"/>
                <w:lang w:val="en-US" w:eastAsia="zh-CN"/>
              </w:rPr>
              <w:t>/</w:t>
            </w:r>
          </w:p>
        </w:tc>
      </w:tr>
      <w:tr w14:paraId="089C6F3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0B007B5">
            <w:pPr>
              <w:pStyle w:val="40"/>
              <w:bidi w:val="0"/>
              <w:rPr>
                <w:color w:val="0000FF"/>
              </w:rPr>
            </w:pPr>
            <w:r>
              <w:rPr>
                <w:color w:val="0000FF"/>
              </w:rPr>
              <w:t>31</w:t>
            </w:r>
          </w:p>
        </w:tc>
        <w:tc>
          <w:tcPr>
            <w:tcW w:w="688" w:type="pct"/>
            <w:noWrap w:val="0"/>
            <w:vAlign w:val="center"/>
          </w:tcPr>
          <w:p w14:paraId="760012E9">
            <w:pPr>
              <w:pStyle w:val="40"/>
              <w:bidi w:val="0"/>
              <w:rPr>
                <w:color w:val="0000FF"/>
              </w:rPr>
            </w:pPr>
            <w:r>
              <w:rPr>
                <w:rFonts w:hint="eastAsia"/>
                <w:color w:val="0000FF"/>
                <w:lang w:val="en-US" w:eastAsia="zh-CN"/>
              </w:rPr>
              <w:t xml:space="preserve">330 </w:t>
            </w:r>
          </w:p>
        </w:tc>
        <w:tc>
          <w:tcPr>
            <w:tcW w:w="1148" w:type="pct"/>
            <w:noWrap w:val="0"/>
            <w:vAlign w:val="center"/>
          </w:tcPr>
          <w:p w14:paraId="512187EC">
            <w:pPr>
              <w:pStyle w:val="40"/>
              <w:bidi w:val="0"/>
              <w:rPr>
                <w:color w:val="0000FF"/>
                <w:lang w:val="zh-CN"/>
              </w:rPr>
            </w:pPr>
            <w:r>
              <w:rPr>
                <w:rFonts w:hint="eastAsia"/>
                <w:color w:val="0000FF"/>
                <w:lang w:val="en-US" w:eastAsia="zh-CN"/>
              </w:rPr>
              <w:t xml:space="preserve">296.15 </w:t>
            </w:r>
          </w:p>
        </w:tc>
        <w:tc>
          <w:tcPr>
            <w:tcW w:w="1410" w:type="pct"/>
            <w:noWrap w:val="0"/>
            <w:vAlign w:val="center"/>
          </w:tcPr>
          <w:p w14:paraId="5E273A94">
            <w:pPr>
              <w:pStyle w:val="40"/>
              <w:bidi w:val="0"/>
              <w:rPr>
                <w:color w:val="0000FF"/>
                <w:lang w:val="zh-CN"/>
              </w:rPr>
            </w:pPr>
            <w:r>
              <w:rPr>
                <w:rFonts w:hint="eastAsia"/>
                <w:color w:val="0000FF"/>
                <w:lang w:val="en-US" w:eastAsia="zh-CN"/>
              </w:rPr>
              <w:t xml:space="preserve">19.00 </w:t>
            </w:r>
          </w:p>
        </w:tc>
        <w:tc>
          <w:tcPr>
            <w:tcW w:w="1410" w:type="pct"/>
            <w:noWrap w:val="0"/>
            <w:vAlign w:val="center"/>
          </w:tcPr>
          <w:p w14:paraId="5CDD2D8B">
            <w:pPr>
              <w:pStyle w:val="40"/>
              <w:bidi w:val="0"/>
              <w:rPr>
                <w:color w:val="0000FF"/>
                <w:lang w:val="zh-CN"/>
              </w:rPr>
            </w:pPr>
            <w:r>
              <w:rPr>
                <w:rFonts w:hint="eastAsia"/>
                <w:color w:val="0000FF"/>
                <w:lang w:val="en-US" w:eastAsia="zh-CN"/>
              </w:rPr>
              <w:t>/</w:t>
            </w:r>
          </w:p>
        </w:tc>
      </w:tr>
      <w:tr w14:paraId="28D1DF9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DFFE302">
            <w:pPr>
              <w:pStyle w:val="40"/>
              <w:bidi w:val="0"/>
              <w:rPr>
                <w:color w:val="0000FF"/>
              </w:rPr>
            </w:pPr>
            <w:r>
              <w:rPr>
                <w:color w:val="0000FF"/>
              </w:rPr>
              <w:t>32</w:t>
            </w:r>
          </w:p>
        </w:tc>
        <w:tc>
          <w:tcPr>
            <w:tcW w:w="688" w:type="pct"/>
            <w:noWrap w:val="0"/>
            <w:vAlign w:val="center"/>
          </w:tcPr>
          <w:p w14:paraId="11253805">
            <w:pPr>
              <w:pStyle w:val="40"/>
              <w:bidi w:val="0"/>
              <w:rPr>
                <w:color w:val="0000FF"/>
              </w:rPr>
            </w:pPr>
            <w:r>
              <w:rPr>
                <w:rFonts w:hint="eastAsia"/>
                <w:color w:val="0000FF"/>
                <w:lang w:val="en-US" w:eastAsia="zh-CN"/>
              </w:rPr>
              <w:t xml:space="preserve">340 </w:t>
            </w:r>
          </w:p>
        </w:tc>
        <w:tc>
          <w:tcPr>
            <w:tcW w:w="1148" w:type="pct"/>
            <w:noWrap w:val="0"/>
            <w:vAlign w:val="center"/>
          </w:tcPr>
          <w:p w14:paraId="1E926248">
            <w:pPr>
              <w:pStyle w:val="40"/>
              <w:bidi w:val="0"/>
              <w:rPr>
                <w:color w:val="0000FF"/>
                <w:lang w:val="zh-CN"/>
              </w:rPr>
            </w:pPr>
            <w:r>
              <w:rPr>
                <w:rFonts w:hint="eastAsia"/>
                <w:color w:val="0000FF"/>
                <w:lang w:val="en-US" w:eastAsia="zh-CN"/>
              </w:rPr>
              <w:t xml:space="preserve">285.04 </w:t>
            </w:r>
          </w:p>
        </w:tc>
        <w:tc>
          <w:tcPr>
            <w:tcW w:w="1410" w:type="pct"/>
            <w:noWrap w:val="0"/>
            <w:vAlign w:val="center"/>
          </w:tcPr>
          <w:p w14:paraId="3703DD93">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5D7FEDA9">
            <w:pPr>
              <w:pStyle w:val="40"/>
              <w:bidi w:val="0"/>
              <w:rPr>
                <w:color w:val="0000FF"/>
                <w:lang w:val="zh-CN"/>
              </w:rPr>
            </w:pPr>
            <w:r>
              <w:rPr>
                <w:rFonts w:hint="eastAsia"/>
                <w:color w:val="0000FF"/>
                <w:lang w:val="en-US" w:eastAsia="zh-CN"/>
              </w:rPr>
              <w:t>/</w:t>
            </w:r>
          </w:p>
        </w:tc>
      </w:tr>
      <w:tr w14:paraId="553CAE4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20CF2A7">
            <w:pPr>
              <w:pStyle w:val="40"/>
              <w:bidi w:val="0"/>
              <w:rPr>
                <w:color w:val="0000FF"/>
              </w:rPr>
            </w:pPr>
            <w:r>
              <w:rPr>
                <w:color w:val="0000FF"/>
              </w:rPr>
              <w:t>33</w:t>
            </w:r>
          </w:p>
        </w:tc>
        <w:tc>
          <w:tcPr>
            <w:tcW w:w="688" w:type="pct"/>
            <w:noWrap w:val="0"/>
            <w:vAlign w:val="center"/>
          </w:tcPr>
          <w:p w14:paraId="5A2ADE9D">
            <w:pPr>
              <w:pStyle w:val="40"/>
              <w:bidi w:val="0"/>
              <w:rPr>
                <w:color w:val="0000FF"/>
              </w:rPr>
            </w:pPr>
            <w:r>
              <w:rPr>
                <w:rFonts w:hint="eastAsia"/>
                <w:color w:val="0000FF"/>
                <w:lang w:val="en-US" w:eastAsia="zh-CN"/>
              </w:rPr>
              <w:t xml:space="preserve">350 </w:t>
            </w:r>
          </w:p>
        </w:tc>
        <w:tc>
          <w:tcPr>
            <w:tcW w:w="1148" w:type="pct"/>
            <w:noWrap w:val="0"/>
            <w:vAlign w:val="center"/>
          </w:tcPr>
          <w:p w14:paraId="115F88DE">
            <w:pPr>
              <w:pStyle w:val="40"/>
              <w:bidi w:val="0"/>
              <w:rPr>
                <w:color w:val="0000FF"/>
                <w:lang w:val="zh-CN"/>
              </w:rPr>
            </w:pPr>
            <w:r>
              <w:rPr>
                <w:rFonts w:hint="eastAsia"/>
                <w:color w:val="0000FF"/>
                <w:lang w:val="en-US" w:eastAsia="zh-CN"/>
              </w:rPr>
              <w:t xml:space="preserve">274.53 </w:t>
            </w:r>
          </w:p>
        </w:tc>
        <w:tc>
          <w:tcPr>
            <w:tcW w:w="1410" w:type="pct"/>
            <w:noWrap w:val="0"/>
            <w:vAlign w:val="center"/>
          </w:tcPr>
          <w:p w14:paraId="289F3F5D">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32A67385">
            <w:pPr>
              <w:pStyle w:val="40"/>
              <w:bidi w:val="0"/>
              <w:rPr>
                <w:color w:val="0000FF"/>
                <w:lang w:val="zh-CN"/>
              </w:rPr>
            </w:pPr>
            <w:r>
              <w:rPr>
                <w:rFonts w:hint="eastAsia"/>
                <w:color w:val="0000FF"/>
                <w:lang w:val="en-US" w:eastAsia="zh-CN"/>
              </w:rPr>
              <w:t>/</w:t>
            </w:r>
          </w:p>
        </w:tc>
      </w:tr>
      <w:tr w14:paraId="203541E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DA87CCF">
            <w:pPr>
              <w:pStyle w:val="40"/>
              <w:bidi w:val="0"/>
              <w:rPr>
                <w:color w:val="0000FF"/>
              </w:rPr>
            </w:pPr>
            <w:r>
              <w:rPr>
                <w:color w:val="0000FF"/>
              </w:rPr>
              <w:t>34</w:t>
            </w:r>
          </w:p>
        </w:tc>
        <w:tc>
          <w:tcPr>
            <w:tcW w:w="688" w:type="pct"/>
            <w:noWrap w:val="0"/>
            <w:vAlign w:val="center"/>
          </w:tcPr>
          <w:p w14:paraId="61ADA363">
            <w:pPr>
              <w:pStyle w:val="40"/>
              <w:bidi w:val="0"/>
              <w:rPr>
                <w:color w:val="0000FF"/>
              </w:rPr>
            </w:pPr>
            <w:r>
              <w:rPr>
                <w:rFonts w:hint="eastAsia"/>
                <w:color w:val="0000FF"/>
                <w:lang w:val="en-US" w:eastAsia="zh-CN"/>
              </w:rPr>
              <w:t xml:space="preserve">360 </w:t>
            </w:r>
          </w:p>
        </w:tc>
        <w:tc>
          <w:tcPr>
            <w:tcW w:w="1148" w:type="pct"/>
            <w:noWrap w:val="0"/>
            <w:vAlign w:val="center"/>
          </w:tcPr>
          <w:p w14:paraId="32251968">
            <w:pPr>
              <w:pStyle w:val="40"/>
              <w:bidi w:val="0"/>
              <w:rPr>
                <w:color w:val="0000FF"/>
                <w:lang w:val="zh-CN"/>
              </w:rPr>
            </w:pPr>
            <w:r>
              <w:rPr>
                <w:rFonts w:hint="eastAsia"/>
                <w:color w:val="0000FF"/>
                <w:lang w:val="en-US" w:eastAsia="zh-CN"/>
              </w:rPr>
              <w:t xml:space="preserve">264.58 </w:t>
            </w:r>
          </w:p>
        </w:tc>
        <w:tc>
          <w:tcPr>
            <w:tcW w:w="1410" w:type="pct"/>
            <w:noWrap w:val="0"/>
            <w:vAlign w:val="center"/>
          </w:tcPr>
          <w:p w14:paraId="05949B18">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451E1C67">
            <w:pPr>
              <w:pStyle w:val="40"/>
              <w:bidi w:val="0"/>
              <w:rPr>
                <w:color w:val="0000FF"/>
                <w:lang w:val="zh-CN"/>
              </w:rPr>
            </w:pPr>
            <w:r>
              <w:rPr>
                <w:rFonts w:hint="eastAsia"/>
                <w:color w:val="0000FF"/>
                <w:lang w:val="en-US" w:eastAsia="zh-CN"/>
              </w:rPr>
              <w:t>/</w:t>
            </w:r>
          </w:p>
        </w:tc>
      </w:tr>
      <w:tr w14:paraId="358E04F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0A32F9F0">
            <w:pPr>
              <w:pStyle w:val="40"/>
              <w:bidi w:val="0"/>
              <w:rPr>
                <w:color w:val="0000FF"/>
              </w:rPr>
            </w:pPr>
            <w:r>
              <w:rPr>
                <w:color w:val="0000FF"/>
              </w:rPr>
              <w:t>35</w:t>
            </w:r>
          </w:p>
        </w:tc>
        <w:tc>
          <w:tcPr>
            <w:tcW w:w="688" w:type="pct"/>
            <w:noWrap w:val="0"/>
            <w:vAlign w:val="center"/>
          </w:tcPr>
          <w:p w14:paraId="7438DD4C">
            <w:pPr>
              <w:pStyle w:val="40"/>
              <w:bidi w:val="0"/>
              <w:rPr>
                <w:color w:val="0000FF"/>
              </w:rPr>
            </w:pPr>
            <w:r>
              <w:rPr>
                <w:rFonts w:hint="eastAsia"/>
                <w:color w:val="0000FF"/>
                <w:lang w:val="en-US" w:eastAsia="zh-CN"/>
              </w:rPr>
              <w:t xml:space="preserve">370 </w:t>
            </w:r>
          </w:p>
        </w:tc>
        <w:tc>
          <w:tcPr>
            <w:tcW w:w="1148" w:type="pct"/>
            <w:noWrap w:val="0"/>
            <w:vAlign w:val="center"/>
          </w:tcPr>
          <w:p w14:paraId="473949E5">
            <w:pPr>
              <w:pStyle w:val="40"/>
              <w:bidi w:val="0"/>
              <w:rPr>
                <w:color w:val="0000FF"/>
                <w:lang w:val="zh-CN"/>
              </w:rPr>
            </w:pPr>
            <w:r>
              <w:rPr>
                <w:rFonts w:hint="eastAsia"/>
                <w:color w:val="0000FF"/>
                <w:lang w:val="en-US" w:eastAsia="zh-CN"/>
              </w:rPr>
              <w:t xml:space="preserve">255.15 </w:t>
            </w:r>
          </w:p>
        </w:tc>
        <w:tc>
          <w:tcPr>
            <w:tcW w:w="1410" w:type="pct"/>
            <w:noWrap w:val="0"/>
            <w:vAlign w:val="center"/>
          </w:tcPr>
          <w:p w14:paraId="13CC47B1">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7514A075">
            <w:pPr>
              <w:pStyle w:val="40"/>
              <w:bidi w:val="0"/>
              <w:rPr>
                <w:color w:val="0000FF"/>
                <w:lang w:val="zh-CN"/>
              </w:rPr>
            </w:pPr>
            <w:r>
              <w:rPr>
                <w:rFonts w:hint="eastAsia"/>
                <w:color w:val="0000FF"/>
                <w:lang w:val="en-US" w:eastAsia="zh-CN"/>
              </w:rPr>
              <w:t>/</w:t>
            </w:r>
          </w:p>
        </w:tc>
      </w:tr>
      <w:tr w14:paraId="33B4D4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7620D8F">
            <w:pPr>
              <w:pStyle w:val="40"/>
              <w:bidi w:val="0"/>
              <w:rPr>
                <w:color w:val="0000FF"/>
              </w:rPr>
            </w:pPr>
            <w:r>
              <w:rPr>
                <w:color w:val="0000FF"/>
              </w:rPr>
              <w:t>36</w:t>
            </w:r>
          </w:p>
        </w:tc>
        <w:tc>
          <w:tcPr>
            <w:tcW w:w="688" w:type="pct"/>
            <w:noWrap w:val="0"/>
            <w:vAlign w:val="center"/>
          </w:tcPr>
          <w:p w14:paraId="00C21FE9">
            <w:pPr>
              <w:pStyle w:val="40"/>
              <w:bidi w:val="0"/>
              <w:rPr>
                <w:color w:val="0000FF"/>
              </w:rPr>
            </w:pPr>
            <w:r>
              <w:rPr>
                <w:rFonts w:hint="eastAsia"/>
                <w:color w:val="0000FF"/>
                <w:lang w:val="en-US" w:eastAsia="zh-CN"/>
              </w:rPr>
              <w:t xml:space="preserve">380 </w:t>
            </w:r>
          </w:p>
        </w:tc>
        <w:tc>
          <w:tcPr>
            <w:tcW w:w="1148" w:type="pct"/>
            <w:noWrap w:val="0"/>
            <w:vAlign w:val="center"/>
          </w:tcPr>
          <w:p w14:paraId="5B1BDB0B">
            <w:pPr>
              <w:pStyle w:val="40"/>
              <w:bidi w:val="0"/>
              <w:rPr>
                <w:color w:val="0000FF"/>
                <w:lang w:val="zh-CN"/>
              </w:rPr>
            </w:pPr>
            <w:r>
              <w:rPr>
                <w:rFonts w:hint="eastAsia"/>
                <w:color w:val="0000FF"/>
                <w:lang w:val="en-US" w:eastAsia="zh-CN"/>
              </w:rPr>
              <w:t xml:space="preserve">246.21 </w:t>
            </w:r>
          </w:p>
        </w:tc>
        <w:tc>
          <w:tcPr>
            <w:tcW w:w="1410" w:type="pct"/>
            <w:noWrap w:val="0"/>
            <w:vAlign w:val="center"/>
          </w:tcPr>
          <w:p w14:paraId="4223A8EF">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47348B35">
            <w:pPr>
              <w:pStyle w:val="40"/>
              <w:bidi w:val="0"/>
              <w:rPr>
                <w:color w:val="0000FF"/>
                <w:lang w:val="zh-CN"/>
              </w:rPr>
            </w:pPr>
            <w:r>
              <w:rPr>
                <w:rFonts w:hint="eastAsia"/>
                <w:color w:val="0000FF"/>
                <w:lang w:val="en-US" w:eastAsia="zh-CN"/>
              </w:rPr>
              <w:t>/</w:t>
            </w:r>
          </w:p>
        </w:tc>
      </w:tr>
      <w:tr w14:paraId="7D202F8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6710282">
            <w:pPr>
              <w:pStyle w:val="40"/>
              <w:bidi w:val="0"/>
              <w:rPr>
                <w:color w:val="0000FF"/>
              </w:rPr>
            </w:pPr>
            <w:r>
              <w:rPr>
                <w:color w:val="0000FF"/>
              </w:rPr>
              <w:t>37</w:t>
            </w:r>
          </w:p>
        </w:tc>
        <w:tc>
          <w:tcPr>
            <w:tcW w:w="688" w:type="pct"/>
            <w:noWrap w:val="0"/>
            <w:vAlign w:val="center"/>
          </w:tcPr>
          <w:p w14:paraId="714FF078">
            <w:pPr>
              <w:pStyle w:val="40"/>
              <w:bidi w:val="0"/>
              <w:rPr>
                <w:color w:val="0000FF"/>
              </w:rPr>
            </w:pPr>
            <w:r>
              <w:rPr>
                <w:rFonts w:hint="eastAsia"/>
                <w:color w:val="0000FF"/>
                <w:lang w:val="en-US" w:eastAsia="zh-CN"/>
              </w:rPr>
              <w:t xml:space="preserve">390 </w:t>
            </w:r>
          </w:p>
        </w:tc>
        <w:tc>
          <w:tcPr>
            <w:tcW w:w="1148" w:type="pct"/>
            <w:noWrap w:val="0"/>
            <w:vAlign w:val="center"/>
          </w:tcPr>
          <w:p w14:paraId="43312959">
            <w:pPr>
              <w:pStyle w:val="40"/>
              <w:bidi w:val="0"/>
              <w:rPr>
                <w:color w:val="0000FF"/>
                <w:lang w:val="zh-CN"/>
              </w:rPr>
            </w:pPr>
            <w:r>
              <w:rPr>
                <w:rFonts w:hint="eastAsia"/>
                <w:color w:val="0000FF"/>
                <w:lang w:val="en-US" w:eastAsia="zh-CN"/>
              </w:rPr>
              <w:t xml:space="preserve">237.74 </w:t>
            </w:r>
          </w:p>
        </w:tc>
        <w:tc>
          <w:tcPr>
            <w:tcW w:w="1410" w:type="pct"/>
            <w:noWrap w:val="0"/>
            <w:vAlign w:val="center"/>
          </w:tcPr>
          <w:p w14:paraId="5B7798F7">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4562F33C">
            <w:pPr>
              <w:pStyle w:val="40"/>
              <w:bidi w:val="0"/>
              <w:rPr>
                <w:color w:val="0000FF"/>
                <w:lang w:val="zh-CN"/>
              </w:rPr>
            </w:pPr>
            <w:r>
              <w:rPr>
                <w:rFonts w:hint="eastAsia"/>
                <w:color w:val="0000FF"/>
                <w:lang w:val="en-US" w:eastAsia="zh-CN"/>
              </w:rPr>
              <w:t>/</w:t>
            </w:r>
          </w:p>
        </w:tc>
      </w:tr>
      <w:tr w14:paraId="5C0DCF0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4D975BF">
            <w:pPr>
              <w:pStyle w:val="40"/>
              <w:bidi w:val="0"/>
              <w:rPr>
                <w:color w:val="0000FF"/>
              </w:rPr>
            </w:pPr>
            <w:r>
              <w:rPr>
                <w:color w:val="0000FF"/>
              </w:rPr>
              <w:t>38</w:t>
            </w:r>
          </w:p>
        </w:tc>
        <w:tc>
          <w:tcPr>
            <w:tcW w:w="688" w:type="pct"/>
            <w:noWrap w:val="0"/>
            <w:vAlign w:val="center"/>
          </w:tcPr>
          <w:p w14:paraId="053CFD1C">
            <w:pPr>
              <w:pStyle w:val="40"/>
              <w:bidi w:val="0"/>
              <w:rPr>
                <w:color w:val="0000FF"/>
              </w:rPr>
            </w:pPr>
            <w:r>
              <w:rPr>
                <w:rFonts w:hint="eastAsia"/>
                <w:color w:val="0000FF"/>
                <w:lang w:val="en-US" w:eastAsia="zh-CN"/>
              </w:rPr>
              <w:t xml:space="preserve">400 </w:t>
            </w:r>
          </w:p>
        </w:tc>
        <w:tc>
          <w:tcPr>
            <w:tcW w:w="1148" w:type="pct"/>
            <w:noWrap w:val="0"/>
            <w:vAlign w:val="center"/>
          </w:tcPr>
          <w:p w14:paraId="5F402D25">
            <w:pPr>
              <w:pStyle w:val="40"/>
              <w:bidi w:val="0"/>
              <w:rPr>
                <w:color w:val="0000FF"/>
                <w:lang w:val="zh-CN"/>
              </w:rPr>
            </w:pPr>
            <w:r>
              <w:rPr>
                <w:rFonts w:hint="eastAsia"/>
                <w:color w:val="0000FF"/>
                <w:lang w:val="en-US" w:eastAsia="zh-CN"/>
              </w:rPr>
              <w:t xml:space="preserve">229.69 </w:t>
            </w:r>
          </w:p>
        </w:tc>
        <w:tc>
          <w:tcPr>
            <w:tcW w:w="1410" w:type="pct"/>
            <w:noWrap w:val="0"/>
            <w:vAlign w:val="center"/>
          </w:tcPr>
          <w:p w14:paraId="1AF594AA">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778D9BD1">
            <w:pPr>
              <w:pStyle w:val="40"/>
              <w:bidi w:val="0"/>
              <w:rPr>
                <w:color w:val="0000FF"/>
                <w:lang w:val="zh-CN"/>
              </w:rPr>
            </w:pPr>
            <w:r>
              <w:rPr>
                <w:rFonts w:hint="eastAsia"/>
                <w:color w:val="0000FF"/>
                <w:lang w:val="en-US" w:eastAsia="zh-CN"/>
              </w:rPr>
              <w:t>/</w:t>
            </w:r>
          </w:p>
        </w:tc>
      </w:tr>
      <w:tr w14:paraId="214FC45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8B7521C">
            <w:pPr>
              <w:pStyle w:val="40"/>
              <w:bidi w:val="0"/>
              <w:rPr>
                <w:color w:val="0000FF"/>
              </w:rPr>
            </w:pPr>
            <w:r>
              <w:rPr>
                <w:color w:val="0000FF"/>
              </w:rPr>
              <w:t>39</w:t>
            </w:r>
          </w:p>
        </w:tc>
        <w:tc>
          <w:tcPr>
            <w:tcW w:w="688" w:type="pct"/>
            <w:noWrap w:val="0"/>
            <w:vAlign w:val="center"/>
          </w:tcPr>
          <w:p w14:paraId="688BB1EE">
            <w:pPr>
              <w:pStyle w:val="40"/>
              <w:bidi w:val="0"/>
              <w:rPr>
                <w:color w:val="0000FF"/>
              </w:rPr>
            </w:pPr>
            <w:r>
              <w:rPr>
                <w:rFonts w:hint="eastAsia"/>
                <w:color w:val="0000FF"/>
                <w:lang w:val="en-US" w:eastAsia="zh-CN"/>
              </w:rPr>
              <w:t xml:space="preserve">410 </w:t>
            </w:r>
          </w:p>
        </w:tc>
        <w:tc>
          <w:tcPr>
            <w:tcW w:w="1148" w:type="pct"/>
            <w:noWrap w:val="0"/>
            <w:vAlign w:val="center"/>
          </w:tcPr>
          <w:p w14:paraId="2F202DDF">
            <w:pPr>
              <w:pStyle w:val="40"/>
              <w:bidi w:val="0"/>
              <w:rPr>
                <w:color w:val="0000FF"/>
                <w:lang w:val="zh-CN"/>
              </w:rPr>
            </w:pPr>
            <w:r>
              <w:rPr>
                <w:rFonts w:hint="eastAsia"/>
                <w:color w:val="0000FF"/>
                <w:lang w:val="en-US" w:eastAsia="zh-CN"/>
              </w:rPr>
              <w:t xml:space="preserve">222.04 </w:t>
            </w:r>
          </w:p>
        </w:tc>
        <w:tc>
          <w:tcPr>
            <w:tcW w:w="1410" w:type="pct"/>
            <w:noWrap w:val="0"/>
            <w:vAlign w:val="center"/>
          </w:tcPr>
          <w:p w14:paraId="5FBF8F37">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10280165">
            <w:pPr>
              <w:pStyle w:val="40"/>
              <w:bidi w:val="0"/>
              <w:rPr>
                <w:color w:val="0000FF"/>
              </w:rPr>
            </w:pPr>
            <w:r>
              <w:rPr>
                <w:rFonts w:hint="eastAsia"/>
                <w:color w:val="0000FF"/>
                <w:lang w:val="en-US" w:eastAsia="zh-CN"/>
              </w:rPr>
              <w:t>/</w:t>
            </w:r>
          </w:p>
        </w:tc>
      </w:tr>
      <w:tr w14:paraId="60C9596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30" w:hRule="atLeast"/>
        </w:trPr>
        <w:tc>
          <w:tcPr>
            <w:tcW w:w="342" w:type="pct"/>
            <w:noWrap w:val="0"/>
            <w:vAlign w:val="center"/>
          </w:tcPr>
          <w:p w14:paraId="13118FA3">
            <w:pPr>
              <w:pStyle w:val="40"/>
              <w:bidi w:val="0"/>
              <w:rPr>
                <w:color w:val="0000FF"/>
              </w:rPr>
            </w:pPr>
            <w:r>
              <w:rPr>
                <w:color w:val="0000FF"/>
              </w:rPr>
              <w:t>40</w:t>
            </w:r>
          </w:p>
        </w:tc>
        <w:tc>
          <w:tcPr>
            <w:tcW w:w="688" w:type="pct"/>
            <w:noWrap w:val="0"/>
            <w:vAlign w:val="center"/>
          </w:tcPr>
          <w:p w14:paraId="4792D5BC">
            <w:pPr>
              <w:pStyle w:val="40"/>
              <w:bidi w:val="0"/>
              <w:rPr>
                <w:color w:val="0000FF"/>
              </w:rPr>
            </w:pPr>
            <w:r>
              <w:rPr>
                <w:rFonts w:hint="eastAsia"/>
                <w:color w:val="0000FF"/>
                <w:lang w:val="en-US" w:eastAsia="zh-CN"/>
              </w:rPr>
              <w:t xml:space="preserve">420 </w:t>
            </w:r>
          </w:p>
        </w:tc>
        <w:tc>
          <w:tcPr>
            <w:tcW w:w="1148" w:type="pct"/>
            <w:noWrap w:val="0"/>
            <w:vAlign w:val="center"/>
          </w:tcPr>
          <w:p w14:paraId="1E9388AF">
            <w:pPr>
              <w:pStyle w:val="40"/>
              <w:bidi w:val="0"/>
              <w:rPr>
                <w:color w:val="0000FF"/>
                <w:lang w:val="zh-CN"/>
              </w:rPr>
            </w:pPr>
            <w:r>
              <w:rPr>
                <w:rFonts w:hint="eastAsia"/>
                <w:color w:val="0000FF"/>
                <w:lang w:val="en-US" w:eastAsia="zh-CN"/>
              </w:rPr>
              <w:t xml:space="preserve">214.77 </w:t>
            </w:r>
          </w:p>
        </w:tc>
        <w:tc>
          <w:tcPr>
            <w:tcW w:w="1410" w:type="pct"/>
            <w:noWrap w:val="0"/>
            <w:vAlign w:val="center"/>
          </w:tcPr>
          <w:p w14:paraId="6C70E982">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16AF431C">
            <w:pPr>
              <w:pStyle w:val="40"/>
              <w:bidi w:val="0"/>
              <w:rPr>
                <w:color w:val="0000FF"/>
                <w:lang w:val="zh-CN"/>
              </w:rPr>
            </w:pPr>
            <w:r>
              <w:rPr>
                <w:rFonts w:hint="eastAsia"/>
                <w:color w:val="0000FF"/>
                <w:lang w:val="en-US" w:eastAsia="zh-CN"/>
              </w:rPr>
              <w:t>/</w:t>
            </w:r>
          </w:p>
        </w:tc>
      </w:tr>
      <w:tr w14:paraId="1E71EE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6EC645E">
            <w:pPr>
              <w:pStyle w:val="40"/>
              <w:bidi w:val="0"/>
              <w:rPr>
                <w:color w:val="0000FF"/>
              </w:rPr>
            </w:pPr>
            <w:r>
              <w:rPr>
                <w:color w:val="0000FF"/>
              </w:rPr>
              <w:t>41</w:t>
            </w:r>
          </w:p>
        </w:tc>
        <w:tc>
          <w:tcPr>
            <w:tcW w:w="688" w:type="pct"/>
            <w:noWrap w:val="0"/>
            <w:vAlign w:val="center"/>
          </w:tcPr>
          <w:p w14:paraId="0774CA3C">
            <w:pPr>
              <w:pStyle w:val="40"/>
              <w:bidi w:val="0"/>
              <w:rPr>
                <w:color w:val="0000FF"/>
              </w:rPr>
            </w:pPr>
            <w:r>
              <w:rPr>
                <w:rFonts w:hint="eastAsia"/>
                <w:color w:val="0000FF"/>
                <w:lang w:val="en-US" w:eastAsia="zh-CN"/>
              </w:rPr>
              <w:t xml:space="preserve">430 </w:t>
            </w:r>
          </w:p>
        </w:tc>
        <w:tc>
          <w:tcPr>
            <w:tcW w:w="1148" w:type="pct"/>
            <w:noWrap w:val="0"/>
            <w:vAlign w:val="center"/>
          </w:tcPr>
          <w:p w14:paraId="32A645C1">
            <w:pPr>
              <w:pStyle w:val="40"/>
              <w:bidi w:val="0"/>
              <w:rPr>
                <w:color w:val="0000FF"/>
                <w:lang w:val="zh-CN"/>
              </w:rPr>
            </w:pPr>
            <w:r>
              <w:rPr>
                <w:rFonts w:hint="eastAsia"/>
                <w:color w:val="0000FF"/>
                <w:lang w:val="en-US" w:eastAsia="zh-CN"/>
              </w:rPr>
              <w:t xml:space="preserve">207.86 </w:t>
            </w:r>
          </w:p>
        </w:tc>
        <w:tc>
          <w:tcPr>
            <w:tcW w:w="1410" w:type="pct"/>
            <w:noWrap w:val="0"/>
            <w:vAlign w:val="center"/>
          </w:tcPr>
          <w:p w14:paraId="3B1AEF2A">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5A91CA92">
            <w:pPr>
              <w:pStyle w:val="40"/>
              <w:bidi w:val="0"/>
              <w:rPr>
                <w:color w:val="0000FF"/>
                <w:lang w:val="zh-CN"/>
              </w:rPr>
            </w:pPr>
            <w:r>
              <w:rPr>
                <w:rFonts w:hint="eastAsia"/>
                <w:color w:val="0000FF"/>
                <w:lang w:val="en-US" w:eastAsia="zh-CN"/>
              </w:rPr>
              <w:t>/</w:t>
            </w:r>
          </w:p>
        </w:tc>
      </w:tr>
      <w:tr w14:paraId="2B1B8B7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5B284795">
            <w:pPr>
              <w:pStyle w:val="40"/>
              <w:bidi w:val="0"/>
              <w:rPr>
                <w:color w:val="0000FF"/>
              </w:rPr>
            </w:pPr>
            <w:r>
              <w:rPr>
                <w:color w:val="0000FF"/>
              </w:rPr>
              <w:t>42</w:t>
            </w:r>
          </w:p>
        </w:tc>
        <w:tc>
          <w:tcPr>
            <w:tcW w:w="688" w:type="pct"/>
            <w:noWrap w:val="0"/>
            <w:vAlign w:val="center"/>
          </w:tcPr>
          <w:p w14:paraId="2CABE5AD">
            <w:pPr>
              <w:pStyle w:val="40"/>
              <w:bidi w:val="0"/>
              <w:rPr>
                <w:color w:val="0000FF"/>
              </w:rPr>
            </w:pPr>
            <w:r>
              <w:rPr>
                <w:rFonts w:hint="eastAsia"/>
                <w:color w:val="0000FF"/>
                <w:lang w:val="en-US" w:eastAsia="zh-CN"/>
              </w:rPr>
              <w:t xml:space="preserve">440 </w:t>
            </w:r>
          </w:p>
        </w:tc>
        <w:tc>
          <w:tcPr>
            <w:tcW w:w="1148" w:type="pct"/>
            <w:noWrap w:val="0"/>
            <w:vAlign w:val="center"/>
          </w:tcPr>
          <w:p w14:paraId="0ED45856">
            <w:pPr>
              <w:pStyle w:val="40"/>
              <w:bidi w:val="0"/>
              <w:rPr>
                <w:color w:val="0000FF"/>
                <w:lang w:val="zh-CN"/>
              </w:rPr>
            </w:pPr>
            <w:r>
              <w:rPr>
                <w:rFonts w:hint="eastAsia"/>
                <w:color w:val="0000FF"/>
                <w:lang w:val="en-US" w:eastAsia="zh-CN"/>
              </w:rPr>
              <w:t xml:space="preserve">201.27 </w:t>
            </w:r>
          </w:p>
        </w:tc>
        <w:tc>
          <w:tcPr>
            <w:tcW w:w="1410" w:type="pct"/>
            <w:noWrap w:val="0"/>
            <w:vAlign w:val="center"/>
          </w:tcPr>
          <w:p w14:paraId="58034959">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3258C6DE">
            <w:pPr>
              <w:pStyle w:val="40"/>
              <w:bidi w:val="0"/>
              <w:rPr>
                <w:color w:val="0000FF"/>
                <w:lang w:val="zh-CN"/>
              </w:rPr>
            </w:pPr>
            <w:r>
              <w:rPr>
                <w:rFonts w:hint="eastAsia"/>
                <w:color w:val="0000FF"/>
                <w:lang w:val="en-US" w:eastAsia="zh-CN"/>
              </w:rPr>
              <w:t>/</w:t>
            </w:r>
          </w:p>
        </w:tc>
      </w:tr>
      <w:tr w14:paraId="072F4D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5205107">
            <w:pPr>
              <w:pStyle w:val="40"/>
              <w:bidi w:val="0"/>
              <w:rPr>
                <w:color w:val="0000FF"/>
              </w:rPr>
            </w:pPr>
            <w:r>
              <w:rPr>
                <w:color w:val="0000FF"/>
              </w:rPr>
              <w:t>43</w:t>
            </w:r>
          </w:p>
        </w:tc>
        <w:tc>
          <w:tcPr>
            <w:tcW w:w="688" w:type="pct"/>
            <w:noWrap w:val="0"/>
            <w:vAlign w:val="center"/>
          </w:tcPr>
          <w:p w14:paraId="194219AB">
            <w:pPr>
              <w:pStyle w:val="40"/>
              <w:bidi w:val="0"/>
              <w:rPr>
                <w:color w:val="0000FF"/>
              </w:rPr>
            </w:pPr>
            <w:r>
              <w:rPr>
                <w:rFonts w:hint="eastAsia"/>
                <w:color w:val="0000FF"/>
                <w:lang w:val="en-US" w:eastAsia="zh-CN"/>
              </w:rPr>
              <w:t xml:space="preserve">450 </w:t>
            </w:r>
          </w:p>
        </w:tc>
        <w:tc>
          <w:tcPr>
            <w:tcW w:w="1148" w:type="pct"/>
            <w:noWrap w:val="0"/>
            <w:vAlign w:val="center"/>
          </w:tcPr>
          <w:p w14:paraId="314AE2F6">
            <w:pPr>
              <w:pStyle w:val="40"/>
              <w:bidi w:val="0"/>
              <w:rPr>
                <w:color w:val="0000FF"/>
                <w:lang w:val="zh-CN"/>
              </w:rPr>
            </w:pPr>
            <w:r>
              <w:rPr>
                <w:rFonts w:hint="eastAsia"/>
                <w:color w:val="0000FF"/>
                <w:lang w:val="en-US" w:eastAsia="zh-CN"/>
              </w:rPr>
              <w:t xml:space="preserve">195.00 </w:t>
            </w:r>
          </w:p>
        </w:tc>
        <w:tc>
          <w:tcPr>
            <w:tcW w:w="1410" w:type="pct"/>
            <w:noWrap w:val="0"/>
            <w:vAlign w:val="center"/>
          </w:tcPr>
          <w:p w14:paraId="6103F3BC">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0B7B1A34">
            <w:pPr>
              <w:pStyle w:val="40"/>
              <w:bidi w:val="0"/>
              <w:rPr>
                <w:color w:val="0000FF"/>
                <w:lang w:val="zh-CN"/>
              </w:rPr>
            </w:pPr>
            <w:r>
              <w:rPr>
                <w:rFonts w:hint="eastAsia"/>
                <w:color w:val="0000FF"/>
                <w:lang w:val="en-US" w:eastAsia="zh-CN"/>
              </w:rPr>
              <w:t>/</w:t>
            </w:r>
          </w:p>
        </w:tc>
      </w:tr>
      <w:tr w14:paraId="59A50AA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3DE402B">
            <w:pPr>
              <w:pStyle w:val="40"/>
              <w:bidi w:val="0"/>
              <w:rPr>
                <w:color w:val="0000FF"/>
              </w:rPr>
            </w:pPr>
            <w:r>
              <w:rPr>
                <w:color w:val="0000FF"/>
              </w:rPr>
              <w:t>44</w:t>
            </w:r>
          </w:p>
        </w:tc>
        <w:tc>
          <w:tcPr>
            <w:tcW w:w="688" w:type="pct"/>
            <w:noWrap w:val="0"/>
            <w:vAlign w:val="center"/>
          </w:tcPr>
          <w:p w14:paraId="76CD7463">
            <w:pPr>
              <w:pStyle w:val="40"/>
              <w:bidi w:val="0"/>
              <w:rPr>
                <w:color w:val="0000FF"/>
              </w:rPr>
            </w:pPr>
            <w:r>
              <w:rPr>
                <w:rFonts w:hint="eastAsia"/>
                <w:color w:val="0000FF"/>
                <w:lang w:val="en-US" w:eastAsia="zh-CN"/>
              </w:rPr>
              <w:t xml:space="preserve">460 </w:t>
            </w:r>
          </w:p>
        </w:tc>
        <w:tc>
          <w:tcPr>
            <w:tcW w:w="1148" w:type="pct"/>
            <w:noWrap w:val="0"/>
            <w:vAlign w:val="center"/>
          </w:tcPr>
          <w:p w14:paraId="6A2CB1D4">
            <w:pPr>
              <w:pStyle w:val="40"/>
              <w:bidi w:val="0"/>
              <w:rPr>
                <w:color w:val="0000FF"/>
                <w:lang w:val="zh-CN"/>
              </w:rPr>
            </w:pPr>
            <w:r>
              <w:rPr>
                <w:rFonts w:hint="eastAsia"/>
                <w:color w:val="0000FF"/>
                <w:lang w:val="en-US" w:eastAsia="zh-CN"/>
              </w:rPr>
              <w:t xml:space="preserve">189.02 </w:t>
            </w:r>
          </w:p>
        </w:tc>
        <w:tc>
          <w:tcPr>
            <w:tcW w:w="1410" w:type="pct"/>
            <w:noWrap w:val="0"/>
            <w:vAlign w:val="center"/>
          </w:tcPr>
          <w:p w14:paraId="6FF929C1">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4EE18295">
            <w:pPr>
              <w:pStyle w:val="40"/>
              <w:bidi w:val="0"/>
              <w:rPr>
                <w:color w:val="0000FF"/>
                <w:lang w:val="zh-CN"/>
              </w:rPr>
            </w:pPr>
            <w:r>
              <w:rPr>
                <w:rFonts w:hint="eastAsia"/>
                <w:color w:val="0000FF"/>
                <w:lang w:val="en-US" w:eastAsia="zh-CN"/>
              </w:rPr>
              <w:t>/</w:t>
            </w:r>
          </w:p>
        </w:tc>
      </w:tr>
      <w:tr w14:paraId="1B924C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9BCF609">
            <w:pPr>
              <w:pStyle w:val="40"/>
              <w:bidi w:val="0"/>
              <w:rPr>
                <w:color w:val="0000FF"/>
              </w:rPr>
            </w:pPr>
            <w:r>
              <w:rPr>
                <w:color w:val="0000FF"/>
              </w:rPr>
              <w:t>45</w:t>
            </w:r>
          </w:p>
        </w:tc>
        <w:tc>
          <w:tcPr>
            <w:tcW w:w="688" w:type="pct"/>
            <w:noWrap w:val="0"/>
            <w:vAlign w:val="center"/>
          </w:tcPr>
          <w:p w14:paraId="18977EF6">
            <w:pPr>
              <w:pStyle w:val="40"/>
              <w:bidi w:val="0"/>
              <w:rPr>
                <w:color w:val="0000FF"/>
              </w:rPr>
            </w:pPr>
            <w:r>
              <w:rPr>
                <w:rFonts w:hint="eastAsia"/>
                <w:color w:val="0000FF"/>
                <w:lang w:val="en-US" w:eastAsia="zh-CN"/>
              </w:rPr>
              <w:t xml:space="preserve">470 </w:t>
            </w:r>
          </w:p>
        </w:tc>
        <w:tc>
          <w:tcPr>
            <w:tcW w:w="1148" w:type="pct"/>
            <w:noWrap w:val="0"/>
            <w:vAlign w:val="center"/>
          </w:tcPr>
          <w:p w14:paraId="413BBA5F">
            <w:pPr>
              <w:pStyle w:val="40"/>
              <w:bidi w:val="0"/>
              <w:rPr>
                <w:color w:val="0000FF"/>
                <w:lang w:val="zh-CN"/>
              </w:rPr>
            </w:pPr>
            <w:r>
              <w:rPr>
                <w:rFonts w:hint="eastAsia"/>
                <w:color w:val="0000FF"/>
                <w:lang w:val="en-US" w:eastAsia="zh-CN"/>
              </w:rPr>
              <w:t xml:space="preserve">183.31 </w:t>
            </w:r>
          </w:p>
        </w:tc>
        <w:tc>
          <w:tcPr>
            <w:tcW w:w="1410" w:type="pct"/>
            <w:noWrap w:val="0"/>
            <w:vAlign w:val="center"/>
          </w:tcPr>
          <w:p w14:paraId="32F93CC9">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4881200B">
            <w:pPr>
              <w:pStyle w:val="40"/>
              <w:bidi w:val="0"/>
              <w:rPr>
                <w:color w:val="0000FF"/>
                <w:lang w:val="zh-CN"/>
              </w:rPr>
            </w:pPr>
            <w:r>
              <w:rPr>
                <w:rFonts w:hint="eastAsia"/>
                <w:color w:val="0000FF"/>
                <w:lang w:val="en-US" w:eastAsia="zh-CN"/>
              </w:rPr>
              <w:t>/</w:t>
            </w:r>
          </w:p>
        </w:tc>
      </w:tr>
      <w:tr w14:paraId="617ABF0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002857C3">
            <w:pPr>
              <w:pStyle w:val="40"/>
              <w:bidi w:val="0"/>
              <w:rPr>
                <w:color w:val="0000FF"/>
              </w:rPr>
            </w:pPr>
            <w:r>
              <w:rPr>
                <w:color w:val="0000FF"/>
              </w:rPr>
              <w:t>46</w:t>
            </w:r>
          </w:p>
        </w:tc>
        <w:tc>
          <w:tcPr>
            <w:tcW w:w="688" w:type="pct"/>
            <w:noWrap w:val="0"/>
            <w:vAlign w:val="center"/>
          </w:tcPr>
          <w:p w14:paraId="040DDC0F">
            <w:pPr>
              <w:pStyle w:val="40"/>
              <w:bidi w:val="0"/>
              <w:rPr>
                <w:color w:val="0000FF"/>
              </w:rPr>
            </w:pPr>
            <w:r>
              <w:rPr>
                <w:rFonts w:hint="eastAsia"/>
                <w:color w:val="0000FF"/>
                <w:lang w:val="en-US" w:eastAsia="zh-CN"/>
              </w:rPr>
              <w:t xml:space="preserve">480 </w:t>
            </w:r>
          </w:p>
        </w:tc>
        <w:tc>
          <w:tcPr>
            <w:tcW w:w="1148" w:type="pct"/>
            <w:noWrap w:val="0"/>
            <w:vAlign w:val="center"/>
          </w:tcPr>
          <w:p w14:paraId="6B6EDAA8">
            <w:pPr>
              <w:pStyle w:val="40"/>
              <w:bidi w:val="0"/>
              <w:rPr>
                <w:color w:val="0000FF"/>
                <w:lang w:val="zh-CN"/>
              </w:rPr>
            </w:pPr>
            <w:r>
              <w:rPr>
                <w:rFonts w:hint="eastAsia"/>
                <w:color w:val="0000FF"/>
                <w:lang w:val="en-US" w:eastAsia="zh-CN"/>
              </w:rPr>
              <w:t xml:space="preserve">177.87 </w:t>
            </w:r>
          </w:p>
        </w:tc>
        <w:tc>
          <w:tcPr>
            <w:tcW w:w="1410" w:type="pct"/>
            <w:noWrap w:val="0"/>
            <w:vAlign w:val="center"/>
          </w:tcPr>
          <w:p w14:paraId="3FF8EA18">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4D99C858">
            <w:pPr>
              <w:pStyle w:val="40"/>
              <w:bidi w:val="0"/>
              <w:rPr>
                <w:color w:val="0000FF"/>
                <w:lang w:val="zh-CN"/>
              </w:rPr>
            </w:pPr>
            <w:r>
              <w:rPr>
                <w:rFonts w:hint="eastAsia"/>
                <w:color w:val="0000FF"/>
                <w:lang w:val="en-US" w:eastAsia="zh-CN"/>
              </w:rPr>
              <w:t>/</w:t>
            </w:r>
          </w:p>
        </w:tc>
      </w:tr>
      <w:tr w14:paraId="082B644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BE572A2">
            <w:pPr>
              <w:pStyle w:val="40"/>
              <w:bidi w:val="0"/>
              <w:rPr>
                <w:color w:val="0000FF"/>
              </w:rPr>
            </w:pPr>
            <w:r>
              <w:rPr>
                <w:color w:val="0000FF"/>
              </w:rPr>
              <w:t>47</w:t>
            </w:r>
          </w:p>
        </w:tc>
        <w:tc>
          <w:tcPr>
            <w:tcW w:w="688" w:type="pct"/>
            <w:noWrap w:val="0"/>
            <w:vAlign w:val="center"/>
          </w:tcPr>
          <w:p w14:paraId="75915904">
            <w:pPr>
              <w:pStyle w:val="40"/>
              <w:bidi w:val="0"/>
              <w:rPr>
                <w:color w:val="0000FF"/>
              </w:rPr>
            </w:pPr>
            <w:r>
              <w:rPr>
                <w:rFonts w:hint="eastAsia"/>
                <w:color w:val="0000FF"/>
                <w:lang w:val="en-US" w:eastAsia="zh-CN"/>
              </w:rPr>
              <w:t xml:space="preserve">490 </w:t>
            </w:r>
          </w:p>
        </w:tc>
        <w:tc>
          <w:tcPr>
            <w:tcW w:w="1148" w:type="pct"/>
            <w:noWrap w:val="0"/>
            <w:vAlign w:val="center"/>
          </w:tcPr>
          <w:p w14:paraId="77D31256">
            <w:pPr>
              <w:pStyle w:val="40"/>
              <w:bidi w:val="0"/>
              <w:rPr>
                <w:color w:val="0000FF"/>
                <w:lang w:val="zh-CN"/>
              </w:rPr>
            </w:pPr>
            <w:r>
              <w:rPr>
                <w:rFonts w:hint="eastAsia"/>
                <w:color w:val="0000FF"/>
                <w:lang w:val="en-US" w:eastAsia="zh-CN"/>
              </w:rPr>
              <w:t xml:space="preserve">172.66 </w:t>
            </w:r>
          </w:p>
        </w:tc>
        <w:tc>
          <w:tcPr>
            <w:tcW w:w="1410" w:type="pct"/>
            <w:noWrap w:val="0"/>
            <w:vAlign w:val="center"/>
          </w:tcPr>
          <w:p w14:paraId="7BCE06F1">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1095CBC5">
            <w:pPr>
              <w:pStyle w:val="40"/>
              <w:bidi w:val="0"/>
              <w:rPr>
                <w:color w:val="0000FF"/>
                <w:lang w:val="zh-CN"/>
              </w:rPr>
            </w:pPr>
            <w:r>
              <w:rPr>
                <w:rFonts w:hint="eastAsia"/>
                <w:color w:val="0000FF"/>
                <w:lang w:val="en-US" w:eastAsia="zh-CN"/>
              </w:rPr>
              <w:t>/</w:t>
            </w:r>
          </w:p>
        </w:tc>
      </w:tr>
      <w:tr w14:paraId="7234547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EB7A3E2">
            <w:pPr>
              <w:pStyle w:val="40"/>
              <w:bidi w:val="0"/>
              <w:rPr>
                <w:color w:val="0000FF"/>
              </w:rPr>
            </w:pPr>
            <w:r>
              <w:rPr>
                <w:color w:val="0000FF"/>
              </w:rPr>
              <w:t>48</w:t>
            </w:r>
          </w:p>
        </w:tc>
        <w:tc>
          <w:tcPr>
            <w:tcW w:w="688" w:type="pct"/>
            <w:noWrap w:val="0"/>
            <w:vAlign w:val="center"/>
          </w:tcPr>
          <w:p w14:paraId="5E89DF87">
            <w:pPr>
              <w:pStyle w:val="40"/>
              <w:bidi w:val="0"/>
              <w:rPr>
                <w:color w:val="0000FF"/>
              </w:rPr>
            </w:pPr>
            <w:r>
              <w:rPr>
                <w:rFonts w:hint="eastAsia"/>
                <w:color w:val="0000FF"/>
                <w:lang w:val="en-US" w:eastAsia="zh-CN"/>
              </w:rPr>
              <w:t xml:space="preserve">500 </w:t>
            </w:r>
          </w:p>
        </w:tc>
        <w:tc>
          <w:tcPr>
            <w:tcW w:w="1148" w:type="pct"/>
            <w:noWrap w:val="0"/>
            <w:vAlign w:val="center"/>
          </w:tcPr>
          <w:p w14:paraId="192A0F19">
            <w:pPr>
              <w:pStyle w:val="40"/>
              <w:bidi w:val="0"/>
              <w:rPr>
                <w:color w:val="0000FF"/>
                <w:lang w:val="zh-CN"/>
              </w:rPr>
            </w:pPr>
            <w:r>
              <w:rPr>
                <w:rFonts w:hint="eastAsia"/>
                <w:color w:val="0000FF"/>
                <w:lang w:val="en-US" w:eastAsia="zh-CN"/>
              </w:rPr>
              <w:t xml:space="preserve">167.69 </w:t>
            </w:r>
          </w:p>
        </w:tc>
        <w:tc>
          <w:tcPr>
            <w:tcW w:w="1410" w:type="pct"/>
            <w:noWrap w:val="0"/>
            <w:vAlign w:val="center"/>
          </w:tcPr>
          <w:p w14:paraId="32D6E78D">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0CD1CA35">
            <w:pPr>
              <w:pStyle w:val="40"/>
              <w:bidi w:val="0"/>
              <w:rPr>
                <w:color w:val="0000FF"/>
                <w:lang w:val="zh-CN"/>
              </w:rPr>
            </w:pPr>
            <w:r>
              <w:rPr>
                <w:rFonts w:hint="eastAsia"/>
                <w:color w:val="0000FF"/>
                <w:lang w:val="en-US" w:eastAsia="zh-CN"/>
              </w:rPr>
              <w:t>/</w:t>
            </w:r>
          </w:p>
        </w:tc>
      </w:tr>
      <w:tr w14:paraId="6C75DBE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214A093">
            <w:pPr>
              <w:pStyle w:val="40"/>
              <w:bidi w:val="0"/>
              <w:rPr>
                <w:color w:val="0000FF"/>
              </w:rPr>
            </w:pPr>
            <w:r>
              <w:rPr>
                <w:color w:val="0000FF"/>
              </w:rPr>
              <w:t>49</w:t>
            </w:r>
          </w:p>
        </w:tc>
        <w:tc>
          <w:tcPr>
            <w:tcW w:w="688" w:type="pct"/>
            <w:noWrap w:val="0"/>
            <w:vAlign w:val="center"/>
          </w:tcPr>
          <w:p w14:paraId="6FE7EED4">
            <w:pPr>
              <w:pStyle w:val="40"/>
              <w:bidi w:val="0"/>
              <w:rPr>
                <w:color w:val="0000FF"/>
              </w:rPr>
            </w:pPr>
            <w:r>
              <w:rPr>
                <w:rFonts w:hint="eastAsia"/>
                <w:color w:val="0000FF"/>
                <w:lang w:val="en-US" w:eastAsia="zh-CN"/>
              </w:rPr>
              <w:t xml:space="preserve">510 </w:t>
            </w:r>
          </w:p>
        </w:tc>
        <w:tc>
          <w:tcPr>
            <w:tcW w:w="1148" w:type="pct"/>
            <w:noWrap w:val="0"/>
            <w:vAlign w:val="center"/>
          </w:tcPr>
          <w:p w14:paraId="4DA5D2B4">
            <w:pPr>
              <w:pStyle w:val="40"/>
              <w:bidi w:val="0"/>
              <w:rPr>
                <w:color w:val="0000FF"/>
                <w:lang w:val="zh-CN"/>
              </w:rPr>
            </w:pPr>
            <w:r>
              <w:rPr>
                <w:rFonts w:hint="eastAsia"/>
                <w:color w:val="0000FF"/>
                <w:lang w:val="en-US" w:eastAsia="zh-CN"/>
              </w:rPr>
              <w:t xml:space="preserve">162.93 </w:t>
            </w:r>
          </w:p>
        </w:tc>
        <w:tc>
          <w:tcPr>
            <w:tcW w:w="1410" w:type="pct"/>
            <w:noWrap w:val="0"/>
            <w:vAlign w:val="center"/>
          </w:tcPr>
          <w:p w14:paraId="0A1FA260">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00F2C166">
            <w:pPr>
              <w:pStyle w:val="40"/>
              <w:bidi w:val="0"/>
              <w:rPr>
                <w:color w:val="0000FF"/>
                <w:lang w:val="zh-CN"/>
              </w:rPr>
            </w:pPr>
            <w:r>
              <w:rPr>
                <w:rFonts w:hint="eastAsia"/>
                <w:color w:val="0000FF"/>
                <w:lang w:val="en-US" w:eastAsia="zh-CN"/>
              </w:rPr>
              <w:t>/</w:t>
            </w:r>
          </w:p>
        </w:tc>
      </w:tr>
      <w:tr w14:paraId="6FBE959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97C92BF">
            <w:pPr>
              <w:pStyle w:val="40"/>
              <w:bidi w:val="0"/>
              <w:rPr>
                <w:color w:val="0000FF"/>
              </w:rPr>
            </w:pPr>
            <w:r>
              <w:rPr>
                <w:color w:val="0000FF"/>
              </w:rPr>
              <w:t>50</w:t>
            </w:r>
          </w:p>
        </w:tc>
        <w:tc>
          <w:tcPr>
            <w:tcW w:w="688" w:type="pct"/>
            <w:noWrap w:val="0"/>
            <w:vAlign w:val="center"/>
          </w:tcPr>
          <w:p w14:paraId="23D5EA22">
            <w:pPr>
              <w:pStyle w:val="40"/>
              <w:bidi w:val="0"/>
              <w:rPr>
                <w:color w:val="0000FF"/>
              </w:rPr>
            </w:pPr>
            <w:r>
              <w:rPr>
                <w:rFonts w:hint="eastAsia"/>
                <w:color w:val="0000FF"/>
                <w:lang w:val="en-US" w:eastAsia="zh-CN"/>
              </w:rPr>
              <w:t xml:space="preserve">520 </w:t>
            </w:r>
          </w:p>
        </w:tc>
        <w:tc>
          <w:tcPr>
            <w:tcW w:w="1148" w:type="pct"/>
            <w:noWrap w:val="0"/>
            <w:vAlign w:val="center"/>
          </w:tcPr>
          <w:p w14:paraId="0740BBD2">
            <w:pPr>
              <w:pStyle w:val="40"/>
              <w:bidi w:val="0"/>
              <w:rPr>
                <w:color w:val="0000FF"/>
                <w:lang w:val="zh-CN"/>
              </w:rPr>
            </w:pPr>
            <w:r>
              <w:rPr>
                <w:rFonts w:hint="eastAsia"/>
                <w:color w:val="0000FF"/>
                <w:lang w:val="en-US" w:eastAsia="zh-CN"/>
              </w:rPr>
              <w:t xml:space="preserve">158.38 </w:t>
            </w:r>
          </w:p>
        </w:tc>
        <w:tc>
          <w:tcPr>
            <w:tcW w:w="1410" w:type="pct"/>
            <w:noWrap w:val="0"/>
            <w:vAlign w:val="center"/>
          </w:tcPr>
          <w:p w14:paraId="55B77368">
            <w:pPr>
              <w:pStyle w:val="40"/>
              <w:bidi w:val="0"/>
              <w:rPr>
                <w:color w:val="0000FF"/>
                <w:lang w:val="zh-CN"/>
              </w:rPr>
            </w:pPr>
            <w:r>
              <w:rPr>
                <w:rFonts w:hint="eastAsia"/>
                <w:color w:val="0000FF"/>
                <w:lang w:val="en-US" w:eastAsia="zh-CN"/>
              </w:rPr>
              <w:t xml:space="preserve">20.00 </w:t>
            </w:r>
          </w:p>
        </w:tc>
        <w:tc>
          <w:tcPr>
            <w:tcW w:w="1410" w:type="pct"/>
            <w:noWrap w:val="0"/>
            <w:vAlign w:val="center"/>
          </w:tcPr>
          <w:p w14:paraId="410B5F85">
            <w:pPr>
              <w:pStyle w:val="40"/>
              <w:bidi w:val="0"/>
              <w:rPr>
                <w:color w:val="0000FF"/>
                <w:lang w:val="zh-CN"/>
              </w:rPr>
            </w:pPr>
            <w:r>
              <w:rPr>
                <w:rFonts w:hint="eastAsia"/>
                <w:color w:val="0000FF"/>
                <w:lang w:val="en-US" w:eastAsia="zh-CN"/>
              </w:rPr>
              <w:t>/</w:t>
            </w:r>
          </w:p>
        </w:tc>
      </w:tr>
      <w:tr w14:paraId="04A9D7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BC3EC04">
            <w:pPr>
              <w:pStyle w:val="40"/>
              <w:bidi w:val="0"/>
              <w:rPr>
                <w:color w:val="0000FF"/>
              </w:rPr>
            </w:pPr>
            <w:r>
              <w:rPr>
                <w:color w:val="0000FF"/>
              </w:rPr>
              <w:t>51</w:t>
            </w:r>
          </w:p>
        </w:tc>
        <w:tc>
          <w:tcPr>
            <w:tcW w:w="688" w:type="pct"/>
            <w:noWrap w:val="0"/>
            <w:vAlign w:val="center"/>
          </w:tcPr>
          <w:p w14:paraId="50C7EFE7">
            <w:pPr>
              <w:pStyle w:val="40"/>
              <w:bidi w:val="0"/>
              <w:rPr>
                <w:color w:val="0000FF"/>
              </w:rPr>
            </w:pPr>
            <w:r>
              <w:rPr>
                <w:rFonts w:hint="eastAsia"/>
                <w:color w:val="0000FF"/>
                <w:lang w:val="en-US" w:eastAsia="zh-CN"/>
              </w:rPr>
              <w:t xml:space="preserve">530 </w:t>
            </w:r>
          </w:p>
        </w:tc>
        <w:tc>
          <w:tcPr>
            <w:tcW w:w="1148" w:type="pct"/>
            <w:noWrap w:val="0"/>
            <w:vAlign w:val="center"/>
          </w:tcPr>
          <w:p w14:paraId="232B17A7">
            <w:pPr>
              <w:pStyle w:val="40"/>
              <w:bidi w:val="0"/>
              <w:rPr>
                <w:color w:val="0000FF"/>
                <w:lang w:val="zh-CN"/>
              </w:rPr>
            </w:pPr>
            <w:r>
              <w:rPr>
                <w:rFonts w:hint="eastAsia"/>
                <w:color w:val="0000FF"/>
                <w:lang w:val="en-US" w:eastAsia="zh-CN"/>
              </w:rPr>
              <w:t xml:space="preserve">154.02 </w:t>
            </w:r>
          </w:p>
        </w:tc>
        <w:tc>
          <w:tcPr>
            <w:tcW w:w="1410" w:type="pct"/>
            <w:noWrap w:val="0"/>
            <w:vAlign w:val="center"/>
          </w:tcPr>
          <w:p w14:paraId="0A519D64">
            <w:pPr>
              <w:pStyle w:val="40"/>
              <w:bidi w:val="0"/>
              <w:rPr>
                <w:color w:val="0000FF"/>
                <w:lang w:val="zh-CN"/>
              </w:rPr>
            </w:pPr>
            <w:r>
              <w:rPr>
                <w:rFonts w:hint="eastAsia"/>
                <w:color w:val="0000FF"/>
                <w:lang w:val="en-US" w:eastAsia="zh-CN"/>
              </w:rPr>
              <w:t xml:space="preserve">19.00 </w:t>
            </w:r>
          </w:p>
        </w:tc>
        <w:tc>
          <w:tcPr>
            <w:tcW w:w="1410" w:type="pct"/>
            <w:noWrap w:val="0"/>
            <w:vAlign w:val="center"/>
          </w:tcPr>
          <w:p w14:paraId="1A59C8FA">
            <w:pPr>
              <w:pStyle w:val="40"/>
              <w:bidi w:val="0"/>
              <w:rPr>
                <w:color w:val="0000FF"/>
                <w:lang w:val="zh-CN"/>
              </w:rPr>
            </w:pPr>
            <w:r>
              <w:rPr>
                <w:rFonts w:hint="eastAsia"/>
                <w:color w:val="0000FF"/>
                <w:lang w:val="en-US" w:eastAsia="zh-CN"/>
              </w:rPr>
              <w:t>/</w:t>
            </w:r>
          </w:p>
        </w:tc>
      </w:tr>
      <w:tr w14:paraId="374F23B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E398D96">
            <w:pPr>
              <w:pStyle w:val="40"/>
              <w:bidi w:val="0"/>
              <w:rPr>
                <w:color w:val="0000FF"/>
              </w:rPr>
            </w:pPr>
            <w:r>
              <w:rPr>
                <w:color w:val="0000FF"/>
              </w:rPr>
              <w:t>52</w:t>
            </w:r>
          </w:p>
        </w:tc>
        <w:tc>
          <w:tcPr>
            <w:tcW w:w="688" w:type="pct"/>
            <w:noWrap w:val="0"/>
            <w:vAlign w:val="center"/>
          </w:tcPr>
          <w:p w14:paraId="52FB25BA">
            <w:pPr>
              <w:pStyle w:val="40"/>
              <w:bidi w:val="0"/>
              <w:rPr>
                <w:color w:val="0000FF"/>
              </w:rPr>
            </w:pPr>
            <w:r>
              <w:rPr>
                <w:rFonts w:hint="eastAsia"/>
                <w:color w:val="0000FF"/>
                <w:lang w:val="en-US" w:eastAsia="zh-CN"/>
              </w:rPr>
              <w:t xml:space="preserve">540 </w:t>
            </w:r>
          </w:p>
        </w:tc>
        <w:tc>
          <w:tcPr>
            <w:tcW w:w="1148" w:type="pct"/>
            <w:noWrap w:val="0"/>
            <w:vAlign w:val="center"/>
          </w:tcPr>
          <w:p w14:paraId="3AAA6BC4">
            <w:pPr>
              <w:pStyle w:val="40"/>
              <w:bidi w:val="0"/>
              <w:rPr>
                <w:color w:val="0000FF"/>
                <w:lang w:val="zh-CN"/>
              </w:rPr>
            </w:pPr>
            <w:r>
              <w:rPr>
                <w:rFonts w:hint="eastAsia"/>
                <w:color w:val="0000FF"/>
                <w:lang w:val="en-US" w:eastAsia="zh-CN"/>
              </w:rPr>
              <w:t xml:space="preserve">149.84 </w:t>
            </w:r>
          </w:p>
        </w:tc>
        <w:tc>
          <w:tcPr>
            <w:tcW w:w="1410" w:type="pct"/>
            <w:noWrap w:val="0"/>
            <w:vAlign w:val="center"/>
          </w:tcPr>
          <w:p w14:paraId="6CB50048">
            <w:pPr>
              <w:pStyle w:val="40"/>
              <w:bidi w:val="0"/>
              <w:rPr>
                <w:color w:val="0000FF"/>
                <w:lang w:val="zh-CN"/>
              </w:rPr>
            </w:pPr>
            <w:r>
              <w:rPr>
                <w:rFonts w:hint="eastAsia"/>
                <w:color w:val="0000FF"/>
                <w:lang w:val="en-US" w:eastAsia="zh-CN"/>
              </w:rPr>
              <w:t xml:space="preserve">19.00 </w:t>
            </w:r>
          </w:p>
        </w:tc>
        <w:tc>
          <w:tcPr>
            <w:tcW w:w="1410" w:type="pct"/>
            <w:noWrap w:val="0"/>
            <w:vAlign w:val="center"/>
          </w:tcPr>
          <w:p w14:paraId="2613096F">
            <w:pPr>
              <w:pStyle w:val="40"/>
              <w:bidi w:val="0"/>
              <w:rPr>
                <w:color w:val="0000FF"/>
                <w:lang w:val="zh-CN"/>
              </w:rPr>
            </w:pPr>
            <w:r>
              <w:rPr>
                <w:rFonts w:hint="eastAsia"/>
                <w:color w:val="0000FF"/>
                <w:lang w:val="en-US" w:eastAsia="zh-CN"/>
              </w:rPr>
              <w:t>/</w:t>
            </w:r>
          </w:p>
        </w:tc>
      </w:tr>
      <w:tr w14:paraId="430FE35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6626D26">
            <w:pPr>
              <w:pStyle w:val="40"/>
              <w:bidi w:val="0"/>
              <w:rPr>
                <w:color w:val="0000FF"/>
              </w:rPr>
            </w:pPr>
            <w:r>
              <w:rPr>
                <w:color w:val="0000FF"/>
              </w:rPr>
              <w:t>53</w:t>
            </w:r>
          </w:p>
        </w:tc>
        <w:tc>
          <w:tcPr>
            <w:tcW w:w="688" w:type="pct"/>
            <w:noWrap w:val="0"/>
            <w:vAlign w:val="center"/>
          </w:tcPr>
          <w:p w14:paraId="114863D9">
            <w:pPr>
              <w:pStyle w:val="40"/>
              <w:bidi w:val="0"/>
              <w:rPr>
                <w:color w:val="0000FF"/>
              </w:rPr>
            </w:pPr>
            <w:r>
              <w:rPr>
                <w:rFonts w:hint="eastAsia"/>
                <w:color w:val="0000FF"/>
                <w:lang w:val="en-US" w:eastAsia="zh-CN"/>
              </w:rPr>
              <w:t xml:space="preserve">550 </w:t>
            </w:r>
          </w:p>
        </w:tc>
        <w:tc>
          <w:tcPr>
            <w:tcW w:w="1148" w:type="pct"/>
            <w:noWrap w:val="0"/>
            <w:vAlign w:val="center"/>
          </w:tcPr>
          <w:p w14:paraId="00E1E959">
            <w:pPr>
              <w:pStyle w:val="40"/>
              <w:bidi w:val="0"/>
              <w:rPr>
                <w:color w:val="0000FF"/>
                <w:lang w:val="zh-CN"/>
              </w:rPr>
            </w:pPr>
            <w:r>
              <w:rPr>
                <w:rFonts w:hint="eastAsia"/>
                <w:color w:val="0000FF"/>
                <w:lang w:val="en-US" w:eastAsia="zh-CN"/>
              </w:rPr>
              <w:t xml:space="preserve">145.83 </w:t>
            </w:r>
          </w:p>
        </w:tc>
        <w:tc>
          <w:tcPr>
            <w:tcW w:w="1410" w:type="pct"/>
            <w:noWrap w:val="0"/>
            <w:vAlign w:val="center"/>
          </w:tcPr>
          <w:p w14:paraId="4ED7E2C6">
            <w:pPr>
              <w:pStyle w:val="40"/>
              <w:bidi w:val="0"/>
              <w:rPr>
                <w:color w:val="0000FF"/>
                <w:lang w:val="zh-CN"/>
              </w:rPr>
            </w:pPr>
            <w:r>
              <w:rPr>
                <w:rFonts w:hint="eastAsia"/>
                <w:color w:val="0000FF"/>
                <w:lang w:val="en-US" w:eastAsia="zh-CN"/>
              </w:rPr>
              <w:t xml:space="preserve">19.00 </w:t>
            </w:r>
          </w:p>
        </w:tc>
        <w:tc>
          <w:tcPr>
            <w:tcW w:w="1410" w:type="pct"/>
            <w:noWrap w:val="0"/>
            <w:vAlign w:val="center"/>
          </w:tcPr>
          <w:p w14:paraId="63B37614">
            <w:pPr>
              <w:pStyle w:val="40"/>
              <w:bidi w:val="0"/>
              <w:rPr>
                <w:color w:val="0000FF"/>
                <w:lang w:val="zh-CN"/>
              </w:rPr>
            </w:pPr>
            <w:r>
              <w:rPr>
                <w:rFonts w:hint="eastAsia"/>
                <w:color w:val="0000FF"/>
                <w:lang w:val="en-US" w:eastAsia="zh-CN"/>
              </w:rPr>
              <w:t>/</w:t>
            </w:r>
          </w:p>
        </w:tc>
      </w:tr>
      <w:tr w14:paraId="55A408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7631928">
            <w:pPr>
              <w:pStyle w:val="40"/>
              <w:bidi w:val="0"/>
              <w:rPr>
                <w:color w:val="0000FF"/>
              </w:rPr>
            </w:pPr>
            <w:r>
              <w:rPr>
                <w:color w:val="0000FF"/>
              </w:rPr>
              <w:t>54</w:t>
            </w:r>
          </w:p>
        </w:tc>
        <w:tc>
          <w:tcPr>
            <w:tcW w:w="688" w:type="pct"/>
            <w:noWrap w:val="0"/>
            <w:vAlign w:val="center"/>
          </w:tcPr>
          <w:p w14:paraId="317A92ED">
            <w:pPr>
              <w:pStyle w:val="40"/>
              <w:bidi w:val="0"/>
              <w:rPr>
                <w:color w:val="0000FF"/>
              </w:rPr>
            </w:pPr>
            <w:r>
              <w:rPr>
                <w:rFonts w:hint="eastAsia"/>
                <w:color w:val="0000FF"/>
                <w:lang w:val="en-US" w:eastAsia="zh-CN"/>
              </w:rPr>
              <w:t xml:space="preserve">560 </w:t>
            </w:r>
          </w:p>
        </w:tc>
        <w:tc>
          <w:tcPr>
            <w:tcW w:w="1148" w:type="pct"/>
            <w:noWrap w:val="0"/>
            <w:vAlign w:val="center"/>
          </w:tcPr>
          <w:p w14:paraId="2534D158">
            <w:pPr>
              <w:pStyle w:val="40"/>
              <w:bidi w:val="0"/>
              <w:rPr>
                <w:color w:val="0000FF"/>
                <w:lang w:val="zh-CN"/>
              </w:rPr>
            </w:pPr>
            <w:r>
              <w:rPr>
                <w:rFonts w:hint="eastAsia"/>
                <w:color w:val="0000FF"/>
                <w:lang w:val="en-US" w:eastAsia="zh-CN"/>
              </w:rPr>
              <w:t xml:space="preserve">141.99 </w:t>
            </w:r>
          </w:p>
        </w:tc>
        <w:tc>
          <w:tcPr>
            <w:tcW w:w="1410" w:type="pct"/>
            <w:noWrap w:val="0"/>
            <w:vAlign w:val="center"/>
          </w:tcPr>
          <w:p w14:paraId="68A84907">
            <w:pPr>
              <w:pStyle w:val="40"/>
              <w:bidi w:val="0"/>
              <w:rPr>
                <w:color w:val="0000FF"/>
                <w:lang w:val="zh-CN"/>
              </w:rPr>
            </w:pPr>
            <w:r>
              <w:rPr>
                <w:rFonts w:hint="eastAsia"/>
                <w:color w:val="0000FF"/>
                <w:lang w:val="en-US" w:eastAsia="zh-CN"/>
              </w:rPr>
              <w:t xml:space="preserve">18.00 </w:t>
            </w:r>
          </w:p>
        </w:tc>
        <w:tc>
          <w:tcPr>
            <w:tcW w:w="1410" w:type="pct"/>
            <w:noWrap w:val="0"/>
            <w:vAlign w:val="center"/>
          </w:tcPr>
          <w:p w14:paraId="1B60D3BD">
            <w:pPr>
              <w:pStyle w:val="40"/>
              <w:bidi w:val="0"/>
              <w:rPr>
                <w:color w:val="0000FF"/>
                <w:lang w:val="zh-CN"/>
              </w:rPr>
            </w:pPr>
            <w:r>
              <w:rPr>
                <w:rFonts w:hint="eastAsia"/>
                <w:color w:val="0000FF"/>
                <w:lang w:val="en-US" w:eastAsia="zh-CN"/>
              </w:rPr>
              <w:t>/</w:t>
            </w:r>
          </w:p>
        </w:tc>
      </w:tr>
      <w:tr w14:paraId="7BDD58D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168F727">
            <w:pPr>
              <w:pStyle w:val="40"/>
              <w:bidi w:val="0"/>
              <w:rPr>
                <w:color w:val="0000FF"/>
              </w:rPr>
            </w:pPr>
            <w:r>
              <w:rPr>
                <w:color w:val="0000FF"/>
              </w:rPr>
              <w:t>55</w:t>
            </w:r>
          </w:p>
        </w:tc>
        <w:tc>
          <w:tcPr>
            <w:tcW w:w="688" w:type="pct"/>
            <w:noWrap w:val="0"/>
            <w:vAlign w:val="center"/>
          </w:tcPr>
          <w:p w14:paraId="71CD5E37">
            <w:pPr>
              <w:pStyle w:val="40"/>
              <w:bidi w:val="0"/>
              <w:rPr>
                <w:color w:val="0000FF"/>
              </w:rPr>
            </w:pPr>
            <w:r>
              <w:rPr>
                <w:rFonts w:hint="eastAsia"/>
                <w:color w:val="0000FF"/>
                <w:lang w:val="en-US" w:eastAsia="zh-CN"/>
              </w:rPr>
              <w:t xml:space="preserve">570 </w:t>
            </w:r>
          </w:p>
        </w:tc>
        <w:tc>
          <w:tcPr>
            <w:tcW w:w="1148" w:type="pct"/>
            <w:noWrap w:val="0"/>
            <w:vAlign w:val="center"/>
          </w:tcPr>
          <w:p w14:paraId="6960BBC3">
            <w:pPr>
              <w:pStyle w:val="40"/>
              <w:bidi w:val="0"/>
              <w:rPr>
                <w:color w:val="0000FF"/>
                <w:lang w:val="zh-CN"/>
              </w:rPr>
            </w:pPr>
            <w:r>
              <w:rPr>
                <w:rFonts w:hint="eastAsia"/>
                <w:color w:val="0000FF"/>
                <w:lang w:val="en-US" w:eastAsia="zh-CN"/>
              </w:rPr>
              <w:t xml:space="preserve">138.30 </w:t>
            </w:r>
          </w:p>
        </w:tc>
        <w:tc>
          <w:tcPr>
            <w:tcW w:w="1410" w:type="pct"/>
            <w:noWrap w:val="0"/>
            <w:vAlign w:val="center"/>
          </w:tcPr>
          <w:p w14:paraId="65D393C6">
            <w:pPr>
              <w:pStyle w:val="40"/>
              <w:bidi w:val="0"/>
              <w:rPr>
                <w:color w:val="0000FF"/>
                <w:lang w:val="zh-CN"/>
              </w:rPr>
            </w:pPr>
            <w:r>
              <w:rPr>
                <w:rFonts w:hint="eastAsia"/>
                <w:color w:val="0000FF"/>
                <w:lang w:val="en-US" w:eastAsia="zh-CN"/>
              </w:rPr>
              <w:t xml:space="preserve">18.00 </w:t>
            </w:r>
          </w:p>
        </w:tc>
        <w:tc>
          <w:tcPr>
            <w:tcW w:w="1410" w:type="pct"/>
            <w:noWrap w:val="0"/>
            <w:vAlign w:val="center"/>
          </w:tcPr>
          <w:p w14:paraId="69249914">
            <w:pPr>
              <w:pStyle w:val="40"/>
              <w:bidi w:val="0"/>
              <w:rPr>
                <w:color w:val="0000FF"/>
                <w:lang w:val="zh-CN"/>
              </w:rPr>
            </w:pPr>
            <w:r>
              <w:rPr>
                <w:rFonts w:hint="eastAsia"/>
                <w:color w:val="0000FF"/>
                <w:lang w:val="en-US" w:eastAsia="zh-CN"/>
              </w:rPr>
              <w:t>/</w:t>
            </w:r>
          </w:p>
        </w:tc>
      </w:tr>
      <w:tr w14:paraId="4B538DD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03E8774D">
            <w:pPr>
              <w:pStyle w:val="40"/>
              <w:bidi w:val="0"/>
              <w:rPr>
                <w:color w:val="0000FF"/>
              </w:rPr>
            </w:pPr>
            <w:r>
              <w:rPr>
                <w:color w:val="0000FF"/>
              </w:rPr>
              <w:t>56</w:t>
            </w:r>
          </w:p>
        </w:tc>
        <w:tc>
          <w:tcPr>
            <w:tcW w:w="688" w:type="pct"/>
            <w:noWrap w:val="0"/>
            <w:vAlign w:val="center"/>
          </w:tcPr>
          <w:p w14:paraId="418A629A">
            <w:pPr>
              <w:pStyle w:val="40"/>
              <w:bidi w:val="0"/>
              <w:rPr>
                <w:color w:val="0000FF"/>
              </w:rPr>
            </w:pPr>
            <w:r>
              <w:rPr>
                <w:rFonts w:hint="eastAsia"/>
                <w:color w:val="0000FF"/>
                <w:lang w:val="en-US" w:eastAsia="zh-CN"/>
              </w:rPr>
              <w:t xml:space="preserve">580 </w:t>
            </w:r>
          </w:p>
        </w:tc>
        <w:tc>
          <w:tcPr>
            <w:tcW w:w="1148" w:type="pct"/>
            <w:noWrap w:val="0"/>
            <w:vAlign w:val="center"/>
          </w:tcPr>
          <w:p w14:paraId="238C89E8">
            <w:pPr>
              <w:pStyle w:val="40"/>
              <w:bidi w:val="0"/>
              <w:rPr>
                <w:color w:val="0000FF"/>
                <w:lang w:val="zh-CN"/>
              </w:rPr>
            </w:pPr>
            <w:r>
              <w:rPr>
                <w:rFonts w:hint="eastAsia"/>
                <w:color w:val="0000FF"/>
                <w:lang w:val="en-US" w:eastAsia="zh-CN"/>
              </w:rPr>
              <w:t xml:space="preserve">134.76 </w:t>
            </w:r>
          </w:p>
        </w:tc>
        <w:tc>
          <w:tcPr>
            <w:tcW w:w="1410" w:type="pct"/>
            <w:noWrap w:val="0"/>
            <w:vAlign w:val="center"/>
          </w:tcPr>
          <w:p w14:paraId="17F1858D">
            <w:pPr>
              <w:pStyle w:val="40"/>
              <w:bidi w:val="0"/>
              <w:rPr>
                <w:color w:val="0000FF"/>
                <w:lang w:val="zh-CN"/>
              </w:rPr>
            </w:pPr>
            <w:r>
              <w:rPr>
                <w:rFonts w:hint="eastAsia"/>
                <w:color w:val="0000FF"/>
                <w:lang w:val="en-US" w:eastAsia="zh-CN"/>
              </w:rPr>
              <w:t xml:space="preserve">18.00 </w:t>
            </w:r>
          </w:p>
        </w:tc>
        <w:tc>
          <w:tcPr>
            <w:tcW w:w="1410" w:type="pct"/>
            <w:noWrap w:val="0"/>
            <w:vAlign w:val="center"/>
          </w:tcPr>
          <w:p w14:paraId="2D28F96A">
            <w:pPr>
              <w:pStyle w:val="40"/>
              <w:bidi w:val="0"/>
              <w:rPr>
                <w:color w:val="0000FF"/>
                <w:lang w:val="zh-CN"/>
              </w:rPr>
            </w:pPr>
            <w:r>
              <w:rPr>
                <w:rFonts w:hint="eastAsia"/>
                <w:color w:val="0000FF"/>
                <w:lang w:val="en-US" w:eastAsia="zh-CN"/>
              </w:rPr>
              <w:t>/</w:t>
            </w:r>
          </w:p>
        </w:tc>
      </w:tr>
      <w:tr w14:paraId="62E3249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5BFCFB63">
            <w:pPr>
              <w:pStyle w:val="40"/>
              <w:bidi w:val="0"/>
              <w:rPr>
                <w:color w:val="0000FF"/>
              </w:rPr>
            </w:pPr>
            <w:r>
              <w:rPr>
                <w:color w:val="0000FF"/>
              </w:rPr>
              <w:t>57</w:t>
            </w:r>
          </w:p>
        </w:tc>
        <w:tc>
          <w:tcPr>
            <w:tcW w:w="688" w:type="pct"/>
            <w:noWrap w:val="0"/>
            <w:vAlign w:val="center"/>
          </w:tcPr>
          <w:p w14:paraId="4E56C139">
            <w:pPr>
              <w:pStyle w:val="40"/>
              <w:bidi w:val="0"/>
              <w:rPr>
                <w:color w:val="0000FF"/>
              </w:rPr>
            </w:pPr>
            <w:r>
              <w:rPr>
                <w:rFonts w:hint="eastAsia"/>
                <w:color w:val="0000FF"/>
                <w:lang w:val="en-US" w:eastAsia="zh-CN"/>
              </w:rPr>
              <w:t xml:space="preserve">590 </w:t>
            </w:r>
          </w:p>
        </w:tc>
        <w:tc>
          <w:tcPr>
            <w:tcW w:w="1148" w:type="pct"/>
            <w:noWrap w:val="0"/>
            <w:vAlign w:val="center"/>
          </w:tcPr>
          <w:p w14:paraId="72EBE6D2">
            <w:pPr>
              <w:pStyle w:val="40"/>
              <w:bidi w:val="0"/>
              <w:rPr>
                <w:color w:val="0000FF"/>
                <w:lang w:val="zh-CN"/>
              </w:rPr>
            </w:pPr>
            <w:r>
              <w:rPr>
                <w:rFonts w:hint="eastAsia"/>
                <w:color w:val="0000FF"/>
                <w:lang w:val="en-US" w:eastAsia="zh-CN"/>
              </w:rPr>
              <w:t xml:space="preserve">131.36 </w:t>
            </w:r>
          </w:p>
        </w:tc>
        <w:tc>
          <w:tcPr>
            <w:tcW w:w="1410" w:type="pct"/>
            <w:noWrap w:val="0"/>
            <w:vAlign w:val="center"/>
          </w:tcPr>
          <w:p w14:paraId="5ABECA04">
            <w:pPr>
              <w:pStyle w:val="40"/>
              <w:bidi w:val="0"/>
              <w:rPr>
                <w:color w:val="0000FF"/>
                <w:lang w:val="zh-CN"/>
              </w:rPr>
            </w:pPr>
            <w:r>
              <w:rPr>
                <w:rFonts w:hint="eastAsia"/>
                <w:color w:val="0000FF"/>
                <w:lang w:val="en-US" w:eastAsia="zh-CN"/>
              </w:rPr>
              <w:t xml:space="preserve">17.00 </w:t>
            </w:r>
          </w:p>
        </w:tc>
        <w:tc>
          <w:tcPr>
            <w:tcW w:w="1410" w:type="pct"/>
            <w:noWrap w:val="0"/>
            <w:vAlign w:val="center"/>
          </w:tcPr>
          <w:p w14:paraId="3CC7713D">
            <w:pPr>
              <w:pStyle w:val="40"/>
              <w:bidi w:val="0"/>
              <w:rPr>
                <w:color w:val="0000FF"/>
                <w:lang w:val="zh-CN"/>
              </w:rPr>
            </w:pPr>
            <w:r>
              <w:rPr>
                <w:rFonts w:hint="eastAsia"/>
                <w:color w:val="0000FF"/>
                <w:lang w:val="en-US" w:eastAsia="zh-CN"/>
              </w:rPr>
              <w:t>/</w:t>
            </w:r>
          </w:p>
        </w:tc>
      </w:tr>
      <w:tr w14:paraId="2AC43AD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AC7C368">
            <w:pPr>
              <w:pStyle w:val="40"/>
              <w:bidi w:val="0"/>
              <w:rPr>
                <w:color w:val="0000FF"/>
              </w:rPr>
            </w:pPr>
            <w:r>
              <w:rPr>
                <w:color w:val="0000FF"/>
              </w:rPr>
              <w:t>58</w:t>
            </w:r>
          </w:p>
        </w:tc>
        <w:tc>
          <w:tcPr>
            <w:tcW w:w="688" w:type="pct"/>
            <w:noWrap w:val="0"/>
            <w:vAlign w:val="center"/>
          </w:tcPr>
          <w:p w14:paraId="1E8A51D6">
            <w:pPr>
              <w:pStyle w:val="40"/>
              <w:bidi w:val="0"/>
              <w:rPr>
                <w:color w:val="0000FF"/>
              </w:rPr>
            </w:pPr>
            <w:r>
              <w:rPr>
                <w:rFonts w:hint="eastAsia"/>
                <w:color w:val="0000FF"/>
                <w:lang w:val="en-US" w:eastAsia="zh-CN"/>
              </w:rPr>
              <w:t xml:space="preserve">600 </w:t>
            </w:r>
          </w:p>
        </w:tc>
        <w:tc>
          <w:tcPr>
            <w:tcW w:w="1148" w:type="pct"/>
            <w:noWrap w:val="0"/>
            <w:vAlign w:val="center"/>
          </w:tcPr>
          <w:p w14:paraId="6D6CD525">
            <w:pPr>
              <w:pStyle w:val="40"/>
              <w:bidi w:val="0"/>
              <w:rPr>
                <w:color w:val="0000FF"/>
                <w:lang w:val="zh-CN"/>
              </w:rPr>
            </w:pPr>
            <w:r>
              <w:rPr>
                <w:rFonts w:hint="eastAsia"/>
                <w:color w:val="0000FF"/>
                <w:lang w:val="en-US" w:eastAsia="zh-CN"/>
              </w:rPr>
              <w:t xml:space="preserve">128.08 </w:t>
            </w:r>
          </w:p>
        </w:tc>
        <w:tc>
          <w:tcPr>
            <w:tcW w:w="1410" w:type="pct"/>
            <w:noWrap w:val="0"/>
            <w:vAlign w:val="center"/>
          </w:tcPr>
          <w:p w14:paraId="13A038FB">
            <w:pPr>
              <w:pStyle w:val="40"/>
              <w:bidi w:val="0"/>
              <w:rPr>
                <w:color w:val="0000FF"/>
                <w:lang w:val="zh-CN"/>
              </w:rPr>
            </w:pPr>
            <w:r>
              <w:rPr>
                <w:rFonts w:hint="eastAsia"/>
                <w:color w:val="0000FF"/>
                <w:lang w:val="en-US" w:eastAsia="zh-CN"/>
              </w:rPr>
              <w:t xml:space="preserve">17.00 </w:t>
            </w:r>
          </w:p>
        </w:tc>
        <w:tc>
          <w:tcPr>
            <w:tcW w:w="1410" w:type="pct"/>
            <w:noWrap w:val="0"/>
            <w:vAlign w:val="center"/>
          </w:tcPr>
          <w:p w14:paraId="6194F3E8">
            <w:pPr>
              <w:pStyle w:val="40"/>
              <w:bidi w:val="0"/>
              <w:rPr>
                <w:color w:val="0000FF"/>
                <w:lang w:val="zh-CN"/>
              </w:rPr>
            </w:pPr>
            <w:r>
              <w:rPr>
                <w:rFonts w:hint="eastAsia"/>
                <w:color w:val="0000FF"/>
                <w:lang w:val="en-US" w:eastAsia="zh-CN"/>
              </w:rPr>
              <w:t>/</w:t>
            </w:r>
          </w:p>
        </w:tc>
      </w:tr>
      <w:tr w14:paraId="615380F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E751A20">
            <w:pPr>
              <w:pStyle w:val="40"/>
              <w:bidi w:val="0"/>
              <w:rPr>
                <w:color w:val="0000FF"/>
              </w:rPr>
            </w:pPr>
            <w:r>
              <w:rPr>
                <w:color w:val="0000FF"/>
              </w:rPr>
              <w:t>59</w:t>
            </w:r>
          </w:p>
        </w:tc>
        <w:tc>
          <w:tcPr>
            <w:tcW w:w="688" w:type="pct"/>
            <w:noWrap w:val="0"/>
            <w:vAlign w:val="center"/>
          </w:tcPr>
          <w:p w14:paraId="4525E955">
            <w:pPr>
              <w:pStyle w:val="40"/>
              <w:bidi w:val="0"/>
              <w:rPr>
                <w:color w:val="0000FF"/>
              </w:rPr>
            </w:pPr>
            <w:r>
              <w:rPr>
                <w:rFonts w:hint="eastAsia"/>
                <w:color w:val="0000FF"/>
                <w:lang w:val="en-US" w:eastAsia="zh-CN"/>
              </w:rPr>
              <w:t xml:space="preserve">610 </w:t>
            </w:r>
          </w:p>
        </w:tc>
        <w:tc>
          <w:tcPr>
            <w:tcW w:w="1148" w:type="pct"/>
            <w:noWrap w:val="0"/>
            <w:vAlign w:val="center"/>
          </w:tcPr>
          <w:p w14:paraId="4B8DE412">
            <w:pPr>
              <w:pStyle w:val="40"/>
              <w:bidi w:val="0"/>
              <w:rPr>
                <w:color w:val="0000FF"/>
                <w:lang w:val="zh-CN"/>
              </w:rPr>
            </w:pPr>
            <w:r>
              <w:rPr>
                <w:rFonts w:hint="eastAsia"/>
                <w:color w:val="0000FF"/>
                <w:lang w:val="en-US" w:eastAsia="zh-CN"/>
              </w:rPr>
              <w:t xml:space="preserve">124.93 </w:t>
            </w:r>
          </w:p>
        </w:tc>
        <w:tc>
          <w:tcPr>
            <w:tcW w:w="1410" w:type="pct"/>
            <w:noWrap w:val="0"/>
            <w:vAlign w:val="center"/>
          </w:tcPr>
          <w:p w14:paraId="4ACE406E">
            <w:pPr>
              <w:pStyle w:val="40"/>
              <w:bidi w:val="0"/>
              <w:rPr>
                <w:color w:val="0000FF"/>
                <w:lang w:val="zh-CN"/>
              </w:rPr>
            </w:pPr>
            <w:r>
              <w:rPr>
                <w:rFonts w:hint="eastAsia"/>
                <w:color w:val="0000FF"/>
                <w:lang w:val="en-US" w:eastAsia="zh-CN"/>
              </w:rPr>
              <w:t xml:space="preserve">16.00 </w:t>
            </w:r>
          </w:p>
        </w:tc>
        <w:tc>
          <w:tcPr>
            <w:tcW w:w="1410" w:type="pct"/>
            <w:noWrap w:val="0"/>
            <w:vAlign w:val="center"/>
          </w:tcPr>
          <w:p w14:paraId="295477D5">
            <w:pPr>
              <w:pStyle w:val="40"/>
              <w:bidi w:val="0"/>
              <w:rPr>
                <w:color w:val="0000FF"/>
                <w:lang w:val="zh-CN"/>
              </w:rPr>
            </w:pPr>
            <w:r>
              <w:rPr>
                <w:rFonts w:hint="eastAsia"/>
                <w:color w:val="0000FF"/>
                <w:lang w:val="en-US" w:eastAsia="zh-CN"/>
              </w:rPr>
              <w:t>/</w:t>
            </w:r>
          </w:p>
        </w:tc>
      </w:tr>
      <w:tr w14:paraId="6246544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AA46C67">
            <w:pPr>
              <w:pStyle w:val="40"/>
              <w:bidi w:val="0"/>
              <w:rPr>
                <w:color w:val="0000FF"/>
              </w:rPr>
            </w:pPr>
            <w:r>
              <w:rPr>
                <w:color w:val="0000FF"/>
              </w:rPr>
              <w:t>60</w:t>
            </w:r>
          </w:p>
        </w:tc>
        <w:tc>
          <w:tcPr>
            <w:tcW w:w="688" w:type="pct"/>
            <w:noWrap w:val="0"/>
            <w:vAlign w:val="center"/>
          </w:tcPr>
          <w:p w14:paraId="05FA19FA">
            <w:pPr>
              <w:pStyle w:val="40"/>
              <w:bidi w:val="0"/>
              <w:rPr>
                <w:color w:val="0000FF"/>
              </w:rPr>
            </w:pPr>
            <w:r>
              <w:rPr>
                <w:rFonts w:hint="eastAsia"/>
                <w:color w:val="0000FF"/>
                <w:lang w:val="en-US" w:eastAsia="zh-CN"/>
              </w:rPr>
              <w:t xml:space="preserve">620 </w:t>
            </w:r>
          </w:p>
        </w:tc>
        <w:tc>
          <w:tcPr>
            <w:tcW w:w="1148" w:type="pct"/>
            <w:noWrap w:val="0"/>
            <w:vAlign w:val="center"/>
          </w:tcPr>
          <w:p w14:paraId="6D440D4C">
            <w:pPr>
              <w:pStyle w:val="40"/>
              <w:bidi w:val="0"/>
              <w:rPr>
                <w:color w:val="0000FF"/>
                <w:lang w:val="zh-CN"/>
              </w:rPr>
            </w:pPr>
            <w:r>
              <w:rPr>
                <w:rFonts w:hint="eastAsia"/>
                <w:color w:val="0000FF"/>
                <w:lang w:val="en-US" w:eastAsia="zh-CN"/>
              </w:rPr>
              <w:t xml:space="preserve">121.91 </w:t>
            </w:r>
          </w:p>
        </w:tc>
        <w:tc>
          <w:tcPr>
            <w:tcW w:w="1410" w:type="pct"/>
            <w:noWrap w:val="0"/>
            <w:vAlign w:val="center"/>
          </w:tcPr>
          <w:p w14:paraId="05ED0F6A">
            <w:pPr>
              <w:pStyle w:val="40"/>
              <w:bidi w:val="0"/>
              <w:rPr>
                <w:color w:val="0000FF"/>
                <w:lang w:val="zh-CN"/>
              </w:rPr>
            </w:pPr>
            <w:r>
              <w:rPr>
                <w:rFonts w:hint="eastAsia"/>
                <w:color w:val="0000FF"/>
                <w:lang w:val="en-US" w:eastAsia="zh-CN"/>
              </w:rPr>
              <w:t xml:space="preserve">16.00 </w:t>
            </w:r>
          </w:p>
        </w:tc>
        <w:tc>
          <w:tcPr>
            <w:tcW w:w="1410" w:type="pct"/>
            <w:noWrap w:val="0"/>
            <w:vAlign w:val="center"/>
          </w:tcPr>
          <w:p w14:paraId="674609AF">
            <w:pPr>
              <w:pStyle w:val="40"/>
              <w:bidi w:val="0"/>
              <w:rPr>
                <w:color w:val="0000FF"/>
                <w:lang w:val="zh-CN"/>
              </w:rPr>
            </w:pPr>
            <w:r>
              <w:rPr>
                <w:rFonts w:hint="eastAsia"/>
                <w:color w:val="0000FF"/>
                <w:lang w:val="en-US" w:eastAsia="zh-CN"/>
              </w:rPr>
              <w:t>/</w:t>
            </w:r>
          </w:p>
        </w:tc>
      </w:tr>
      <w:tr w14:paraId="6DF1381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50C2F8E6">
            <w:pPr>
              <w:pStyle w:val="40"/>
              <w:bidi w:val="0"/>
              <w:rPr>
                <w:color w:val="0000FF"/>
              </w:rPr>
            </w:pPr>
            <w:r>
              <w:rPr>
                <w:color w:val="0000FF"/>
              </w:rPr>
              <w:t>61</w:t>
            </w:r>
          </w:p>
        </w:tc>
        <w:tc>
          <w:tcPr>
            <w:tcW w:w="688" w:type="pct"/>
            <w:noWrap w:val="0"/>
            <w:vAlign w:val="center"/>
          </w:tcPr>
          <w:p w14:paraId="0D0974AE">
            <w:pPr>
              <w:pStyle w:val="40"/>
              <w:bidi w:val="0"/>
              <w:rPr>
                <w:color w:val="0000FF"/>
              </w:rPr>
            </w:pPr>
            <w:r>
              <w:rPr>
                <w:rFonts w:hint="eastAsia"/>
                <w:color w:val="0000FF"/>
                <w:lang w:val="en-US" w:eastAsia="zh-CN"/>
              </w:rPr>
              <w:t xml:space="preserve">630 </w:t>
            </w:r>
          </w:p>
        </w:tc>
        <w:tc>
          <w:tcPr>
            <w:tcW w:w="1148" w:type="pct"/>
            <w:noWrap w:val="0"/>
            <w:vAlign w:val="center"/>
          </w:tcPr>
          <w:p w14:paraId="189C5240">
            <w:pPr>
              <w:pStyle w:val="40"/>
              <w:bidi w:val="0"/>
              <w:rPr>
                <w:color w:val="0000FF"/>
                <w:lang w:val="zh-CN"/>
              </w:rPr>
            </w:pPr>
            <w:r>
              <w:rPr>
                <w:rFonts w:hint="eastAsia"/>
                <w:color w:val="0000FF"/>
                <w:lang w:val="en-US" w:eastAsia="zh-CN"/>
              </w:rPr>
              <w:t xml:space="preserve">118.99 </w:t>
            </w:r>
          </w:p>
        </w:tc>
        <w:tc>
          <w:tcPr>
            <w:tcW w:w="1410" w:type="pct"/>
            <w:noWrap w:val="0"/>
            <w:vAlign w:val="center"/>
          </w:tcPr>
          <w:p w14:paraId="4BCC9A04">
            <w:pPr>
              <w:pStyle w:val="40"/>
              <w:bidi w:val="0"/>
              <w:rPr>
                <w:color w:val="0000FF"/>
                <w:lang w:val="zh-CN"/>
              </w:rPr>
            </w:pPr>
            <w:r>
              <w:rPr>
                <w:rFonts w:hint="eastAsia"/>
                <w:color w:val="0000FF"/>
                <w:lang w:val="en-US" w:eastAsia="zh-CN"/>
              </w:rPr>
              <w:t xml:space="preserve">15.00 </w:t>
            </w:r>
          </w:p>
        </w:tc>
        <w:tc>
          <w:tcPr>
            <w:tcW w:w="1410" w:type="pct"/>
            <w:noWrap w:val="0"/>
            <w:vAlign w:val="center"/>
          </w:tcPr>
          <w:p w14:paraId="0DD0ACC2">
            <w:pPr>
              <w:pStyle w:val="40"/>
              <w:bidi w:val="0"/>
              <w:rPr>
                <w:color w:val="0000FF"/>
                <w:lang w:val="zh-CN"/>
              </w:rPr>
            </w:pPr>
            <w:r>
              <w:rPr>
                <w:rFonts w:hint="eastAsia"/>
                <w:color w:val="0000FF"/>
                <w:lang w:val="en-US" w:eastAsia="zh-CN"/>
              </w:rPr>
              <w:t>/</w:t>
            </w:r>
          </w:p>
        </w:tc>
      </w:tr>
      <w:tr w14:paraId="732A89E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4C1AD24">
            <w:pPr>
              <w:pStyle w:val="40"/>
              <w:bidi w:val="0"/>
              <w:rPr>
                <w:color w:val="0000FF"/>
              </w:rPr>
            </w:pPr>
            <w:r>
              <w:rPr>
                <w:color w:val="0000FF"/>
              </w:rPr>
              <w:t>62</w:t>
            </w:r>
          </w:p>
        </w:tc>
        <w:tc>
          <w:tcPr>
            <w:tcW w:w="688" w:type="pct"/>
            <w:noWrap w:val="0"/>
            <w:vAlign w:val="center"/>
          </w:tcPr>
          <w:p w14:paraId="61959937">
            <w:pPr>
              <w:pStyle w:val="40"/>
              <w:bidi w:val="0"/>
              <w:rPr>
                <w:color w:val="0000FF"/>
              </w:rPr>
            </w:pPr>
            <w:r>
              <w:rPr>
                <w:rFonts w:hint="eastAsia"/>
                <w:color w:val="0000FF"/>
                <w:lang w:val="en-US" w:eastAsia="zh-CN"/>
              </w:rPr>
              <w:t xml:space="preserve">640 </w:t>
            </w:r>
          </w:p>
        </w:tc>
        <w:tc>
          <w:tcPr>
            <w:tcW w:w="1148" w:type="pct"/>
            <w:noWrap w:val="0"/>
            <w:vAlign w:val="center"/>
          </w:tcPr>
          <w:p w14:paraId="0C9649E8">
            <w:pPr>
              <w:pStyle w:val="40"/>
              <w:bidi w:val="0"/>
              <w:rPr>
                <w:color w:val="0000FF"/>
                <w:lang w:val="zh-CN"/>
              </w:rPr>
            </w:pPr>
            <w:r>
              <w:rPr>
                <w:rFonts w:hint="eastAsia"/>
                <w:color w:val="0000FF"/>
                <w:lang w:val="en-US" w:eastAsia="zh-CN"/>
              </w:rPr>
              <w:t xml:space="preserve">116.18 </w:t>
            </w:r>
          </w:p>
        </w:tc>
        <w:tc>
          <w:tcPr>
            <w:tcW w:w="1410" w:type="pct"/>
            <w:noWrap w:val="0"/>
            <w:vAlign w:val="center"/>
          </w:tcPr>
          <w:p w14:paraId="25511F69">
            <w:pPr>
              <w:pStyle w:val="40"/>
              <w:bidi w:val="0"/>
              <w:rPr>
                <w:color w:val="0000FF"/>
                <w:lang w:val="zh-CN"/>
              </w:rPr>
            </w:pPr>
            <w:r>
              <w:rPr>
                <w:rFonts w:hint="eastAsia"/>
                <w:color w:val="0000FF"/>
                <w:lang w:val="en-US" w:eastAsia="zh-CN"/>
              </w:rPr>
              <w:t xml:space="preserve">15.00 </w:t>
            </w:r>
          </w:p>
        </w:tc>
        <w:tc>
          <w:tcPr>
            <w:tcW w:w="1410" w:type="pct"/>
            <w:noWrap w:val="0"/>
            <w:vAlign w:val="center"/>
          </w:tcPr>
          <w:p w14:paraId="530E1711">
            <w:pPr>
              <w:pStyle w:val="40"/>
              <w:bidi w:val="0"/>
              <w:rPr>
                <w:color w:val="0000FF"/>
                <w:lang w:val="zh-CN"/>
              </w:rPr>
            </w:pPr>
            <w:r>
              <w:rPr>
                <w:rFonts w:hint="eastAsia"/>
                <w:color w:val="0000FF"/>
                <w:lang w:val="en-US" w:eastAsia="zh-CN"/>
              </w:rPr>
              <w:t>/</w:t>
            </w:r>
          </w:p>
        </w:tc>
      </w:tr>
      <w:tr w14:paraId="76614FE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036992EE">
            <w:pPr>
              <w:pStyle w:val="40"/>
              <w:bidi w:val="0"/>
              <w:rPr>
                <w:color w:val="0000FF"/>
              </w:rPr>
            </w:pPr>
            <w:r>
              <w:rPr>
                <w:color w:val="0000FF"/>
              </w:rPr>
              <w:t>63</w:t>
            </w:r>
          </w:p>
        </w:tc>
        <w:tc>
          <w:tcPr>
            <w:tcW w:w="688" w:type="pct"/>
            <w:noWrap w:val="0"/>
            <w:vAlign w:val="center"/>
          </w:tcPr>
          <w:p w14:paraId="212C9969">
            <w:pPr>
              <w:pStyle w:val="40"/>
              <w:bidi w:val="0"/>
              <w:rPr>
                <w:color w:val="0000FF"/>
              </w:rPr>
            </w:pPr>
            <w:r>
              <w:rPr>
                <w:rFonts w:hint="eastAsia"/>
                <w:color w:val="0000FF"/>
                <w:lang w:val="en-US" w:eastAsia="zh-CN"/>
              </w:rPr>
              <w:t xml:space="preserve">650 </w:t>
            </w:r>
          </w:p>
        </w:tc>
        <w:tc>
          <w:tcPr>
            <w:tcW w:w="1148" w:type="pct"/>
            <w:noWrap w:val="0"/>
            <w:vAlign w:val="center"/>
          </w:tcPr>
          <w:p w14:paraId="6F9C0CA5">
            <w:pPr>
              <w:pStyle w:val="40"/>
              <w:bidi w:val="0"/>
              <w:rPr>
                <w:color w:val="0000FF"/>
                <w:lang w:val="zh-CN"/>
              </w:rPr>
            </w:pPr>
            <w:r>
              <w:rPr>
                <w:rFonts w:hint="eastAsia"/>
                <w:color w:val="0000FF"/>
                <w:lang w:val="en-US" w:eastAsia="zh-CN"/>
              </w:rPr>
              <w:t xml:space="preserve">113.47 </w:t>
            </w:r>
          </w:p>
        </w:tc>
        <w:tc>
          <w:tcPr>
            <w:tcW w:w="1410" w:type="pct"/>
            <w:noWrap w:val="0"/>
            <w:vAlign w:val="center"/>
          </w:tcPr>
          <w:p w14:paraId="0D630784">
            <w:pPr>
              <w:pStyle w:val="40"/>
              <w:bidi w:val="0"/>
              <w:rPr>
                <w:color w:val="0000FF"/>
                <w:lang w:val="zh-CN"/>
              </w:rPr>
            </w:pPr>
            <w:r>
              <w:rPr>
                <w:rFonts w:hint="eastAsia"/>
                <w:color w:val="0000FF"/>
                <w:lang w:val="en-US" w:eastAsia="zh-CN"/>
              </w:rPr>
              <w:t xml:space="preserve">14.00 </w:t>
            </w:r>
          </w:p>
        </w:tc>
        <w:tc>
          <w:tcPr>
            <w:tcW w:w="1410" w:type="pct"/>
            <w:noWrap w:val="0"/>
            <w:vAlign w:val="center"/>
          </w:tcPr>
          <w:p w14:paraId="3FA530C0">
            <w:pPr>
              <w:pStyle w:val="40"/>
              <w:bidi w:val="0"/>
              <w:rPr>
                <w:color w:val="0000FF"/>
                <w:lang w:val="zh-CN"/>
              </w:rPr>
            </w:pPr>
            <w:r>
              <w:rPr>
                <w:rFonts w:hint="eastAsia"/>
                <w:color w:val="0000FF"/>
                <w:lang w:val="en-US" w:eastAsia="zh-CN"/>
              </w:rPr>
              <w:t>/</w:t>
            </w:r>
          </w:p>
        </w:tc>
      </w:tr>
      <w:tr w14:paraId="42A800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6693EEEF">
            <w:pPr>
              <w:pStyle w:val="40"/>
              <w:bidi w:val="0"/>
              <w:rPr>
                <w:color w:val="0000FF"/>
              </w:rPr>
            </w:pPr>
            <w:r>
              <w:rPr>
                <w:color w:val="0000FF"/>
              </w:rPr>
              <w:t>64</w:t>
            </w:r>
          </w:p>
        </w:tc>
        <w:tc>
          <w:tcPr>
            <w:tcW w:w="688" w:type="pct"/>
            <w:noWrap w:val="0"/>
            <w:vAlign w:val="center"/>
          </w:tcPr>
          <w:p w14:paraId="00F636BF">
            <w:pPr>
              <w:pStyle w:val="40"/>
              <w:bidi w:val="0"/>
              <w:rPr>
                <w:color w:val="0000FF"/>
              </w:rPr>
            </w:pPr>
            <w:r>
              <w:rPr>
                <w:rFonts w:hint="eastAsia"/>
                <w:color w:val="0000FF"/>
                <w:lang w:val="en-US" w:eastAsia="zh-CN"/>
              </w:rPr>
              <w:t xml:space="preserve">660 </w:t>
            </w:r>
          </w:p>
        </w:tc>
        <w:tc>
          <w:tcPr>
            <w:tcW w:w="1148" w:type="pct"/>
            <w:noWrap w:val="0"/>
            <w:vAlign w:val="center"/>
          </w:tcPr>
          <w:p w14:paraId="2170E467">
            <w:pPr>
              <w:pStyle w:val="40"/>
              <w:bidi w:val="0"/>
              <w:rPr>
                <w:color w:val="0000FF"/>
                <w:lang w:val="zh-CN"/>
              </w:rPr>
            </w:pPr>
            <w:r>
              <w:rPr>
                <w:rFonts w:hint="eastAsia"/>
                <w:color w:val="0000FF"/>
                <w:lang w:val="en-US" w:eastAsia="zh-CN"/>
              </w:rPr>
              <w:t xml:space="preserve">110.86 </w:t>
            </w:r>
          </w:p>
        </w:tc>
        <w:tc>
          <w:tcPr>
            <w:tcW w:w="1410" w:type="pct"/>
            <w:noWrap w:val="0"/>
            <w:vAlign w:val="center"/>
          </w:tcPr>
          <w:p w14:paraId="5D4209DA">
            <w:pPr>
              <w:pStyle w:val="40"/>
              <w:bidi w:val="0"/>
              <w:rPr>
                <w:color w:val="0000FF"/>
                <w:lang w:val="zh-CN"/>
              </w:rPr>
            </w:pPr>
            <w:r>
              <w:rPr>
                <w:rFonts w:hint="eastAsia"/>
                <w:color w:val="0000FF"/>
                <w:lang w:val="en-US" w:eastAsia="zh-CN"/>
              </w:rPr>
              <w:t xml:space="preserve">13.00 </w:t>
            </w:r>
          </w:p>
        </w:tc>
        <w:tc>
          <w:tcPr>
            <w:tcW w:w="1410" w:type="pct"/>
            <w:noWrap w:val="0"/>
            <w:vAlign w:val="center"/>
          </w:tcPr>
          <w:p w14:paraId="45A155AF">
            <w:pPr>
              <w:pStyle w:val="40"/>
              <w:bidi w:val="0"/>
              <w:rPr>
                <w:color w:val="0000FF"/>
                <w:lang w:val="zh-CN"/>
              </w:rPr>
            </w:pPr>
            <w:r>
              <w:rPr>
                <w:rFonts w:hint="eastAsia"/>
                <w:color w:val="0000FF"/>
                <w:lang w:val="en-US" w:eastAsia="zh-CN"/>
              </w:rPr>
              <w:t>/</w:t>
            </w:r>
          </w:p>
        </w:tc>
      </w:tr>
      <w:tr w14:paraId="5C061A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3B758E99">
            <w:pPr>
              <w:pStyle w:val="40"/>
              <w:bidi w:val="0"/>
              <w:rPr>
                <w:color w:val="0000FF"/>
              </w:rPr>
            </w:pPr>
            <w:r>
              <w:rPr>
                <w:color w:val="0000FF"/>
              </w:rPr>
              <w:t>65</w:t>
            </w:r>
          </w:p>
        </w:tc>
        <w:tc>
          <w:tcPr>
            <w:tcW w:w="688" w:type="pct"/>
            <w:noWrap w:val="0"/>
            <w:vAlign w:val="center"/>
          </w:tcPr>
          <w:p w14:paraId="49460449">
            <w:pPr>
              <w:pStyle w:val="40"/>
              <w:bidi w:val="0"/>
              <w:rPr>
                <w:color w:val="0000FF"/>
              </w:rPr>
            </w:pPr>
            <w:r>
              <w:rPr>
                <w:rFonts w:hint="eastAsia"/>
                <w:color w:val="0000FF"/>
                <w:lang w:val="en-US" w:eastAsia="zh-CN"/>
              </w:rPr>
              <w:t xml:space="preserve">670 </w:t>
            </w:r>
          </w:p>
        </w:tc>
        <w:tc>
          <w:tcPr>
            <w:tcW w:w="1148" w:type="pct"/>
            <w:noWrap w:val="0"/>
            <w:vAlign w:val="center"/>
          </w:tcPr>
          <w:p w14:paraId="0471B933">
            <w:pPr>
              <w:pStyle w:val="40"/>
              <w:bidi w:val="0"/>
              <w:rPr>
                <w:color w:val="0000FF"/>
                <w:lang w:val="zh-CN"/>
              </w:rPr>
            </w:pPr>
            <w:r>
              <w:rPr>
                <w:rFonts w:hint="eastAsia"/>
                <w:color w:val="0000FF"/>
                <w:lang w:val="en-US" w:eastAsia="zh-CN"/>
              </w:rPr>
              <w:t xml:space="preserve">108.34 </w:t>
            </w:r>
          </w:p>
        </w:tc>
        <w:tc>
          <w:tcPr>
            <w:tcW w:w="1410" w:type="pct"/>
            <w:noWrap w:val="0"/>
            <w:vAlign w:val="center"/>
          </w:tcPr>
          <w:p w14:paraId="4487D33C">
            <w:pPr>
              <w:pStyle w:val="40"/>
              <w:bidi w:val="0"/>
              <w:rPr>
                <w:color w:val="0000FF"/>
                <w:lang w:val="zh-CN"/>
              </w:rPr>
            </w:pPr>
            <w:r>
              <w:rPr>
                <w:rFonts w:hint="eastAsia"/>
                <w:color w:val="0000FF"/>
                <w:lang w:val="en-US" w:eastAsia="zh-CN"/>
              </w:rPr>
              <w:t xml:space="preserve">12.00 </w:t>
            </w:r>
          </w:p>
        </w:tc>
        <w:tc>
          <w:tcPr>
            <w:tcW w:w="1410" w:type="pct"/>
            <w:noWrap w:val="0"/>
            <w:vAlign w:val="center"/>
          </w:tcPr>
          <w:p w14:paraId="577139B9">
            <w:pPr>
              <w:pStyle w:val="40"/>
              <w:bidi w:val="0"/>
              <w:rPr>
                <w:color w:val="0000FF"/>
                <w:lang w:val="zh-CN"/>
              </w:rPr>
            </w:pPr>
            <w:r>
              <w:rPr>
                <w:rFonts w:hint="eastAsia"/>
                <w:color w:val="0000FF"/>
                <w:lang w:val="en-US" w:eastAsia="zh-CN"/>
              </w:rPr>
              <w:t>/</w:t>
            </w:r>
          </w:p>
        </w:tc>
      </w:tr>
      <w:tr w14:paraId="288F19D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973A560">
            <w:pPr>
              <w:pStyle w:val="40"/>
              <w:bidi w:val="0"/>
              <w:rPr>
                <w:color w:val="0000FF"/>
              </w:rPr>
            </w:pPr>
            <w:r>
              <w:rPr>
                <w:color w:val="0000FF"/>
              </w:rPr>
              <w:t>66</w:t>
            </w:r>
          </w:p>
        </w:tc>
        <w:tc>
          <w:tcPr>
            <w:tcW w:w="688" w:type="pct"/>
            <w:noWrap w:val="0"/>
            <w:vAlign w:val="center"/>
          </w:tcPr>
          <w:p w14:paraId="778A523F">
            <w:pPr>
              <w:pStyle w:val="40"/>
              <w:bidi w:val="0"/>
              <w:rPr>
                <w:color w:val="0000FF"/>
              </w:rPr>
            </w:pPr>
            <w:r>
              <w:rPr>
                <w:rFonts w:hint="eastAsia"/>
                <w:color w:val="0000FF"/>
                <w:lang w:val="en-US" w:eastAsia="zh-CN"/>
              </w:rPr>
              <w:t xml:space="preserve">680 </w:t>
            </w:r>
          </w:p>
        </w:tc>
        <w:tc>
          <w:tcPr>
            <w:tcW w:w="1148" w:type="pct"/>
            <w:noWrap w:val="0"/>
            <w:vAlign w:val="center"/>
          </w:tcPr>
          <w:p w14:paraId="19CB2918">
            <w:pPr>
              <w:pStyle w:val="40"/>
              <w:bidi w:val="0"/>
              <w:rPr>
                <w:color w:val="0000FF"/>
                <w:lang w:val="zh-CN"/>
              </w:rPr>
            </w:pPr>
            <w:r>
              <w:rPr>
                <w:rFonts w:hint="eastAsia"/>
                <w:color w:val="0000FF"/>
                <w:lang w:val="en-US" w:eastAsia="zh-CN"/>
              </w:rPr>
              <w:t xml:space="preserve">105.91 </w:t>
            </w:r>
          </w:p>
        </w:tc>
        <w:tc>
          <w:tcPr>
            <w:tcW w:w="1410" w:type="pct"/>
            <w:noWrap w:val="0"/>
            <w:vAlign w:val="center"/>
          </w:tcPr>
          <w:p w14:paraId="1D8222A5">
            <w:pPr>
              <w:pStyle w:val="40"/>
              <w:bidi w:val="0"/>
              <w:rPr>
                <w:color w:val="0000FF"/>
                <w:lang w:val="zh-CN"/>
              </w:rPr>
            </w:pPr>
            <w:r>
              <w:rPr>
                <w:rFonts w:hint="eastAsia"/>
                <w:color w:val="0000FF"/>
                <w:lang w:val="en-US" w:eastAsia="zh-CN"/>
              </w:rPr>
              <w:t xml:space="preserve">11.00 </w:t>
            </w:r>
          </w:p>
        </w:tc>
        <w:tc>
          <w:tcPr>
            <w:tcW w:w="1410" w:type="pct"/>
            <w:noWrap w:val="0"/>
            <w:vAlign w:val="center"/>
          </w:tcPr>
          <w:p w14:paraId="3E4512C3">
            <w:pPr>
              <w:pStyle w:val="40"/>
              <w:bidi w:val="0"/>
              <w:rPr>
                <w:color w:val="0000FF"/>
                <w:lang w:val="zh-CN"/>
              </w:rPr>
            </w:pPr>
            <w:r>
              <w:rPr>
                <w:rFonts w:hint="eastAsia"/>
                <w:color w:val="0000FF"/>
                <w:lang w:val="en-US" w:eastAsia="zh-CN"/>
              </w:rPr>
              <w:t>/</w:t>
            </w:r>
          </w:p>
        </w:tc>
      </w:tr>
      <w:tr w14:paraId="7B933CB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FF6041A">
            <w:pPr>
              <w:pStyle w:val="40"/>
              <w:bidi w:val="0"/>
              <w:rPr>
                <w:color w:val="0000FF"/>
              </w:rPr>
            </w:pPr>
            <w:r>
              <w:rPr>
                <w:color w:val="0000FF"/>
              </w:rPr>
              <w:t>67</w:t>
            </w:r>
          </w:p>
        </w:tc>
        <w:tc>
          <w:tcPr>
            <w:tcW w:w="688" w:type="pct"/>
            <w:noWrap w:val="0"/>
            <w:vAlign w:val="center"/>
          </w:tcPr>
          <w:p w14:paraId="375CDB99">
            <w:pPr>
              <w:pStyle w:val="40"/>
              <w:bidi w:val="0"/>
              <w:rPr>
                <w:color w:val="0000FF"/>
              </w:rPr>
            </w:pPr>
            <w:r>
              <w:rPr>
                <w:rFonts w:hint="eastAsia"/>
                <w:color w:val="0000FF"/>
                <w:lang w:val="en-US" w:eastAsia="zh-CN"/>
              </w:rPr>
              <w:t xml:space="preserve">690 </w:t>
            </w:r>
          </w:p>
        </w:tc>
        <w:tc>
          <w:tcPr>
            <w:tcW w:w="1148" w:type="pct"/>
            <w:noWrap w:val="0"/>
            <w:vAlign w:val="center"/>
          </w:tcPr>
          <w:p w14:paraId="7E2EFF42">
            <w:pPr>
              <w:pStyle w:val="40"/>
              <w:bidi w:val="0"/>
              <w:rPr>
                <w:color w:val="0000FF"/>
                <w:lang w:val="zh-CN"/>
              </w:rPr>
            </w:pPr>
            <w:r>
              <w:rPr>
                <w:rFonts w:hint="eastAsia"/>
                <w:color w:val="0000FF"/>
                <w:lang w:val="en-US" w:eastAsia="zh-CN"/>
              </w:rPr>
              <w:t xml:space="preserve">103.57 </w:t>
            </w:r>
          </w:p>
        </w:tc>
        <w:tc>
          <w:tcPr>
            <w:tcW w:w="1410" w:type="pct"/>
            <w:noWrap w:val="0"/>
            <w:vAlign w:val="center"/>
          </w:tcPr>
          <w:p w14:paraId="4D3B0830">
            <w:pPr>
              <w:pStyle w:val="40"/>
              <w:bidi w:val="0"/>
              <w:rPr>
                <w:color w:val="0000FF"/>
                <w:lang w:val="zh-CN"/>
              </w:rPr>
            </w:pPr>
            <w:r>
              <w:rPr>
                <w:rFonts w:hint="eastAsia"/>
                <w:color w:val="0000FF"/>
                <w:lang w:val="en-US" w:eastAsia="zh-CN"/>
              </w:rPr>
              <w:t xml:space="preserve">10.00 </w:t>
            </w:r>
          </w:p>
        </w:tc>
        <w:tc>
          <w:tcPr>
            <w:tcW w:w="1410" w:type="pct"/>
            <w:noWrap w:val="0"/>
            <w:vAlign w:val="center"/>
          </w:tcPr>
          <w:p w14:paraId="143FB466">
            <w:pPr>
              <w:pStyle w:val="40"/>
              <w:bidi w:val="0"/>
              <w:rPr>
                <w:color w:val="0000FF"/>
                <w:lang w:val="zh-CN"/>
              </w:rPr>
            </w:pPr>
            <w:r>
              <w:rPr>
                <w:rFonts w:hint="eastAsia"/>
                <w:color w:val="0000FF"/>
                <w:lang w:val="en-US" w:eastAsia="zh-CN"/>
              </w:rPr>
              <w:t>/</w:t>
            </w:r>
          </w:p>
        </w:tc>
      </w:tr>
      <w:tr w14:paraId="3545EA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2E675F93">
            <w:pPr>
              <w:pStyle w:val="40"/>
              <w:bidi w:val="0"/>
              <w:rPr>
                <w:color w:val="0000FF"/>
              </w:rPr>
            </w:pPr>
            <w:r>
              <w:rPr>
                <w:color w:val="0000FF"/>
              </w:rPr>
              <w:t>68</w:t>
            </w:r>
          </w:p>
        </w:tc>
        <w:tc>
          <w:tcPr>
            <w:tcW w:w="688" w:type="pct"/>
            <w:noWrap w:val="0"/>
            <w:vAlign w:val="center"/>
          </w:tcPr>
          <w:p w14:paraId="5169A293">
            <w:pPr>
              <w:pStyle w:val="40"/>
              <w:bidi w:val="0"/>
              <w:rPr>
                <w:color w:val="0000FF"/>
              </w:rPr>
            </w:pPr>
            <w:r>
              <w:rPr>
                <w:rFonts w:hint="eastAsia"/>
                <w:color w:val="0000FF"/>
                <w:lang w:val="en-US" w:eastAsia="zh-CN"/>
              </w:rPr>
              <w:t xml:space="preserve">700 </w:t>
            </w:r>
          </w:p>
        </w:tc>
        <w:tc>
          <w:tcPr>
            <w:tcW w:w="1148" w:type="pct"/>
            <w:noWrap w:val="0"/>
            <w:vAlign w:val="center"/>
          </w:tcPr>
          <w:p w14:paraId="232046D4">
            <w:pPr>
              <w:pStyle w:val="40"/>
              <w:bidi w:val="0"/>
              <w:rPr>
                <w:color w:val="0000FF"/>
                <w:lang w:val="zh-CN"/>
              </w:rPr>
            </w:pPr>
            <w:r>
              <w:rPr>
                <w:rFonts w:hint="eastAsia"/>
                <w:color w:val="0000FF"/>
                <w:lang w:val="en-US" w:eastAsia="zh-CN"/>
              </w:rPr>
              <w:t xml:space="preserve">101.30 </w:t>
            </w:r>
          </w:p>
        </w:tc>
        <w:tc>
          <w:tcPr>
            <w:tcW w:w="1410" w:type="pct"/>
            <w:noWrap w:val="0"/>
            <w:vAlign w:val="center"/>
          </w:tcPr>
          <w:p w14:paraId="348B3F2F">
            <w:pPr>
              <w:pStyle w:val="40"/>
              <w:bidi w:val="0"/>
              <w:rPr>
                <w:color w:val="0000FF"/>
                <w:lang w:val="zh-CN"/>
              </w:rPr>
            </w:pPr>
            <w:r>
              <w:rPr>
                <w:rFonts w:hint="eastAsia"/>
                <w:color w:val="0000FF"/>
                <w:lang w:val="en-US" w:eastAsia="zh-CN"/>
              </w:rPr>
              <w:t xml:space="preserve">9.00 </w:t>
            </w:r>
          </w:p>
        </w:tc>
        <w:tc>
          <w:tcPr>
            <w:tcW w:w="1410" w:type="pct"/>
            <w:noWrap w:val="0"/>
            <w:vAlign w:val="center"/>
          </w:tcPr>
          <w:p w14:paraId="6AF73A77">
            <w:pPr>
              <w:pStyle w:val="40"/>
              <w:bidi w:val="0"/>
              <w:rPr>
                <w:color w:val="0000FF"/>
                <w:lang w:val="zh-CN"/>
              </w:rPr>
            </w:pPr>
            <w:r>
              <w:rPr>
                <w:rFonts w:hint="eastAsia"/>
                <w:color w:val="0000FF"/>
                <w:lang w:val="en-US" w:eastAsia="zh-CN"/>
              </w:rPr>
              <w:t>/</w:t>
            </w:r>
          </w:p>
        </w:tc>
      </w:tr>
      <w:tr w14:paraId="21D4E4E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1F2720A1">
            <w:pPr>
              <w:pStyle w:val="40"/>
              <w:bidi w:val="0"/>
              <w:rPr>
                <w:color w:val="0000FF"/>
              </w:rPr>
            </w:pPr>
            <w:r>
              <w:rPr>
                <w:color w:val="0000FF"/>
              </w:rPr>
              <w:t>69</w:t>
            </w:r>
          </w:p>
        </w:tc>
        <w:tc>
          <w:tcPr>
            <w:tcW w:w="688" w:type="pct"/>
            <w:noWrap w:val="0"/>
            <w:vAlign w:val="center"/>
          </w:tcPr>
          <w:p w14:paraId="4636828A">
            <w:pPr>
              <w:pStyle w:val="40"/>
              <w:bidi w:val="0"/>
              <w:rPr>
                <w:color w:val="0000FF"/>
              </w:rPr>
            </w:pPr>
            <w:r>
              <w:rPr>
                <w:rFonts w:hint="eastAsia"/>
                <w:color w:val="0000FF"/>
                <w:lang w:val="en-US" w:eastAsia="zh-CN"/>
              </w:rPr>
              <w:t xml:space="preserve">710 </w:t>
            </w:r>
          </w:p>
        </w:tc>
        <w:tc>
          <w:tcPr>
            <w:tcW w:w="1148" w:type="pct"/>
            <w:noWrap w:val="0"/>
            <w:vAlign w:val="center"/>
          </w:tcPr>
          <w:p w14:paraId="6F83EA55">
            <w:pPr>
              <w:pStyle w:val="40"/>
              <w:bidi w:val="0"/>
              <w:rPr>
                <w:color w:val="0000FF"/>
                <w:lang w:val="zh-CN"/>
              </w:rPr>
            </w:pPr>
            <w:r>
              <w:rPr>
                <w:rFonts w:hint="eastAsia"/>
                <w:color w:val="0000FF"/>
                <w:lang w:val="en-US" w:eastAsia="zh-CN"/>
              </w:rPr>
              <w:t xml:space="preserve">99.11 </w:t>
            </w:r>
          </w:p>
        </w:tc>
        <w:tc>
          <w:tcPr>
            <w:tcW w:w="1410" w:type="pct"/>
            <w:noWrap w:val="0"/>
            <w:vAlign w:val="center"/>
          </w:tcPr>
          <w:p w14:paraId="7DE9B772">
            <w:pPr>
              <w:pStyle w:val="40"/>
              <w:bidi w:val="0"/>
              <w:rPr>
                <w:color w:val="0000FF"/>
                <w:lang w:val="zh-CN"/>
              </w:rPr>
            </w:pPr>
            <w:r>
              <w:rPr>
                <w:rFonts w:hint="eastAsia"/>
                <w:color w:val="0000FF"/>
                <w:lang w:val="en-US" w:eastAsia="zh-CN"/>
              </w:rPr>
              <w:t xml:space="preserve">7.00 </w:t>
            </w:r>
          </w:p>
        </w:tc>
        <w:tc>
          <w:tcPr>
            <w:tcW w:w="1410" w:type="pct"/>
            <w:noWrap w:val="0"/>
            <w:vAlign w:val="center"/>
          </w:tcPr>
          <w:p w14:paraId="0BD2200F">
            <w:pPr>
              <w:pStyle w:val="40"/>
              <w:bidi w:val="0"/>
              <w:rPr>
                <w:color w:val="0000FF"/>
                <w:lang w:val="zh-CN"/>
              </w:rPr>
            </w:pPr>
            <w:r>
              <w:rPr>
                <w:rFonts w:hint="eastAsia"/>
                <w:color w:val="0000FF"/>
                <w:lang w:val="en-US" w:eastAsia="zh-CN"/>
              </w:rPr>
              <w:t>/</w:t>
            </w:r>
          </w:p>
        </w:tc>
      </w:tr>
      <w:tr w14:paraId="05F7CC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342" w:type="pct"/>
            <w:noWrap w:val="0"/>
            <w:vAlign w:val="center"/>
          </w:tcPr>
          <w:p w14:paraId="72E19380">
            <w:pPr>
              <w:pStyle w:val="40"/>
              <w:bidi w:val="0"/>
              <w:rPr>
                <w:color w:val="0000FF"/>
              </w:rPr>
            </w:pPr>
            <w:r>
              <w:rPr>
                <w:color w:val="0000FF"/>
              </w:rPr>
              <w:t>70</w:t>
            </w:r>
          </w:p>
        </w:tc>
        <w:tc>
          <w:tcPr>
            <w:tcW w:w="688" w:type="pct"/>
            <w:noWrap w:val="0"/>
            <w:vAlign w:val="center"/>
          </w:tcPr>
          <w:p w14:paraId="514FDA17">
            <w:pPr>
              <w:pStyle w:val="40"/>
              <w:bidi w:val="0"/>
              <w:rPr>
                <w:color w:val="0000FF"/>
              </w:rPr>
            </w:pPr>
            <w:r>
              <w:rPr>
                <w:rFonts w:hint="eastAsia"/>
                <w:color w:val="0000FF"/>
                <w:lang w:val="en-US" w:eastAsia="zh-CN"/>
              </w:rPr>
              <w:t xml:space="preserve">720 </w:t>
            </w:r>
          </w:p>
        </w:tc>
        <w:tc>
          <w:tcPr>
            <w:tcW w:w="1148" w:type="pct"/>
            <w:noWrap w:val="0"/>
            <w:vAlign w:val="center"/>
          </w:tcPr>
          <w:p w14:paraId="0AFA07C6">
            <w:pPr>
              <w:pStyle w:val="40"/>
              <w:bidi w:val="0"/>
              <w:rPr>
                <w:color w:val="0000FF"/>
                <w:lang w:val="zh-CN"/>
              </w:rPr>
            </w:pPr>
            <w:r>
              <w:rPr>
                <w:rFonts w:hint="eastAsia"/>
                <w:color w:val="0000FF"/>
                <w:lang w:val="en-US" w:eastAsia="zh-CN"/>
              </w:rPr>
              <w:t xml:space="preserve">96.99 </w:t>
            </w:r>
          </w:p>
        </w:tc>
        <w:tc>
          <w:tcPr>
            <w:tcW w:w="1410" w:type="pct"/>
            <w:noWrap w:val="0"/>
            <w:vAlign w:val="center"/>
          </w:tcPr>
          <w:p w14:paraId="2DA71D89">
            <w:pPr>
              <w:pStyle w:val="40"/>
              <w:bidi w:val="0"/>
              <w:rPr>
                <w:color w:val="0000FF"/>
                <w:lang w:val="zh-CN"/>
              </w:rPr>
            </w:pPr>
            <w:r>
              <w:rPr>
                <w:rFonts w:hint="eastAsia"/>
                <w:color w:val="0000FF"/>
                <w:lang w:val="en-US" w:eastAsia="zh-CN"/>
              </w:rPr>
              <w:t xml:space="preserve">5.00 </w:t>
            </w:r>
          </w:p>
        </w:tc>
        <w:tc>
          <w:tcPr>
            <w:tcW w:w="1410" w:type="pct"/>
            <w:noWrap w:val="0"/>
            <w:vAlign w:val="center"/>
          </w:tcPr>
          <w:p w14:paraId="46C6220B">
            <w:pPr>
              <w:pStyle w:val="40"/>
              <w:bidi w:val="0"/>
              <w:rPr>
                <w:color w:val="0000FF"/>
                <w:lang w:val="zh-CN"/>
              </w:rPr>
            </w:pPr>
            <w:r>
              <w:rPr>
                <w:rFonts w:hint="eastAsia"/>
                <w:color w:val="0000FF"/>
                <w:lang w:val="en-US" w:eastAsia="zh-CN"/>
              </w:rPr>
              <w:t>/</w:t>
            </w:r>
          </w:p>
        </w:tc>
      </w:tr>
    </w:tbl>
    <w:p w14:paraId="0D6A99B8">
      <w:pPr>
        <w:adjustRightInd w:val="0"/>
        <w:snapToGrid w:val="0"/>
        <w:spacing w:before="60" w:after="60" w:line="360" w:lineRule="auto"/>
        <w:ind w:firstLine="480" w:firstLineChars="200"/>
        <w:rPr>
          <w:rFonts w:ascii="Times New Roman" w:hAnsi="Times New Roman" w:eastAsia="宋体" w:cs="Times New Roman"/>
          <w:color w:val="0000FF"/>
          <w:sz w:val="24"/>
        </w:rPr>
      </w:pPr>
      <w:r>
        <w:rPr>
          <w:rFonts w:ascii="Times New Roman" w:hAnsi="Times New Roman" w:eastAsia="宋体" w:cs="Times New Roman"/>
          <w:color w:val="0000FF"/>
          <w:sz w:val="24"/>
        </w:rPr>
        <w:t>下风向不同距离处</w:t>
      </w:r>
      <w:r>
        <w:rPr>
          <w:rFonts w:hint="eastAsia" w:ascii="Times New Roman" w:hAnsi="Times New Roman" w:eastAsia="宋体" w:cs="Times New Roman"/>
          <w:color w:val="0000FF"/>
          <w:sz w:val="24"/>
        </w:rPr>
        <w:t>CO</w:t>
      </w:r>
      <w:r>
        <w:rPr>
          <w:rFonts w:ascii="Times New Roman" w:hAnsi="Times New Roman" w:eastAsia="宋体" w:cs="Times New Roman"/>
          <w:color w:val="0000FF"/>
          <w:sz w:val="24"/>
        </w:rPr>
        <w:t>的轴线浓度见图</w:t>
      </w:r>
      <w:r>
        <w:rPr>
          <w:rFonts w:hint="eastAsia" w:ascii="Times New Roman" w:hAnsi="Times New Roman" w:eastAsia="宋体" w:cs="Times New Roman"/>
          <w:color w:val="0000FF"/>
          <w:sz w:val="24"/>
          <w:lang w:val="en-US" w:eastAsia="zh-CN"/>
        </w:rPr>
        <w:t>4.1-1</w:t>
      </w:r>
      <w:r>
        <w:rPr>
          <w:rFonts w:ascii="Times New Roman" w:hAnsi="Times New Roman" w:eastAsia="宋体" w:cs="Times New Roman"/>
          <w:color w:val="0000FF"/>
          <w:sz w:val="24"/>
        </w:rPr>
        <w:t>，达到不同毒性终点浓度的最大影响区域见图</w:t>
      </w:r>
      <w:r>
        <w:rPr>
          <w:rFonts w:hint="eastAsia" w:ascii="Times New Roman" w:hAnsi="Times New Roman" w:eastAsia="宋体" w:cs="Times New Roman"/>
          <w:color w:val="0000FF"/>
          <w:sz w:val="24"/>
          <w:lang w:val="en-US" w:eastAsia="zh-CN"/>
        </w:rPr>
        <w:t>4.1-2</w:t>
      </w:r>
      <w:r>
        <w:rPr>
          <w:rFonts w:ascii="Times New Roman" w:hAnsi="Times New Roman" w:eastAsia="宋体" w:cs="Times New Roman"/>
          <w:color w:val="0000FF"/>
          <w:sz w:val="24"/>
        </w:rPr>
        <w:t>。</w:t>
      </w:r>
    </w:p>
    <w:p w14:paraId="69D2EBB9">
      <w:pPr>
        <w:adjustRightInd w:val="0"/>
        <w:snapToGrid w:val="0"/>
        <w:spacing w:before="60" w:after="60" w:line="360" w:lineRule="auto"/>
        <w:jc w:val="center"/>
        <w:rPr>
          <w:rFonts w:hint="eastAsia" w:ascii="Times New Roman" w:hAnsi="Times New Roman" w:eastAsia="宋体" w:cs="Times New Roman"/>
          <w:color w:val="0000FF"/>
          <w:sz w:val="24"/>
          <w:lang w:eastAsia="zh-CN"/>
        </w:rPr>
      </w:pPr>
      <w:r>
        <w:rPr>
          <w:rFonts w:hint="eastAsia" w:ascii="Times New Roman" w:hAnsi="Times New Roman" w:eastAsia="宋体" w:cs="Times New Roman"/>
          <w:color w:val="0000FF"/>
          <w:sz w:val="24"/>
          <w:lang w:eastAsia="zh-CN"/>
        </w:rPr>
        <w:drawing>
          <wp:inline distT="0" distB="0" distL="114300" distR="114300">
            <wp:extent cx="5071110" cy="2604135"/>
            <wp:effectExtent l="0" t="0" r="15240" b="5715"/>
            <wp:docPr id="74" name="图片 74" descr="d79ae631-bd35-413f-83f4-5ecab92cb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d79ae631-bd35-413f-83f4-5ecab92cb355"/>
                    <pic:cNvPicPr>
                      <a:picLocks noChangeAspect="1"/>
                    </pic:cNvPicPr>
                  </pic:nvPicPr>
                  <pic:blipFill>
                    <a:blip r:embed="rId57"/>
                    <a:stretch>
                      <a:fillRect/>
                    </a:stretch>
                  </pic:blipFill>
                  <pic:spPr>
                    <a:xfrm>
                      <a:off x="0" y="0"/>
                      <a:ext cx="5071110" cy="2604135"/>
                    </a:xfrm>
                    <a:prstGeom prst="rect">
                      <a:avLst/>
                    </a:prstGeom>
                  </pic:spPr>
                </pic:pic>
              </a:graphicData>
            </a:graphic>
          </wp:inline>
        </w:drawing>
      </w:r>
    </w:p>
    <w:p w14:paraId="3F3E2048">
      <w:pPr>
        <w:adjustRightInd w:val="0"/>
        <w:snapToGrid w:val="0"/>
        <w:spacing w:before="60" w:after="60" w:line="360" w:lineRule="auto"/>
        <w:ind w:firstLine="482" w:firstLineChars="200"/>
        <w:jc w:val="center"/>
        <w:rPr>
          <w:rFonts w:ascii="Times New Roman" w:hAnsi="Times New Roman" w:eastAsia="宋体" w:cs="Times New Roman"/>
          <w:b/>
          <w:bCs/>
          <w:color w:val="0000FF"/>
          <w:sz w:val="24"/>
        </w:rPr>
      </w:pPr>
      <w:r>
        <w:rPr>
          <w:rFonts w:ascii="Times New Roman" w:hAnsi="Times New Roman" w:eastAsia="宋体" w:cs="Times New Roman"/>
          <w:b/>
          <w:bCs/>
          <w:color w:val="0000FF"/>
          <w:sz w:val="24"/>
        </w:rPr>
        <w:t>图</w:t>
      </w:r>
      <w:r>
        <w:rPr>
          <w:rFonts w:hint="eastAsia" w:ascii="Times New Roman" w:hAnsi="Times New Roman" w:eastAsia="宋体" w:cs="Times New Roman"/>
          <w:b/>
          <w:bCs/>
          <w:color w:val="0000FF"/>
          <w:sz w:val="24"/>
          <w:lang w:val="en-US" w:eastAsia="zh-CN"/>
        </w:rPr>
        <w:t>4.1-1</w:t>
      </w:r>
      <w:r>
        <w:rPr>
          <w:rFonts w:ascii="Times New Roman" w:hAnsi="Times New Roman" w:eastAsia="宋体" w:cs="Times New Roman"/>
          <w:b/>
          <w:bCs/>
          <w:color w:val="0000FF"/>
          <w:sz w:val="24"/>
        </w:rPr>
        <w:t xml:space="preserve">   下风向不同距离处</w:t>
      </w:r>
      <w:r>
        <w:rPr>
          <w:rFonts w:hint="eastAsia" w:ascii="Times New Roman" w:hAnsi="Times New Roman" w:eastAsia="宋体" w:cs="Times New Roman"/>
          <w:b/>
          <w:bCs/>
          <w:color w:val="0000FF"/>
          <w:sz w:val="24"/>
        </w:rPr>
        <w:t>CO</w:t>
      </w:r>
      <w:r>
        <w:rPr>
          <w:rFonts w:ascii="Times New Roman" w:hAnsi="Times New Roman" w:eastAsia="宋体" w:cs="Times New Roman"/>
          <w:b/>
          <w:bCs/>
          <w:color w:val="0000FF"/>
          <w:sz w:val="24"/>
        </w:rPr>
        <w:t>的轴线浓度图</w:t>
      </w:r>
    </w:p>
    <w:p w14:paraId="614E5FD2">
      <w:pPr>
        <w:adjustRightInd w:val="0"/>
        <w:snapToGrid w:val="0"/>
        <w:spacing w:before="60" w:after="60" w:line="360" w:lineRule="auto"/>
        <w:jc w:val="center"/>
        <w:rPr>
          <w:rFonts w:hint="eastAsia" w:ascii="Times New Roman" w:hAnsi="Times New Roman" w:eastAsia="宋体" w:cs="Times New Roman"/>
          <w:color w:val="0000FF"/>
          <w:sz w:val="24"/>
          <w:lang w:eastAsia="zh-CN"/>
        </w:rPr>
      </w:pPr>
      <w:r>
        <w:rPr>
          <w:rFonts w:hint="eastAsia" w:ascii="Times New Roman" w:hAnsi="Times New Roman" w:eastAsia="宋体" w:cs="Times New Roman"/>
          <w:color w:val="0000FF"/>
          <w:sz w:val="24"/>
          <w:lang w:eastAsia="zh-CN"/>
        </w:rPr>
        <w:drawing>
          <wp:inline distT="0" distB="0" distL="114300" distR="114300">
            <wp:extent cx="5262245" cy="3461385"/>
            <wp:effectExtent l="0" t="0" r="14605" b="5715"/>
            <wp:docPr id="75" name="图片 75" descr="78a88f88-bbac-48fb-bb21-72f5cc699c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78a88f88-bbac-48fb-bb21-72f5cc699c6b"/>
                    <pic:cNvPicPr>
                      <a:picLocks noChangeAspect="1"/>
                    </pic:cNvPicPr>
                  </pic:nvPicPr>
                  <pic:blipFill>
                    <a:blip r:embed="rId58"/>
                    <a:stretch>
                      <a:fillRect/>
                    </a:stretch>
                  </pic:blipFill>
                  <pic:spPr>
                    <a:xfrm>
                      <a:off x="0" y="0"/>
                      <a:ext cx="5262245" cy="3461385"/>
                    </a:xfrm>
                    <a:prstGeom prst="rect">
                      <a:avLst/>
                    </a:prstGeom>
                  </pic:spPr>
                </pic:pic>
              </a:graphicData>
            </a:graphic>
          </wp:inline>
        </w:drawing>
      </w:r>
    </w:p>
    <w:p w14:paraId="04B2CBC4">
      <w:pPr>
        <w:adjustRightInd w:val="0"/>
        <w:snapToGrid w:val="0"/>
        <w:spacing w:before="60" w:after="60" w:line="360" w:lineRule="auto"/>
        <w:ind w:firstLine="482" w:firstLineChars="200"/>
        <w:jc w:val="center"/>
        <w:rPr>
          <w:rFonts w:ascii="Times New Roman" w:hAnsi="Times New Roman" w:eastAsia="宋体" w:cs="Times New Roman"/>
          <w:b/>
          <w:bCs/>
          <w:color w:val="0000FF"/>
          <w:sz w:val="24"/>
        </w:rPr>
      </w:pPr>
      <w:r>
        <w:rPr>
          <w:rFonts w:ascii="Times New Roman" w:hAnsi="Times New Roman" w:eastAsia="宋体" w:cs="Times New Roman"/>
          <w:b/>
          <w:bCs/>
          <w:color w:val="0000FF"/>
          <w:sz w:val="24"/>
        </w:rPr>
        <w:t>图</w:t>
      </w:r>
      <w:r>
        <w:rPr>
          <w:rFonts w:hint="eastAsia" w:ascii="Times New Roman" w:hAnsi="Times New Roman" w:eastAsia="宋体" w:cs="Times New Roman"/>
          <w:b/>
          <w:bCs/>
          <w:color w:val="0000FF"/>
          <w:sz w:val="24"/>
          <w:lang w:val="en-US" w:eastAsia="zh-CN"/>
        </w:rPr>
        <w:t>4.1-2</w:t>
      </w:r>
      <w:r>
        <w:rPr>
          <w:rFonts w:ascii="Times New Roman" w:hAnsi="Times New Roman" w:eastAsia="宋体" w:cs="Times New Roman"/>
          <w:b/>
          <w:bCs/>
          <w:color w:val="0000FF"/>
          <w:sz w:val="24"/>
        </w:rPr>
        <w:t xml:space="preserve">  达到不同毒性终点浓度的最大影响区域图</w:t>
      </w:r>
    </w:p>
    <w:p w14:paraId="6548F185">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0000FF"/>
          <w:spacing w:val="6"/>
          <w:sz w:val="24"/>
        </w:rPr>
      </w:pPr>
      <w:r>
        <w:rPr>
          <w:rFonts w:ascii="Times New Roman" w:hAnsi="Times New Roman" w:eastAsia="宋体" w:cs="Times New Roman"/>
          <w:color w:val="0000FF"/>
          <w:spacing w:val="6"/>
          <w:sz w:val="24"/>
        </w:rPr>
        <w:t>由计算结果可以看出，</w:t>
      </w:r>
      <w:r>
        <w:rPr>
          <w:rFonts w:hint="eastAsia" w:ascii="Times New Roman" w:hAnsi="Times New Roman" w:eastAsia="宋体" w:cs="Times New Roman"/>
          <w:color w:val="0000FF"/>
          <w:spacing w:val="6"/>
          <w:sz w:val="24"/>
          <w:lang w:val="en-US" w:eastAsia="zh-CN"/>
        </w:rPr>
        <w:t>LPG储罐泄漏并</w:t>
      </w:r>
      <w:r>
        <w:rPr>
          <w:rFonts w:hint="eastAsia" w:ascii="Times New Roman" w:hAnsi="Times New Roman" w:eastAsia="宋体" w:cs="Times New Roman"/>
          <w:color w:val="0000FF"/>
          <w:spacing w:val="6"/>
          <w:sz w:val="24"/>
        </w:rPr>
        <w:t>发生</w:t>
      </w:r>
      <w:r>
        <w:rPr>
          <w:rFonts w:ascii="Times New Roman" w:hAnsi="Times New Roman" w:eastAsia="宋体" w:cs="Times New Roman"/>
          <w:color w:val="0000FF"/>
          <w:spacing w:val="6"/>
          <w:sz w:val="24"/>
        </w:rPr>
        <w:t>火灾事故</w:t>
      </w:r>
      <w:r>
        <w:rPr>
          <w:rFonts w:hint="eastAsia" w:ascii="Times New Roman" w:hAnsi="Times New Roman" w:eastAsia="宋体" w:cs="Times New Roman"/>
          <w:color w:val="0000FF"/>
          <w:spacing w:val="6"/>
          <w:sz w:val="24"/>
        </w:rPr>
        <w:t>后</w:t>
      </w:r>
      <w:r>
        <w:rPr>
          <w:rFonts w:ascii="Times New Roman" w:hAnsi="Times New Roman" w:eastAsia="宋体" w:cs="Times New Roman"/>
          <w:color w:val="0000FF"/>
          <w:spacing w:val="6"/>
          <w:sz w:val="24"/>
        </w:rPr>
        <w:t>，</w:t>
      </w:r>
      <w:r>
        <w:rPr>
          <w:rFonts w:hint="eastAsia" w:ascii="Times New Roman" w:hAnsi="Times New Roman" w:eastAsia="宋体" w:cs="Times New Roman"/>
          <w:color w:val="0000FF"/>
          <w:spacing w:val="6"/>
          <w:sz w:val="24"/>
        </w:rPr>
        <w:t>经预测</w:t>
      </w:r>
      <w:r>
        <w:rPr>
          <w:rFonts w:ascii="Times New Roman" w:hAnsi="Times New Roman" w:eastAsia="宋体" w:cs="Times New Roman"/>
          <w:color w:val="0000FF"/>
          <w:spacing w:val="6"/>
          <w:sz w:val="24"/>
        </w:rPr>
        <w:t>在最不利气象条件下下风向CO</w:t>
      </w:r>
      <w:r>
        <w:rPr>
          <w:rFonts w:hint="eastAsia" w:ascii="Times New Roman" w:hAnsi="Times New Roman" w:eastAsia="宋体" w:cs="Times New Roman"/>
          <w:color w:val="0000FF"/>
          <w:spacing w:val="6"/>
          <w:sz w:val="24"/>
        </w:rPr>
        <w:t>浓度</w:t>
      </w:r>
      <w:r>
        <w:rPr>
          <w:rFonts w:ascii="Times New Roman" w:hAnsi="Times New Roman" w:eastAsia="宋体" w:cs="Times New Roman"/>
          <w:color w:val="0000FF"/>
          <w:spacing w:val="6"/>
          <w:sz w:val="24"/>
        </w:rPr>
        <w:t>大气毒性终点浓度度-1（380mg/m</w:t>
      </w:r>
      <w:r>
        <w:rPr>
          <w:rFonts w:ascii="Times New Roman" w:hAnsi="Times New Roman" w:eastAsia="宋体" w:cs="Times New Roman"/>
          <w:color w:val="0000FF"/>
          <w:spacing w:val="6"/>
          <w:sz w:val="24"/>
          <w:vertAlign w:val="superscript"/>
        </w:rPr>
        <w:t>3</w:t>
      </w:r>
      <w:r>
        <w:rPr>
          <w:rFonts w:ascii="Times New Roman" w:hAnsi="Times New Roman" w:eastAsia="宋体" w:cs="Times New Roman"/>
          <w:color w:val="0000FF"/>
          <w:spacing w:val="6"/>
          <w:sz w:val="24"/>
        </w:rPr>
        <w:t>）</w:t>
      </w:r>
      <w:r>
        <w:rPr>
          <w:rFonts w:hint="eastAsia" w:ascii="Times New Roman" w:hAnsi="Times New Roman" w:eastAsia="宋体" w:cs="Times New Roman"/>
          <w:color w:val="0000FF"/>
          <w:spacing w:val="6"/>
          <w:sz w:val="24"/>
        </w:rPr>
        <w:t>的影响范围为下风向</w:t>
      </w:r>
      <w:r>
        <w:rPr>
          <w:rFonts w:hint="eastAsia" w:ascii="Times New Roman" w:hAnsi="Times New Roman" w:eastAsia="宋体" w:cs="Times New Roman"/>
          <w:color w:val="0000FF"/>
          <w:spacing w:val="6"/>
          <w:sz w:val="24"/>
          <w:lang w:val="en-US" w:eastAsia="zh-CN"/>
        </w:rPr>
        <w:t>260</w:t>
      </w:r>
      <w:r>
        <w:rPr>
          <w:rFonts w:hint="eastAsia" w:ascii="Times New Roman" w:hAnsi="Times New Roman" w:eastAsia="宋体" w:cs="Times New Roman"/>
          <w:color w:val="0000FF"/>
          <w:spacing w:val="6"/>
          <w:sz w:val="24"/>
        </w:rPr>
        <w:t>m，在此范围内，无敏感目标；</w:t>
      </w:r>
      <w:r>
        <w:rPr>
          <w:rFonts w:ascii="Times New Roman" w:hAnsi="Times New Roman" w:eastAsia="宋体" w:cs="Times New Roman"/>
          <w:color w:val="0000FF"/>
          <w:spacing w:val="6"/>
          <w:sz w:val="24"/>
        </w:rPr>
        <w:t>大气毒性终点浓度-2（95mg/m</w:t>
      </w:r>
      <w:r>
        <w:rPr>
          <w:rFonts w:ascii="Times New Roman" w:hAnsi="Times New Roman" w:eastAsia="宋体" w:cs="Times New Roman"/>
          <w:color w:val="0000FF"/>
          <w:spacing w:val="6"/>
          <w:sz w:val="24"/>
          <w:vertAlign w:val="superscript"/>
        </w:rPr>
        <w:t>3</w:t>
      </w:r>
      <w:r>
        <w:rPr>
          <w:rFonts w:ascii="Times New Roman" w:hAnsi="Times New Roman" w:eastAsia="宋体" w:cs="Times New Roman"/>
          <w:color w:val="0000FF"/>
          <w:spacing w:val="6"/>
          <w:sz w:val="24"/>
        </w:rPr>
        <w:t>）的影响范围为</w:t>
      </w:r>
      <w:r>
        <w:rPr>
          <w:rFonts w:hint="eastAsia" w:ascii="Times New Roman" w:hAnsi="Times New Roman" w:eastAsia="宋体" w:cs="Times New Roman"/>
          <w:color w:val="0000FF"/>
          <w:spacing w:val="6"/>
          <w:sz w:val="24"/>
        </w:rPr>
        <w:t>下风向</w:t>
      </w:r>
      <w:r>
        <w:rPr>
          <w:rFonts w:hint="eastAsia" w:ascii="Times New Roman" w:hAnsi="Times New Roman" w:eastAsia="宋体" w:cs="Times New Roman"/>
          <w:color w:val="0000FF"/>
          <w:spacing w:val="6"/>
          <w:sz w:val="24"/>
          <w:lang w:val="en-US" w:eastAsia="zh-CN"/>
        </w:rPr>
        <w:t>380</w:t>
      </w:r>
      <w:r>
        <w:rPr>
          <w:rFonts w:ascii="Times New Roman" w:hAnsi="Times New Roman" w:eastAsia="宋体" w:cs="Times New Roman"/>
          <w:color w:val="0000FF"/>
          <w:spacing w:val="6"/>
          <w:sz w:val="24"/>
        </w:rPr>
        <w:t>m，在此范围内，</w:t>
      </w:r>
      <w:r>
        <w:rPr>
          <w:rFonts w:hint="eastAsia" w:ascii="Times New Roman" w:hAnsi="Times New Roman" w:eastAsia="宋体" w:cs="Times New Roman"/>
          <w:color w:val="0000FF"/>
          <w:spacing w:val="6"/>
          <w:sz w:val="24"/>
          <w:lang w:val="en-US" w:eastAsia="zh-CN"/>
        </w:rPr>
        <w:t>均没有</w:t>
      </w:r>
      <w:r>
        <w:rPr>
          <w:rFonts w:ascii="Times New Roman" w:hAnsi="Times New Roman" w:eastAsia="宋体" w:cs="Times New Roman"/>
          <w:color w:val="0000FF"/>
          <w:spacing w:val="6"/>
          <w:sz w:val="24"/>
        </w:rPr>
        <w:t>超终点浓度-2</w:t>
      </w:r>
      <w:r>
        <w:rPr>
          <w:rFonts w:hint="eastAsia" w:ascii="Times New Roman" w:hAnsi="Times New Roman" w:eastAsia="宋体" w:cs="Times New Roman"/>
          <w:color w:val="0000FF"/>
          <w:spacing w:val="6"/>
          <w:sz w:val="24"/>
          <w:lang w:eastAsia="zh-CN"/>
        </w:rPr>
        <w:t>、</w:t>
      </w:r>
      <w:r>
        <w:rPr>
          <w:rFonts w:hint="eastAsia" w:ascii="Times New Roman" w:hAnsi="Times New Roman" w:eastAsia="宋体" w:cs="Times New Roman"/>
          <w:color w:val="0000FF"/>
          <w:spacing w:val="6"/>
          <w:sz w:val="24"/>
          <w:lang w:val="en-US" w:eastAsia="zh-CN"/>
        </w:rPr>
        <w:t>终点浓度-1的敏感目标。距离项目最近的花圪台村</w:t>
      </w:r>
      <w:r>
        <w:rPr>
          <w:rFonts w:hint="eastAsia" w:ascii="Times New Roman" w:hAnsi="Times New Roman" w:eastAsia="宋体" w:cs="Times New Roman"/>
          <w:color w:val="0000FF"/>
          <w:spacing w:val="6"/>
          <w:sz w:val="24"/>
        </w:rPr>
        <w:t>应重点关注</w:t>
      </w:r>
      <w:r>
        <w:rPr>
          <w:rFonts w:hint="eastAsia" w:ascii="Times New Roman" w:hAnsi="Times New Roman" w:eastAsia="宋体" w:cs="Times New Roman"/>
          <w:color w:val="0000FF"/>
          <w:spacing w:val="6"/>
          <w:sz w:val="24"/>
          <w:lang w:eastAsia="zh-CN"/>
        </w:rPr>
        <w:t>，</w:t>
      </w:r>
      <w:r>
        <w:rPr>
          <w:rFonts w:hint="eastAsia" w:ascii="Times New Roman" w:hAnsi="Times New Roman" w:eastAsia="宋体" w:cs="Times New Roman"/>
          <w:color w:val="0000FF"/>
          <w:spacing w:val="6"/>
          <w:sz w:val="24"/>
          <w:lang w:val="en-US" w:eastAsia="zh-CN"/>
        </w:rPr>
        <w:t>发生火灾后及时通报</w:t>
      </w:r>
      <w:r>
        <w:rPr>
          <w:rFonts w:ascii="Times New Roman" w:hAnsi="Times New Roman" w:eastAsia="宋体" w:cs="Times New Roman"/>
          <w:color w:val="0000FF"/>
          <w:spacing w:val="6"/>
          <w:sz w:val="24"/>
        </w:rPr>
        <w:t>。</w:t>
      </w:r>
    </w:p>
    <w:p w14:paraId="4CE2AE96">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0000FF"/>
          <w:kern w:val="2"/>
          <w:sz w:val="28"/>
          <w:szCs w:val="24"/>
          <w:lang w:val="en-US" w:eastAsia="zh-CN" w:bidi="ar-SA"/>
        </w:rPr>
      </w:pPr>
      <w:bookmarkStart w:id="22" w:name="_Toc29129"/>
      <w:bookmarkStart w:id="23" w:name="_Toc7114"/>
      <w:bookmarkStart w:id="24" w:name="_Toc4779"/>
      <w:bookmarkStart w:id="25" w:name="_Toc17014"/>
      <w:r>
        <w:rPr>
          <w:rFonts w:hint="default" w:ascii="Times New Roman" w:hAnsi="Times New Roman" w:eastAsia="黑体" w:cs="Times New Roman"/>
          <w:b/>
          <w:color w:val="0000FF"/>
          <w:kern w:val="2"/>
          <w:sz w:val="28"/>
          <w:szCs w:val="24"/>
          <w:lang w:val="en-US" w:eastAsia="zh-CN" w:bidi="ar-SA"/>
        </w:rPr>
        <w:t>地表水环境风险分析</w:t>
      </w:r>
      <w:bookmarkEnd w:id="22"/>
      <w:bookmarkEnd w:id="23"/>
      <w:bookmarkEnd w:id="24"/>
      <w:bookmarkEnd w:id="25"/>
    </w:p>
    <w:p w14:paraId="0948ACA4">
      <w:pPr>
        <w:tabs>
          <w:tab w:val="center" w:pos="4153"/>
          <w:tab w:val="right" w:pos="8306"/>
        </w:tabs>
        <w:adjustRightInd w:val="0"/>
        <w:snapToGrid w:val="0"/>
        <w:spacing w:line="360" w:lineRule="auto"/>
        <w:ind w:firstLine="510"/>
        <w:jc w:val="left"/>
        <w:textAlignment w:val="baseline"/>
        <w:rPr>
          <w:rFonts w:ascii="Times New Roman" w:hAnsi="Times New Roman" w:eastAsia="宋体" w:cs="Times New Roman"/>
          <w:color w:val="0000FF"/>
          <w:spacing w:val="6"/>
          <w:kern w:val="0"/>
          <w:sz w:val="24"/>
        </w:rPr>
      </w:pPr>
      <w:r>
        <w:rPr>
          <w:rFonts w:ascii="Times New Roman" w:hAnsi="Times New Roman" w:eastAsia="宋体" w:cs="Times New Roman"/>
          <w:color w:val="0000FF"/>
          <w:spacing w:val="6"/>
          <w:kern w:val="0"/>
          <w:sz w:val="24"/>
        </w:rPr>
        <w:t>本项目</w:t>
      </w:r>
      <w:r>
        <w:rPr>
          <w:rFonts w:hint="eastAsia" w:ascii="Times New Roman" w:hAnsi="Times New Roman" w:eastAsia="宋体" w:cs="Times New Roman"/>
          <w:color w:val="0000FF"/>
          <w:spacing w:val="6"/>
          <w:kern w:val="0"/>
          <w:sz w:val="24"/>
          <w:lang w:val="en-US" w:eastAsia="zh-CN"/>
        </w:rPr>
        <w:t>生产废废水不外排，项目厂区内建设有事故水池（兼做初期雨水池），事故状况下废水均能有效的收集，不排放至外环境。本项目建设1座事故水池，容积为800m</w:t>
      </w:r>
      <w:r>
        <w:rPr>
          <w:rFonts w:hint="eastAsia" w:ascii="Times New Roman" w:hAnsi="Times New Roman" w:eastAsia="宋体" w:cs="Times New Roman"/>
          <w:color w:val="0000FF"/>
          <w:spacing w:val="6"/>
          <w:kern w:val="0"/>
          <w:sz w:val="24"/>
          <w:vertAlign w:val="superscript"/>
          <w:lang w:val="en-US" w:eastAsia="zh-CN"/>
        </w:rPr>
        <w:t>3</w:t>
      </w:r>
      <w:r>
        <w:rPr>
          <w:rFonts w:hint="eastAsia" w:ascii="Times New Roman" w:hAnsi="Times New Roman" w:eastAsia="宋体" w:cs="Times New Roman"/>
          <w:color w:val="0000FF"/>
          <w:spacing w:val="6"/>
          <w:kern w:val="0"/>
          <w:sz w:val="24"/>
          <w:lang w:val="en-US" w:eastAsia="zh-CN"/>
        </w:rPr>
        <w:t>，满足项目发生火灾事故时消防废水收集需求，同时满足初期雨水收集需求</w:t>
      </w:r>
    </w:p>
    <w:p w14:paraId="74D8E7A0">
      <w:pPr>
        <w:pStyle w:val="58"/>
        <w:bidi w:val="0"/>
        <w:rPr>
          <w:rFonts w:hint="default" w:ascii="Times New Roman" w:hAnsi="Times New Roman" w:cs="Times New Roman"/>
          <w:color w:val="auto"/>
        </w:rPr>
      </w:pPr>
      <w:r>
        <w:rPr>
          <w:rFonts w:ascii="Times New Roman" w:hAnsi="Times New Roman" w:eastAsia="宋体" w:cs="Times New Roman"/>
          <w:color w:val="0000FF"/>
          <w:kern w:val="0"/>
          <w:sz w:val="24"/>
          <w:szCs w:val="20"/>
        </w:rPr>
        <w:t>通过以上分析，事故情况下废水可有效收集，不会排至外环境污染地表水。</w:t>
      </w:r>
    </w:p>
    <w:p w14:paraId="69E67A17">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highlight w:val="none"/>
          <w:lang w:val="en-US" w:eastAsia="zh-CN" w:bidi="ar-SA"/>
        </w:rPr>
      </w:pPr>
      <w:r>
        <w:rPr>
          <w:rFonts w:hint="default" w:ascii="Times New Roman" w:hAnsi="Times New Roman" w:eastAsia="黑体" w:cs="Times New Roman"/>
          <w:b/>
          <w:color w:val="auto"/>
          <w:kern w:val="2"/>
          <w:sz w:val="28"/>
          <w:szCs w:val="24"/>
          <w:highlight w:val="none"/>
          <w:lang w:val="en-US" w:eastAsia="zh-CN" w:bidi="ar-SA"/>
        </w:rPr>
        <w:t>地下水环境风险</w:t>
      </w:r>
    </w:p>
    <w:p w14:paraId="287AFFDB">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根据分析，本项目地下水环境风险主要为危险废物暂存间防渗层失效，废润滑油泄漏，地下水环境造成影响以及液化石油气残液罐内残液泄漏，残液对地下水环境造成影响，本次采用《环境影响评价技术导则 地下水环境》（HJ610-2016）推荐的方法进行预测。</w:t>
      </w:r>
    </w:p>
    <w:p w14:paraId="1AAF640D">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4"/>
          <w:szCs w:val="22"/>
          <w:highlight w:val="none"/>
          <w:lang w:val="en-US" w:eastAsia="zh-CN" w:bidi="ar-SA"/>
        </w:rPr>
      </w:pPr>
      <w:r>
        <w:rPr>
          <w:rFonts w:hint="default" w:ascii="Times New Roman" w:hAnsi="Times New Roman" w:eastAsia="宋体" w:cs="Times New Roman"/>
          <w:b w:val="0"/>
          <w:color w:val="auto"/>
          <w:kern w:val="2"/>
          <w:sz w:val="24"/>
          <w:szCs w:val="22"/>
          <w:highlight w:val="none"/>
          <w:lang w:val="en-US" w:eastAsia="zh-CN" w:bidi="ar-SA"/>
        </w:rPr>
        <w:t>区域水文地质</w:t>
      </w:r>
    </w:p>
    <w:p w14:paraId="51763DD4">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地形地貌</w:t>
      </w:r>
    </w:p>
    <w:p w14:paraId="77C0937E">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北部为乌拉山区，其山势陡峻、沟壑纵横、基岩裸露、裂隙发育、植被稀疏，平均地面高程1630m。评价区内主要为黄河冲积平原.黄河冲积平原地势较为平坦，地面坡降1.5‰，沿黄河分布有大小不等的牛轭湖、洼地等，海拔高程为1010～1018m。</w:t>
      </w:r>
    </w:p>
    <w:p w14:paraId="110B84D4">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评价区地貌为侵蚀堆积平原。侵蚀堆积平原为评价区内的主要地貌类型，主要为黄河冲积平原及河沟两侧阶地等，主要由全新统、上更新统沉积物组成，下伏中更新统沉积物。</w:t>
      </w:r>
    </w:p>
    <w:p w14:paraId="174F5E28">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气象水文</w:t>
      </w:r>
    </w:p>
    <w:p w14:paraId="4D2C2D2E">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（1）气象</w:t>
      </w:r>
    </w:p>
    <w:p w14:paraId="26F94CA8">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包头市属内陆半干旱中温带大陆性季风气候，气候特点为：春季干旱风沙大，夏季炎热雨集中，秋高气爽日照长，冬季寒冷雨雪少。年平均气温6.5℃，七月份最高，平均为22.9℃，一月份最低，平均为-12.3℃，最大冻结深度1.75m。年降水量为310 mm，降雨集中于七、八月份，年蒸发量为2100～2342mm，年平均蒸发量为2287.4mm；年相对湿度在50％左右，年平均日照3148h，无霜期90～140d。主导风向为NNW风，一般冬季多西北风，夏季多东南风，年平均风速3.4m／s，年静风频率为21.3％，冬季静风频率最高，为27.4％，夏季最低，为15.6％，年平均气压为895～898hPa。</w:t>
      </w:r>
    </w:p>
    <w:p w14:paraId="024AA840">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（2）水文</w:t>
      </w:r>
    </w:p>
    <w:p w14:paraId="1FCB7C5B">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①黄河</w:t>
      </w:r>
    </w:p>
    <w:p w14:paraId="644D73CF">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水系属黄河流域，黄河在项目区外的南部10km自西向东流过，流经市区全长63km，其间建有三处城市集中式水源地。河面水宽130～458m，水深1.4～9.3m，平均流速l.4m/s，平均流量824m3/s，平均迳流量256×108m3。每年八、九月间，上游降水集中，洪水大量倾入，致使黄河水位猛涨，因此防汛任务很重，黄河冬季封冻。</w:t>
      </w:r>
    </w:p>
    <w:p w14:paraId="3F8DF1BD">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②昆都仑河</w:t>
      </w:r>
    </w:p>
    <w:p w14:paraId="616540C7">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东侧3.5km的昆都仑河是包头市境内最大的黄河支流。大青山与乌拉山的天然分界古称石门水。其上游俗称北齐沟，发源于包头市固阳县下湿壕乡春坤山，穿行大青山和乌拉山界谷，向南流经包头市区，在哈林格尔乡附近流入黄河，全长143km，属季节性河流，山洪多发生于7 、8月，历史最大洪峰7050立方米／秒(1856年)，中游建有昆都仑水库。（总库容7100×104m3,设计低水位1148.83m）的大量截水，该水库是青山区和昆区的水源地之一。昆都仑沟河谷平坦，可行车马，是横穿阴山最理想的交通坦途，平均比降6‰，流域面积2761平方公里，多年平均流量为2800万立方米。昆都仑河在固阳县城关镇以北为自东向西流向，以南是自北向南流向，在九原区新城乡的前口子流出山区进入平原区。</w:t>
      </w:r>
    </w:p>
    <w:p w14:paraId="2E480341">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地层岩性</w:t>
      </w:r>
    </w:p>
    <w:p w14:paraId="4965B23C">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内出露的主要地层有太古界变质岩系、中生界侏罗系砂岩、砾岩、火成岩和新生界第四纪松散沉积物（详见图5.4-1评价区地质图）。前第四系地层主要分布在勘查区北部的乌拉山区，变质岩系主要为花岗片麻岩、石英角闪片麻岩、云母片麻岩、角闪片麻岩、石榴子石片麻岩和大理岩等，火成岩主要为花岗岩、长英岩、闪长岩和辉绿岩等。勘查区内主要出露第四系，除下更新统外，从中更新统到全新统均有分布，尤以中更新统及上更新统分布最广、厚度亦大，按第四系沉积次序由老至新概述如下：</w:t>
      </w:r>
    </w:p>
    <w:p w14:paraId="04B2F036">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（1）中更新统下统黄色粘性土及砂砾层组</w:t>
      </w:r>
    </w:p>
    <w:p w14:paraId="0050EE08">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出露于山麓地带的侵蚀剥蚀台地区，埋藏于山麓之南的侵蚀堆积平原区。本组地层初期以湖沼相粘性土沉积为主，后转为冲积湖积相砂砾石与粘性土互层为主；岩性由东及东北方向的山麓冲洪积相向西及西南方向递变为黄褐色、灰色粘性土夹砂及砂砾石的湖积相沉积，具有水平层理，层间夹许多层状、凸镜状砂砾石层。本组地层在山前地带直接覆于片麻岩之上。</w:t>
      </w:r>
    </w:p>
    <w:p w14:paraId="4206CDD1">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（2）中更新统上统淤泥、砂砾组</w:t>
      </w:r>
    </w:p>
    <w:p w14:paraId="15721DFF">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组地层属湖相沉积，近山麓地区为湖积～洪积相。为一套黑灰色、青灰色淤泥质粘砂土或淤泥质砂粘土夹灰黑色粉细砂、粉砂，层理清晰，在近山麓之各扇形地中上部夹有砾砂层。本组地层在山前倾斜平原区一般30—100m，黄河冲积平原厚者可达200m以上。巨厚的淤泥层是区内潜水与承压水的良好隔水层。</w:t>
      </w:r>
    </w:p>
    <w:p w14:paraId="3501C425">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（3）上更新统砂砾组</w:t>
      </w:r>
    </w:p>
    <w:p w14:paraId="4C156D91">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层系冲积洪积相，是湖相沉积后的产物。主要为灰绿色粘砂土、砂粘土及砾石层和不同粒径之砾砂层。砾石多由片麻岩构成，次圆状或半棱角状、分选性差，粒径2～10cm，具交错层理、间夹有粘砂土层，广泛分布于山前倾斜平原的冲洪积扇。假整合于淤泥层之上，总厚度为10～50m，为勘查区重要的潜水含水层。</w:t>
      </w:r>
    </w:p>
    <w:p w14:paraId="3475419C">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（4）全新统砂土砾石组</w:t>
      </w:r>
    </w:p>
    <w:p w14:paraId="1CAAD768">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为勘查区最新沉积物，包括黄河冲积洪积层及风积砂，总厚度为1～5m，棕灰色。主要由粉砂、细砂及粘性土组成，上覆有风成砂，局部地段有沙丘沙垅，在各沟谷附近含砾石及碎石。区内冲洪积扇扇顶岩性以砂砾石、砂卵石组成，厚度40～60m；冲洪积扇扇中砂砾石变薄粘性土层增厚，一般厚度40～50m；扇缘地带岩性渐变为中粗砂、中细砂及粉砂层，粘性土增厚，本层厚度一般为10～20m。黄河冲积平原本组沉积厚度约为30m。</w:t>
      </w:r>
    </w:p>
    <w:p w14:paraId="12B55E71">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地质构造</w:t>
      </w:r>
    </w:p>
    <w:p w14:paraId="686C45FF">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在大地构造上属乌前凹陷。根据包头地区物探、重力、航磁测量和地震勘测以及卫星遥感图像解译成果的综合分析，该地区断裂构造较发育，其中以东西向和南西—北东向断裂构造为主，伴生一些局部的凸起和凹陷（见图5.4-2）。</w:t>
      </w:r>
    </w:p>
    <w:p w14:paraId="7AF898A5">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乌前凹陷起自包头市青山、昆都仑区，其北受控于乌拉山山前断裂带，向西南延伸。乌前凹陷带内的断裂形成于侏罗纪末期，沉积有侏罗系、白垩系、第三系和第四系，沉积厚度为4000m。</w:t>
      </w:r>
    </w:p>
    <w:p w14:paraId="4530CAAD">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含水层特征与富水性</w:t>
      </w:r>
    </w:p>
    <w:p w14:paraId="47956419">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域地下水按其赋存条件、含水介质及水力性质，可分为第四系松散岩类孔隙水和基岩裂隙水两大类。第四系基岩裂隙潜水主要赋存于评价区北部乌拉山南麓低山丘陵地带的基裂隙之中，富水性差，基岩裂隙水通过山前断裂以跌水的形式补给山前倾斜平原，但补给量较小。第四系松散岩类孔隙水遍布于全区，主要赋存于山前倾斜平原和黄河冲积平原，含水层岩性为冲洪积砂砾卵石层和冲积砂层，结构松散，易接受大气降水及河沟水的入渗补给，含水层厚度较稳定，颗粒粗、孔隙大、渗透性强，富水性好。</w:t>
      </w:r>
    </w:p>
    <w:p w14:paraId="0AD5E092">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评价区地下水按其孔隙类型划分为第四系松散岩类孔隙水，按其埋藏条件分为潜水含水层和承压水含水层。不同地带、不同类型的含水层的特征和富水性各不相同。</w:t>
      </w:r>
    </w:p>
    <w:p w14:paraId="5BD031EB">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（1）潜水含水层</w:t>
      </w:r>
    </w:p>
    <w:p w14:paraId="295A897A">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潜水含水层分布于乌拉山以南的广大地区，主要由山前冲洪积扇砂砾石层及黄河冲积砂层等组成。</w:t>
      </w:r>
    </w:p>
    <w:p w14:paraId="11ABB33C">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①山前冲洪积砂砾石含水层</w:t>
      </w:r>
    </w:p>
    <w:p w14:paraId="5D501593">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分布在乌拉山山前倾斜平原的广大地区，冲洪积扇由扇顶向扇缘、由轴部向两翼，含水层厚度逐渐变薄，颗粒变细，水量变小，水质变差。含水层主要由上更新统～全新统砂砾石、卵砾石及中粗砂组成，由北向南含水层岩性由粗变细；含水层厚度北部、中部厚，一般厚10～30m，南部及扇形地两翼薄，一般厚5～10m；水位埋深由北部的20～40m，向南逐渐变浅为1～3m；富水性北部、中部好，单井涌水量多大于2500m3/d（8″口径和统一降深5m，下同），南部及扇缘富水性中等或较差，一般为500～1500m3/d，局部小于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/d。地下水化学类型北部以HCO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--Ca型、HCO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--Ca</w:t>
      </w:r>
      <w:r>
        <w:rPr>
          <w:rFonts w:hint="default" w:ascii="Times New Roman" w:hAnsi="Times New Roman" w:eastAsia="宋体" w:cs="Times New Roman"/>
          <w:color w:val="auto"/>
          <w:position w:val="-2"/>
          <w:szCs w:val="24"/>
          <w:highlight w:val="none"/>
        </w:rPr>
        <w:object>
          <v:shape id="_x0000_i1035" o:spt="75" alt="ceba6143d45642d8bc117df807bdad02# #嵌入式对象5" type="#_x0000_t75" style="height:8.35pt;width:8.35pt;" o:ole="t" filled="f" stroked="f" coordsize="21600,21600">
            <v:path/>
            <v:fill on="f" focussize="0,0"/>
            <v:stroke on="f"/>
            <v:imagedata r:id="rId60" o:title=""/>
            <o:lock v:ext="edit" aspectratio="t"/>
            <w10:wrap type="none"/>
            <w10:anchorlock/>
          </v:shape>
          <o:OLEObject Type="Embed" ProgID="Equation.3" ShapeID="_x0000_i1035" DrawAspect="Content" ObjectID="_1468075735" r:id="rId59">
            <o:LockedField>false</o:LockedField>
          </o:OLEObject>
        </w:object>
      </w:r>
      <w:r>
        <w:rPr>
          <w:rFonts w:hint="default" w:ascii="Times New Roman" w:hAnsi="Times New Roman" w:cs="Times New Roman"/>
          <w:color w:val="auto"/>
          <w:highlight w:val="none"/>
        </w:rPr>
        <w:t>Mg型为主，溶解性总固体小于500mg/</w:t>
      </w: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rPr>
        <w:t>；南部以HCO</w:t>
      </w:r>
      <w:r>
        <w:rPr>
          <w:rFonts w:hint="default" w:ascii="Times New Roman" w:hAnsi="Times New Roman" w:cs="Times New Roman"/>
          <w:color w:val="auto"/>
          <w:highlight w:val="none"/>
          <w:vertAlign w:val="subscript"/>
        </w:rPr>
        <w:t>3</w:t>
      </w:r>
      <w:r>
        <w:rPr>
          <w:rFonts w:hint="default" w:ascii="Times New Roman" w:hAnsi="Times New Roman" w:eastAsia="宋体" w:cs="Times New Roman"/>
          <w:color w:val="auto"/>
          <w:position w:val="-2"/>
          <w:szCs w:val="24"/>
          <w:highlight w:val="none"/>
        </w:rPr>
        <w:object>
          <v:shape id="_x0000_i1036" o:spt="75" alt="95d94b1986494ea5bb1d43be7f40cde2# #嵌入式对象6" type="#_x0000_t75" style="height:8.35pt;width:8.35pt;" o:ole="t" filled="f" stroked="f" coordsize="21600,21600">
            <v:path/>
            <v:fill on="f" focussize="0,0"/>
            <v:stroke on="f"/>
            <v:imagedata r:id="rId60" o:title=""/>
            <o:lock v:ext="edit" aspectratio="t"/>
            <w10:wrap type="none"/>
            <w10:anchorlock/>
          </v:shape>
          <o:OLEObject Type="Embed" ProgID="Equation.3" ShapeID="_x0000_i1036" DrawAspect="Content" ObjectID="_1468075736" r:id="rId61">
            <o:LockedField>false</o:LockedField>
          </o:OLEObject>
        </w:object>
      </w:r>
      <w:r>
        <w:rPr>
          <w:rFonts w:hint="default" w:ascii="Times New Roman" w:hAnsi="Times New Roman" w:cs="Times New Roman"/>
          <w:color w:val="auto"/>
          <w:highlight w:val="none"/>
        </w:rPr>
        <w:t>CL--Ca</w:t>
      </w:r>
      <w:r>
        <w:rPr>
          <w:rFonts w:hint="default" w:ascii="Times New Roman" w:hAnsi="Times New Roman" w:eastAsia="宋体" w:cs="Times New Roman"/>
          <w:color w:val="auto"/>
          <w:position w:val="-2"/>
          <w:szCs w:val="24"/>
          <w:highlight w:val="none"/>
        </w:rPr>
        <w:object>
          <v:shape id="_x0000_i1037" o:spt="75" alt="d9ebd3689cf34ecea03a4aa74689567b# #嵌入式对象7" type="#_x0000_t75" style="height:8.35pt;width:8.35pt;" o:ole="t" filled="f" stroked="f" coordsize="21600,21600">
            <v:path/>
            <v:fill on="f" focussize="0,0"/>
            <v:stroke on="f"/>
            <v:imagedata r:id="rId60" o:title=""/>
            <o:lock v:ext="edit" aspectratio="t"/>
            <w10:wrap type="none"/>
            <w10:anchorlock/>
          </v:shape>
          <o:OLEObject Type="Embed" ProgID="Equation.KSEE3" ShapeID="_x0000_i1037" DrawAspect="Content" ObjectID="_1468075737" r:id="rId62">
            <o:LockedField>false</o:LockedField>
          </o:OLEObject>
        </w:object>
      </w:r>
      <w:r>
        <w:rPr>
          <w:rFonts w:hint="default" w:ascii="Times New Roman" w:hAnsi="Times New Roman" w:cs="Times New Roman"/>
          <w:color w:val="auto"/>
          <w:highlight w:val="none"/>
        </w:rPr>
        <w:t>Mg、HCO</w:t>
      </w:r>
      <w:r>
        <w:rPr>
          <w:rFonts w:hint="default" w:ascii="Times New Roman" w:hAnsi="Times New Roman" w:cs="Times New Roman"/>
          <w:color w:val="auto"/>
          <w:highlight w:val="none"/>
          <w:vertAlign w:val="subscript"/>
        </w:rPr>
        <w:t>3</w:t>
      </w:r>
      <w:r>
        <w:rPr>
          <w:rFonts w:hint="default" w:ascii="Times New Roman" w:hAnsi="Times New Roman" w:eastAsia="宋体" w:cs="Times New Roman"/>
          <w:color w:val="auto"/>
          <w:position w:val="-2"/>
          <w:szCs w:val="24"/>
          <w:highlight w:val="none"/>
        </w:rPr>
        <w:object>
          <v:shape id="_x0000_i1038" o:spt="75" alt="3395c6f9a6d6485893165a58d52de9bd# #嵌入式对象8" type="#_x0000_t75" style="height:8.35pt;width:8.35pt;" o:ole="t" filled="f" stroked="f" coordsize="21600,21600">
            <v:path/>
            <v:fill on="f" focussize="0,0"/>
            <v:stroke on="f"/>
            <v:imagedata r:id="rId60" o:title=""/>
            <o:lock v:ext="edit" aspectratio="t"/>
            <w10:wrap type="none"/>
            <w10:anchorlock/>
          </v:shape>
          <o:OLEObject Type="Embed" ProgID="Equation.KSEE3" ShapeID="_x0000_i1038" DrawAspect="Content" ObjectID="_1468075738" r:id="rId63">
            <o:LockedField>false</o:LockedField>
          </o:OLEObject>
        </w:object>
      </w:r>
      <w:r>
        <w:rPr>
          <w:rFonts w:hint="default" w:ascii="Times New Roman" w:hAnsi="Times New Roman" w:cs="Times New Roman"/>
          <w:color w:val="auto"/>
          <w:highlight w:val="none"/>
        </w:rPr>
        <w:t>CL--Na</w:t>
      </w:r>
      <w:r>
        <w:rPr>
          <w:rFonts w:hint="default" w:ascii="Times New Roman" w:hAnsi="Times New Roman" w:eastAsia="宋体" w:cs="Times New Roman"/>
          <w:color w:val="auto"/>
          <w:position w:val="-2"/>
          <w:szCs w:val="24"/>
          <w:highlight w:val="none"/>
        </w:rPr>
        <w:object>
          <v:shape id="_x0000_i1039" o:spt="75" alt="42d665825b7448f8a0f5a8d117cc6207# #嵌入式对象9" type="#_x0000_t75" style="height:8.35pt;width:8.35pt;" o:ole="t" filled="f" stroked="f" coordsize="21600,21600">
            <v:path/>
            <v:fill on="f" focussize="0,0"/>
            <v:stroke on="f"/>
            <v:imagedata r:id="rId60" o:title=""/>
            <o:lock v:ext="edit" aspectratio="t"/>
            <w10:wrap type="none"/>
            <w10:anchorlock/>
          </v:shape>
          <o:OLEObject Type="Embed" ProgID="Equation.3" ShapeID="_x0000_i1039" DrawAspect="Content" ObjectID="_1468075739" r:id="rId64">
            <o:LockedField>false</o:LockedField>
          </o:OLEObject>
        </w:object>
      </w:r>
      <w:r>
        <w:rPr>
          <w:rFonts w:hint="default" w:ascii="Times New Roman" w:hAnsi="Times New Roman" w:cs="Times New Roman"/>
          <w:color w:val="auto"/>
          <w:highlight w:val="none"/>
        </w:rPr>
        <w:t>Mg型为主，溶解性总固体1000～3000mg/</w:t>
      </w: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rPr>
        <w:t>。</w:t>
      </w:r>
    </w:p>
    <w:p w14:paraId="107A0D8B">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②黄河冲积砂含水层</w:t>
      </w:r>
    </w:p>
    <w:p w14:paraId="63D8137B">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主要分布于山前倾斜平原以南的黄河冲积平原，由扇前沟谷冲积砂砾石含水层与黄河冲积砂含水层组成。</w:t>
      </w:r>
    </w:p>
    <w:p w14:paraId="7E1C8EDB">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扇前沟谷冲积砂砾石含水层：在地貌上呈现平缓的小冲洪积扇特征，含水层岩性以砂砾石为主，向南岩性变细，以中细砂、细砂为主，含水层厚度为20～40m，水位埋深由10～20m向南变为3～5m，单井涌水量一般大于1500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/d，溶解性总固体小于1000mg/L。</w:t>
      </w:r>
    </w:p>
    <w:p w14:paraId="1FD80E27">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黄河冲积砂含水层：呈带状沿黄河东西向展布，含水层颗粒较细，以粉细砂、粉砂为主。含水层厚度0～25m，水位埋深东部3～5m、西段全巴兔一带1～3m，单井涌水量西段小于500m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/d、东段500～1500m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/d。含水层总体水质较差，靠近黄河沿岸一带以HCO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--Ca</w:t>
      </w:r>
      <w:r>
        <w:rPr>
          <w:rFonts w:hint="default" w:ascii="Times New Roman" w:hAnsi="Times New Roman" w:eastAsia="宋体" w:cs="Times New Roman"/>
          <w:color w:val="auto"/>
          <w:position w:val="-2"/>
          <w:szCs w:val="24"/>
          <w:highlight w:val="none"/>
        </w:rPr>
        <w:object>
          <v:shape id="_x0000_i1040" o:spt="75" alt="4faf09353c0b429e9f749eabf0daae25# #嵌入式对象10" type="#_x0000_t75" style="height:8.35pt;width:8.35pt;" o:ole="t" filled="f" stroked="f" coordsize="21600,21600">
            <v:path/>
            <v:fill on="f" focussize="0,0"/>
            <v:stroke on="f"/>
            <v:imagedata r:id="rId60" o:title=""/>
            <o:lock v:ext="edit" aspectratio="t"/>
            <w10:wrap type="none"/>
            <w10:anchorlock/>
          </v:shape>
          <o:OLEObject Type="Embed" ProgID="Equation.3" ShapeID="_x0000_i1040" DrawAspect="Content" ObjectID="_1468075740" r:id="rId65">
            <o:LockedField>false</o:LockedField>
          </o:OLEObject>
        </w:object>
      </w:r>
      <w:r>
        <w:rPr>
          <w:rFonts w:hint="default" w:ascii="Times New Roman" w:hAnsi="Times New Roman" w:cs="Times New Roman"/>
          <w:color w:val="auto"/>
          <w:highlight w:val="none"/>
        </w:rPr>
        <w:t>Mg型为主，远离黄河沿岸地区以HCO</w:t>
      </w:r>
      <w:r>
        <w:rPr>
          <w:rFonts w:hint="default" w:ascii="Times New Roman" w:hAnsi="Times New Roman" w:cs="Times New Roman"/>
          <w:color w:val="auto"/>
          <w:highlight w:val="none"/>
          <w:vertAlign w:val="subscript"/>
        </w:rPr>
        <w:t>3</w:t>
      </w:r>
      <w:r>
        <w:rPr>
          <w:rFonts w:hint="default" w:ascii="Times New Roman" w:hAnsi="Times New Roman" w:eastAsia="宋体" w:cs="Times New Roman"/>
          <w:color w:val="auto"/>
          <w:position w:val="-2"/>
          <w:szCs w:val="24"/>
          <w:highlight w:val="none"/>
        </w:rPr>
        <w:object>
          <v:shape id="_x0000_i1041" o:spt="75" alt="44d6ff824ac14cf38ce4b1717671d216# #嵌入式对象11" type="#_x0000_t75" style="height:8.35pt;width:8.35pt;" o:ole="t" filled="f" stroked="f" coordsize="21600,21600">
            <v:path/>
            <v:fill on="f" focussize="0,0"/>
            <v:stroke on="f"/>
            <v:imagedata r:id="rId60" o:title=""/>
            <o:lock v:ext="edit" aspectratio="t"/>
            <w10:wrap type="none"/>
            <w10:anchorlock/>
          </v:shape>
          <o:OLEObject Type="Embed" ProgID="Equation.3" ShapeID="_x0000_i1041" DrawAspect="Content" ObjectID="_1468075741" r:id="rId66">
            <o:LockedField>false</o:LockedField>
          </o:OLEObject>
        </w:object>
      </w:r>
      <w:r>
        <w:rPr>
          <w:rFonts w:hint="default" w:ascii="Times New Roman" w:hAnsi="Times New Roman" w:cs="Times New Roman"/>
          <w:color w:val="auto"/>
          <w:highlight w:val="none"/>
        </w:rPr>
        <w:t>CL--Na</w:t>
      </w:r>
      <w:r>
        <w:rPr>
          <w:rFonts w:hint="default" w:ascii="Times New Roman" w:hAnsi="Times New Roman" w:eastAsia="宋体" w:cs="Times New Roman"/>
          <w:color w:val="auto"/>
          <w:position w:val="-2"/>
          <w:szCs w:val="24"/>
          <w:highlight w:val="none"/>
        </w:rPr>
        <w:object>
          <v:shape id="_x0000_i1042" o:spt="75" alt="27087833cb8546c098f83edc64c0700f# #嵌入式对象12" type="#_x0000_t75" style="height:8.35pt;width:8.35pt;" o:ole="t" filled="f" stroked="f" coordsize="21600,21600">
            <v:path/>
            <v:fill on="f" focussize="0,0"/>
            <v:stroke on="f"/>
            <v:imagedata r:id="rId60" o:title=""/>
            <o:lock v:ext="edit" aspectratio="t"/>
            <w10:wrap type="none"/>
            <w10:anchorlock/>
          </v:shape>
          <o:OLEObject Type="Embed" ProgID="Equation.3" ShapeID="_x0000_i1042" DrawAspect="Content" ObjectID="_1468075742" r:id="rId67">
            <o:LockedField>false</o:LockedField>
          </o:OLEObject>
        </w:object>
      </w:r>
      <w:r>
        <w:rPr>
          <w:rFonts w:hint="default" w:ascii="Times New Roman" w:hAnsi="Times New Roman" w:cs="Times New Roman"/>
          <w:color w:val="auto"/>
          <w:highlight w:val="none"/>
        </w:rPr>
        <w:t>Mg型为主，溶解性总固体为1000～2000mg/</w:t>
      </w: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rPr>
        <w:t>，个别达3000mg/</w:t>
      </w: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rPr>
        <w:t>。</w:t>
      </w:r>
    </w:p>
    <w:p w14:paraId="32C63289">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（2）承压含水层</w:t>
      </w:r>
    </w:p>
    <w:p w14:paraId="25CD4940">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黄河冲积平原的淤泥层下部，广泛分布承压水含水层，岩性由中细砂组成，含水层厚度约10～20m，含水层顶板埋深80～100m，承压水头埋深由北部大于60m向南渐变为小于20m；单井涌水量1000m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/d左右，溶解性总固体小于1000mg/</w:t>
      </w:r>
      <w:r>
        <w:rPr>
          <w:rFonts w:hint="default" w:ascii="Times New Roman" w:hAnsi="Times New Roman" w:cs="Times New Roman"/>
          <w:color w:val="auto"/>
          <w:highlight w:val="none"/>
          <w:lang w:val="en-US" w:eastAsia="zh-CN"/>
        </w:rPr>
        <w:t>L</w:t>
      </w:r>
      <w:r>
        <w:rPr>
          <w:rFonts w:hint="default" w:ascii="Times New Roman" w:hAnsi="Times New Roman" w:cs="Times New Roman"/>
          <w:color w:val="auto"/>
          <w:highlight w:val="none"/>
        </w:rPr>
        <w:t>，水化学类型以HCO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--Ca</w:t>
      </w:r>
      <w:r>
        <w:rPr>
          <w:rFonts w:hint="default" w:ascii="Times New Roman" w:hAnsi="Times New Roman" w:eastAsia="宋体" w:cs="Times New Roman"/>
          <w:color w:val="auto"/>
          <w:szCs w:val="24"/>
          <w:highlight w:val="none"/>
        </w:rPr>
        <w:object>
          <v:shape id="_x0000_i1043" o:spt="75" alt="9847aa7ce71c488183f638e81de19a3d# #嵌入式对象13" type="#_x0000_t75" style="height:8.35pt;width:8.35pt;" o:ole="t" filled="f" stroked="f" coordsize="21600,21600">
            <v:path/>
            <v:fill on="f" focussize="0,0"/>
            <v:stroke on="f"/>
            <v:imagedata r:id="rId60" o:title=""/>
            <o:lock v:ext="edit" aspectratio="t"/>
            <w10:wrap type="none"/>
            <w10:anchorlock/>
          </v:shape>
          <o:OLEObject Type="Embed" ProgID="Equation.3" ShapeID="_x0000_i1043" DrawAspect="Content" ObjectID="_1468075743" r:id="rId68">
            <o:LockedField>false</o:LockedField>
          </o:OLEObject>
        </w:object>
      </w:r>
      <w:r>
        <w:rPr>
          <w:rFonts w:hint="default" w:ascii="Times New Roman" w:hAnsi="Times New Roman" w:cs="Times New Roman"/>
          <w:color w:val="auto"/>
          <w:highlight w:val="none"/>
        </w:rPr>
        <w:t>Mg型为主，水质良好，是农村居民生活及农田灌溉的主要供水含水层。</w:t>
      </w:r>
    </w:p>
    <w:p w14:paraId="0BDB9B08">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地下水补给、径流与排泄特征</w:t>
      </w:r>
    </w:p>
    <w:p w14:paraId="1F146B6D">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（1）潜水</w:t>
      </w:r>
    </w:p>
    <w:p w14:paraId="5A268C9D">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潜水含水层广布全区，由山前倾斜平原潜水和黄河冲积平原潜水组成，潜水含水层底板高程及其坡度，在某种程度上对潜水流向有一定的控制作用。</w:t>
      </w:r>
    </w:p>
    <w:p w14:paraId="44FDD476">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1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①</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山前倾斜平原潜水</w:t>
      </w:r>
    </w:p>
    <w:p w14:paraId="7241ED27">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山前倾斜平原区的包气带颗粒较粗，潜水易于接受补给，其主要补给来源有：北部乌拉山区基岩裂隙水的侧向径流补给；河沟水径流过程中的入渗补给；大气降水入渗补给；农田灌溉水水渗入补给。</w:t>
      </w:r>
    </w:p>
    <w:p w14:paraId="695BF7A4">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山前倾斜平原含水层颗粒粗，径流条件好，含水层渗透系数10～50m/d，最大可达100m/d；潜水总体由北、北东向南、南西流动，水力坡度一般为2～6‰，局部较大可达8‰。</w:t>
      </w:r>
    </w:p>
    <w:p w14:paraId="600B0139">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山前倾斜平原潜水的主要排泄方式有：向黄河冲积平原区的侧向径流排泄；作为工农业和生活用水的人工开采；潜水浅埋区的蒸发、蒸腾；越流补给承压水。</w:t>
      </w:r>
    </w:p>
    <w:p w14:paraId="2B8D9238">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 2 \* GB3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②</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黄河冲积平原潜水</w:t>
      </w:r>
    </w:p>
    <w:p w14:paraId="5B82A3B8">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黄河冲积平原潜水含水层颗粒较细、埋深较浅，主要补给来源：北部冲洪积扇地下水侧向径流补给；黄灌区及井灌区的灌溉水入渗补给；降水入渗补给。由于该区地势平坦，径流条件较差，潜水总体流向由北向南，水力坡度小于2.5‰。主要排泄方式有：农灌用水的人工开采；潜水蒸发、蒸腾排泄。</w:t>
      </w:r>
    </w:p>
    <w:p w14:paraId="3ACE0497">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（2）承压水</w:t>
      </w:r>
    </w:p>
    <w:p w14:paraId="0C645389">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主要补给是北部山前倾斜平原侧向径流补给和上部潜水含水层的越流补给。区内的承压水是主要的供水水源之一，人工开采是其主要的排泄途径。随着开采量的加大，形成了区域性的降落漏斗，地下水流向总体趋势由四周向漏斗中心流动，径流条件较好，水力坡度为3‰左右。</w:t>
      </w:r>
    </w:p>
    <w:p w14:paraId="7920E9E5">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地下水除接受大气降水渗人补外，上游地下径流补给、农业井渠灌溉回渗水也是主要补给来源：调查区受昆扇及黄河冲积影响，地形北东高，南西低。潜水径流方向受地形地貌控制，总体流向由北向南径流，水位高差约10m。潜水的主要排泄方式为向黄河侧向径流排泄，潜水浅埋区的蒸发、蒸腾，混合开采井跌渗补给承压水等。调查区农田灌溉和农村集中式饮用水水源地主要开采承压水，工业用水取黄河水，调查区未来用水规划变化不大。</w:t>
      </w:r>
    </w:p>
    <w:p w14:paraId="78A366BA">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地下水动态特征</w:t>
      </w:r>
    </w:p>
    <w:p w14:paraId="3909D739">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地下水水位动态变化主要受人为开采、气象、水文、地质地貌条件等多种因素所控制，不同地下水类型、不同地段其主要影响因素亦不同。</w:t>
      </w:r>
    </w:p>
    <w:p w14:paraId="709BFA2C">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（1）潜水水位动态特征</w:t>
      </w:r>
    </w:p>
    <w:p w14:paraId="5C96179F">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①山前倾斜平原区</w:t>
      </w:r>
    </w:p>
    <w:p w14:paraId="5DB5A34D">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对于潜水，山前倾斜平原主要受人为开采及降水入渗的影响，黄河冲积平原则以蒸发、降水及人为开采为主要影响因素。</w:t>
      </w:r>
    </w:p>
    <w:p w14:paraId="7FCD5597">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山前倾斜平原区分布有较多的工农业生产及居民生活用水的水源井，潜水动态类型主要为径流开采型。根据包头市地下水位动态监测资料，山前倾斜平原从50年代开始到80年代末，由于区内长期超量开采地下水，潜水水位呈阶梯式下降且降幅较大，从1958年开始到1989年，累计下降达10～20m。</w:t>
      </w:r>
    </w:p>
    <w:p w14:paraId="36A92C66">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潜水水位变化大致可分四个阶段：第一阶段为1958--1961年，平均下降速率0.4m/a，该阶段水位峰值出现于大量降水之后的1--3个月，气象因素及小规模开采是水位动态变化的主要影响因素；第二阶段为1963--1973年，该阶段水位呈大幅度直线下降，平均下降速率1.1m/a。高水位出现于8--10月份，峰值较小，水位下降时间延长，因山前倾斜平原区一些大中型企业如包钢、一机、二机、二0二厂等对地下水开采的影响，水位动态基本上受人为开采的控制；第三阶段为1974--1979年，地下水位趋于平稳且略有回升；第四阶段为1980--1989年，平均降速为0.8m/a，水位峰、谷值较小，水位动态主要受人为开采的控制，区域水位普遍下降，有些地区的潜水含水层基本疏干。自1990年之后，该区的地下水保持基本稳定，特别是2000年以后，山前倾斜平原的大部分地区潜水位呈上升趋势；据2000--2005年《包头市地下水环境监测综合报告》，五年内潜水位上升幅度为0.54--1.9m，最大上升地段为昆都仑扇的中部，上升变幅值为1.96m。潜水水位多年下降—回升的变化主因：前期是因为潜水含水层的持续超强开采，导致潜水水位大幅度下降；后期是因为原采水设备几乎全部掉泵继而停止使用，转为利用黄河水源，而引起潜水水位的全面回升。</w:t>
      </w:r>
    </w:p>
    <w:p w14:paraId="57132465">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最新（2007--2017年）地下水动态监测资料：山前倾斜平原北部的大部分地区，地下水位总体呈平稳局部下降趋势，总上升0.36~0.74m。山前倾斜平原中部及包钢厂区南部的豆家梁一带，水位上升幅度很大，最大上升值为1.15m，山前倾斜平原中下部，地下水位上升幅度较中部减少，上升值为0.52m。山前倾斜平原的南部边缘地带，地下水位总体呈下降趋势，下降值为0.47m，总体保持较为稳定的变化。</w:t>
      </w:r>
    </w:p>
    <w:p w14:paraId="2C880FC2">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②黄河冲积平原</w:t>
      </w:r>
    </w:p>
    <w:p w14:paraId="227CBC0C">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黄河冲积平原区潜水水位动态主要受人为开采、降水和灌溉入渗的影响，水位动态类型主要为渗入开采型。根据2007~2017统计数据可知，黄河冲积平原潜水动态特征表现为：西南部以上升为主，潜水水位变化幅度约为0.2m/a，总上升幅度为0.56~1.57m；中、东部以下降为主，降幅-0.24~1.04m，最大下降值为-1.11m。2007~2017年间潜水位动态年际间较为稳定，年内呈现周期性变化规律。</w:t>
      </w:r>
    </w:p>
    <w:p w14:paraId="30FF55E3">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（2）承压水水位动态特征</w:t>
      </w:r>
    </w:p>
    <w:p w14:paraId="6D7D0638">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承压水水位动态主要受开采量制约，动态类型主要为径流开采型。承压水的人为开采始于70年代之后，因潜水开采量不能完全满足工农业及生活用水时，人们开始加大井深开采下部的承压水。从动态曲线（图5.4-7）可看出大体分为三个阶段：第一段1957--1970年的动态曲线基本为稳中有降，因这段时间潜水为主要的供水水源；第二段1971--1990年的动态曲线呈直线下降，平均降速为1.35m/a，因这段时间很多潜水井吊泵，承压水的开采力度加大，造成承压水水位呈大幅度下降；第三段为九十年代以后至2017年，虽然区内承压水仍呈下降的趋势，但降幅明显减小，平均降速为0.61-0.8m/a。</w:t>
      </w:r>
    </w:p>
    <w:p w14:paraId="39B08FA7">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2007~2017年地下水动态监测资料：近年来，随着国家经济建设的快速发展，需水量增大，承压水的开采量亦随之加大，区内承压水水位呈持续大幅下降趋势，但因各地开采量的不同而下降幅度有异。山前倾斜平原的上部，承压水水位下降幅度较大；山前倾斜平原中部，承压水水位下降幅度次之；平均水位降速约为0.8~0.9m/a。</w:t>
      </w:r>
    </w:p>
    <w:p w14:paraId="1FD89B47">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内地下水动态随着降水量、开采量、蒸发量等随季节变化而变化；但由于本项目关注的主要地下水环境问题是建设项目对地下水水质的影响，项目对地下水水位和水量影响甚微；且根据对区内地下水流场调查可知，区内地下水流场形状随季节变化不明显，水位的变化只表现为整体抬升或整体下降，地下水年内动态变化过程中水力梯度不会发生较大变化，因此，在模拟过程中适当简化，将地下水流态概化为稳定流。</w:t>
      </w:r>
    </w:p>
    <w:p w14:paraId="3C6459F8">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包气带环境条件与特征</w:t>
      </w:r>
    </w:p>
    <w:p w14:paraId="50812F6E">
      <w:pPr>
        <w:snapToGrid w:val="0"/>
        <w:spacing w:line="360" w:lineRule="auto"/>
        <w:ind w:firstLine="51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包气带是潜水的重要环境要素之一，是地表污染物进入地下水体的主要途径，也是具有自然净化作用的地下水保护层。包气带对潜水保护作用的强弱，取决于包气带的岩性、厚度及其渗透性。</w:t>
      </w:r>
    </w:p>
    <w:p w14:paraId="0B0A0868">
      <w:pPr>
        <w:snapToGrid w:val="0"/>
        <w:spacing w:line="360" w:lineRule="auto"/>
        <w:ind w:firstLine="51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评价区处于昆扇的中下部，包气带岩性以粉土为主。评价区包气带土体颗粒细，但厚度薄，大部分地区包气带厚度小于5m，岩性为粉土，渗透性能较强（K＝0.43—12.83m/d）。</w:t>
      </w:r>
    </w:p>
    <w:p w14:paraId="29A5A005">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潜水与承压水的关系分析</w:t>
      </w:r>
    </w:p>
    <w:p w14:paraId="790F170A">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潜水与承压水水力联系的强弱，主要取决于潜水含水层与承压水含水层之间的弱透水层的隔水性能，以及潜水与承压水的水头差。</w:t>
      </w:r>
    </w:p>
    <w:p w14:paraId="440630AE">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（1）弱透水层的隔水性能</w:t>
      </w:r>
    </w:p>
    <w:p w14:paraId="6CB79C70">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弱透水层的隔水性能与其厚度、岩性和渗透性有关，弱透水层厚度大、颗粒细、渗透性弱，则弱透水层的隔水性能强，反之则弱。</w:t>
      </w:r>
    </w:p>
    <w:p w14:paraId="7B52E1D5">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评价区潜水含水层与承压水含水层之间的弱透水层，由中更新统上统（Qp2）湖积、湖积—洪积层组成，岩性为黑灰色、青灰色的淤泥质粘砂土或淤泥质砂粘土夹灰黑色粉细砂、粉砂，层理清晰。这套淤泥质地层透水性极差，渗透系数小于0.05m/d。</w:t>
      </w:r>
    </w:p>
    <w:p w14:paraId="7DEA40F4">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组地层（弱透水层）在厂区范围内一般厚60.83~77.49m，平均为65m。弱透水层厚度在区域上呈现规律性变化：从横向看，基本平衡。从纵向看，洪积扇上部（ZK11号孔）最薄，厚度50m；由洪积扇中部到洪积扇前缘，弱透水层逐渐增厚，到ZK20号孔位置该层厚度可达75m。</w:t>
      </w:r>
    </w:p>
    <w:p w14:paraId="2A1D4394">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该套地层构成本区潜水与承压水含水层之间相对稳定的弱透水层，呈现厚度大、颗粒细、渗透性弱的特征，具有极好的隔水性能。</w:t>
      </w:r>
    </w:p>
    <w:p w14:paraId="3B45CE95">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（2）潜水与承压水的水头差</w:t>
      </w:r>
    </w:p>
    <w:p w14:paraId="6296AD12">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区内潜水位高于承压水头，地下水由潜水向承压水越流。水头差形成的原因主要是过量开采承压水。</w:t>
      </w:r>
    </w:p>
    <w:p w14:paraId="5C0CFE15">
      <w:pPr>
        <w:pStyle w:val="58"/>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地下水水质监测分析成果，区内潜水已遭到不同程度的污染，但承压水并未受到污染（或局部轻污染）。说明潜水含水层与承压水含水层之间的弱透水层（淤泥质粘砂土或淤泥质砂粘土），由于其层位分布稳定、连续、厚度大、颗粒细、渗透性弱，具有很强的隔水性能和吸附能力，对保护承压水免遭污染起了重要作用。</w:t>
      </w:r>
    </w:p>
    <w:p w14:paraId="1679BB0C">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0000FF"/>
          <w:kern w:val="2"/>
          <w:sz w:val="24"/>
          <w:szCs w:val="22"/>
          <w:highlight w:val="none"/>
          <w:lang w:val="en-US" w:eastAsia="zh-CN" w:bidi="ar-SA"/>
        </w:rPr>
      </w:pPr>
      <w:r>
        <w:rPr>
          <w:rFonts w:hint="default" w:ascii="Times New Roman" w:hAnsi="Times New Roman" w:eastAsia="宋体" w:cs="Times New Roman"/>
          <w:b w:val="0"/>
          <w:color w:val="0000FF"/>
          <w:kern w:val="2"/>
          <w:sz w:val="24"/>
          <w:szCs w:val="22"/>
          <w:highlight w:val="none"/>
          <w:lang w:val="en-US" w:eastAsia="zh-CN" w:bidi="ar-SA"/>
        </w:rPr>
        <w:t>地下水环境影响预测</w:t>
      </w:r>
    </w:p>
    <w:p w14:paraId="1E6550E0">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0000FF"/>
          <w:kern w:val="2"/>
          <w:sz w:val="24"/>
          <w:szCs w:val="21"/>
          <w:highlight w:val="none"/>
          <w:lang w:val="en-US" w:eastAsia="zh-CN" w:bidi="ar-SA"/>
        </w:rPr>
      </w:pPr>
      <w:r>
        <w:rPr>
          <w:rFonts w:hint="default" w:ascii="Times New Roman" w:hAnsi="Times New Roman" w:eastAsia="宋体" w:cs="Times New Roman"/>
          <w:color w:val="0000FF"/>
          <w:kern w:val="2"/>
          <w:sz w:val="24"/>
          <w:szCs w:val="21"/>
          <w:highlight w:val="none"/>
          <w:lang w:val="en-US" w:eastAsia="zh-CN" w:bidi="ar-SA"/>
        </w:rPr>
        <w:t>预测范围</w:t>
      </w:r>
    </w:p>
    <w:p w14:paraId="7CA9D081">
      <w:pPr>
        <w:pStyle w:val="58"/>
        <w:bidi w:val="0"/>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本次预测范围与评价范围一致，</w:t>
      </w:r>
      <w:r>
        <w:rPr>
          <w:rFonts w:hint="default" w:ascii="Times New Roman" w:hAnsi="Times New Roman" w:eastAsia="宋体" w:cs="Times New Roman"/>
          <w:color w:val="0000FF"/>
          <w:kern w:val="2"/>
          <w:sz w:val="24"/>
          <w:szCs w:val="22"/>
          <w:highlight w:val="none"/>
          <w:lang w:val="en-US" w:eastAsia="zh-CN"/>
        </w:rPr>
        <w:t>评价范围为3.4km</w:t>
      </w:r>
      <w:r>
        <w:rPr>
          <w:rFonts w:hint="default" w:ascii="Times New Roman" w:hAnsi="Times New Roman" w:eastAsia="宋体" w:cs="Times New Roman"/>
          <w:color w:val="0000FF"/>
          <w:kern w:val="2"/>
          <w:sz w:val="24"/>
          <w:szCs w:val="22"/>
          <w:highlight w:val="none"/>
          <w:vertAlign w:val="superscript"/>
          <w:lang w:val="en-US" w:eastAsia="zh-CN"/>
        </w:rPr>
        <w:t>2</w:t>
      </w:r>
      <w:r>
        <w:rPr>
          <w:rFonts w:hint="default" w:ascii="Times New Roman" w:hAnsi="Times New Roman" w:eastAsia="宋体" w:cs="Times New Roman"/>
          <w:color w:val="0000FF"/>
          <w:kern w:val="2"/>
          <w:sz w:val="24"/>
          <w:szCs w:val="22"/>
          <w:highlight w:val="none"/>
          <w:vertAlign w:val="baseline"/>
          <w:lang w:val="en-US" w:eastAsia="zh-CN"/>
        </w:rPr>
        <w:t>。</w:t>
      </w:r>
    </w:p>
    <w:p w14:paraId="0AD2F7A9">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0000FF"/>
          <w:kern w:val="2"/>
          <w:sz w:val="24"/>
          <w:szCs w:val="21"/>
          <w:highlight w:val="none"/>
          <w:lang w:val="en-US" w:eastAsia="zh-CN" w:bidi="ar-SA"/>
        </w:rPr>
      </w:pPr>
      <w:r>
        <w:rPr>
          <w:rFonts w:hint="default" w:ascii="Times New Roman" w:hAnsi="Times New Roman" w:eastAsia="宋体" w:cs="Times New Roman"/>
          <w:color w:val="0000FF"/>
          <w:kern w:val="2"/>
          <w:sz w:val="24"/>
          <w:szCs w:val="21"/>
          <w:highlight w:val="none"/>
          <w:lang w:val="en-US" w:eastAsia="zh-CN" w:bidi="ar-SA"/>
        </w:rPr>
        <w:t>预测时段</w:t>
      </w:r>
    </w:p>
    <w:p w14:paraId="37EE6809">
      <w:pPr>
        <w:pStyle w:val="58"/>
        <w:bidi w:val="0"/>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地下水环境影响预测时段选取包括污染发生后100d、180d、365d、1000d。</w:t>
      </w:r>
    </w:p>
    <w:p w14:paraId="06DA4F3C">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0000FF"/>
          <w:kern w:val="2"/>
          <w:sz w:val="24"/>
          <w:szCs w:val="21"/>
          <w:highlight w:val="none"/>
          <w:lang w:val="en-US" w:eastAsia="zh-CN" w:bidi="ar-SA"/>
        </w:rPr>
      </w:pPr>
      <w:r>
        <w:rPr>
          <w:rFonts w:hint="default" w:ascii="Times New Roman" w:hAnsi="Times New Roman" w:eastAsia="宋体" w:cs="Times New Roman"/>
          <w:color w:val="0000FF"/>
          <w:kern w:val="2"/>
          <w:sz w:val="24"/>
          <w:szCs w:val="21"/>
          <w:highlight w:val="none"/>
          <w:lang w:val="en-US" w:eastAsia="zh-CN" w:bidi="ar-SA"/>
        </w:rPr>
        <w:t>情景设置</w:t>
      </w:r>
    </w:p>
    <w:p w14:paraId="5146D5CE">
      <w:pPr>
        <w:pStyle w:val="58"/>
        <w:bidi w:val="0"/>
        <w:rPr>
          <w:rFonts w:hint="default" w:ascii="Times New Roman" w:hAnsi="Times New Roman" w:eastAsia="宋体" w:cs="Times New Roman"/>
          <w:color w:val="0000FF"/>
          <w:sz w:val="24"/>
          <w:szCs w:val="24"/>
          <w:highlight w:val="none"/>
          <w:lang w:val="en-US" w:eastAsia="zh-CN"/>
        </w:rPr>
      </w:pPr>
      <w:r>
        <w:rPr>
          <w:rFonts w:hint="eastAsia" w:ascii="Times New Roman" w:hAnsi="Times New Roman" w:cs="Times New Roman"/>
          <w:color w:val="0000FF"/>
          <w:highlight w:val="none"/>
          <w:lang w:val="en-US" w:eastAsia="zh-CN"/>
        </w:rPr>
        <w:t>本项目危废暂存间废矿物油全部用密封桶承装</w:t>
      </w:r>
      <w:r>
        <w:rPr>
          <w:rFonts w:hint="default" w:ascii="Times New Roman" w:hAnsi="Times New Roman" w:cs="Times New Roman"/>
          <w:color w:val="0000FF"/>
          <w:sz w:val="24"/>
          <w:szCs w:val="24"/>
          <w:highlight w:val="none"/>
          <w:lang w:val="en-US" w:eastAsia="zh-CN"/>
        </w:rPr>
        <w:t>，</w:t>
      </w:r>
      <w:r>
        <w:rPr>
          <w:rFonts w:hint="eastAsia" w:ascii="Times New Roman" w:hAnsi="Times New Roman" w:cs="Times New Roman"/>
          <w:color w:val="0000FF"/>
          <w:sz w:val="24"/>
          <w:szCs w:val="24"/>
          <w:highlight w:val="none"/>
          <w:lang w:val="en-US" w:eastAsia="zh-CN"/>
        </w:rPr>
        <w:t>储存量较小，</w:t>
      </w:r>
      <w:r>
        <w:rPr>
          <w:rFonts w:hint="eastAsia" w:ascii="Times New Roman" w:hAnsi="Times New Roman" w:cs="Times New Roman"/>
          <w:color w:val="0000FF"/>
          <w:highlight w:val="none"/>
          <w:lang w:val="en-US" w:eastAsia="zh-CN"/>
        </w:rPr>
        <w:t>且危废间</w:t>
      </w:r>
      <w:r>
        <w:rPr>
          <w:rFonts w:hint="default" w:ascii="Times New Roman" w:hAnsi="Times New Roman" w:eastAsia="宋体" w:cs="Times New Roman"/>
          <w:color w:val="0000FF"/>
          <w:sz w:val="24"/>
          <w:szCs w:val="24"/>
          <w:highlight w:val="none"/>
          <w:lang w:val="en-US" w:eastAsia="zh-CN"/>
        </w:rPr>
        <w:t>在贮存区具有液体泄漏堵截设施。地面及裙脚、导流渠、集液池均按照</w:t>
      </w:r>
      <w:r>
        <w:rPr>
          <w:rFonts w:hint="default" w:ascii="Times New Roman" w:hAnsi="Times New Roman" w:cs="Times New Roman"/>
          <w:color w:val="0000FF"/>
          <w:sz w:val="24"/>
          <w:highlight w:val="none"/>
        </w:rPr>
        <w:t>《危险废物贮存污染控制标准》（GB18597-2023）</w:t>
      </w:r>
      <w:r>
        <w:rPr>
          <w:rFonts w:hint="default" w:ascii="Times New Roman" w:hAnsi="Times New Roman" w:eastAsia="宋体" w:cs="Times New Roman"/>
          <w:color w:val="0000FF"/>
          <w:sz w:val="24"/>
          <w:szCs w:val="24"/>
          <w:highlight w:val="none"/>
          <w:lang w:val="en-US" w:eastAsia="zh-CN"/>
        </w:rPr>
        <w:t>相关内容进行防渗。</w:t>
      </w:r>
      <w:r>
        <w:rPr>
          <w:rFonts w:hint="eastAsia" w:ascii="Times New Roman" w:hAnsi="Times New Roman" w:eastAsia="宋体" w:cs="Times New Roman"/>
          <w:color w:val="0000FF"/>
          <w:sz w:val="24"/>
          <w:szCs w:val="24"/>
          <w:highlight w:val="none"/>
          <w:lang w:val="en-US" w:eastAsia="zh-CN"/>
        </w:rPr>
        <w:t>废矿物油在厂区内发生泄漏的风险性较小。</w:t>
      </w:r>
    </w:p>
    <w:p w14:paraId="73F2F965">
      <w:pPr>
        <w:pStyle w:val="58"/>
        <w:bidi w:val="0"/>
        <w:rPr>
          <w:rFonts w:hint="default" w:ascii="Times New Roman" w:hAnsi="Times New Roman" w:cs="Times New Roman"/>
          <w:color w:val="0000FF"/>
          <w:highlight w:val="yellow"/>
          <w:lang w:val="en-US" w:eastAsia="zh-CN"/>
        </w:rPr>
      </w:pPr>
      <w:r>
        <w:rPr>
          <w:rFonts w:hint="eastAsia" w:ascii="Times New Roman" w:hAnsi="Times New Roman" w:eastAsia="宋体" w:cs="Times New Roman"/>
          <w:color w:val="0000FF"/>
          <w:lang w:val="en-US" w:eastAsia="zh-CN"/>
        </w:rPr>
        <w:t>因此，本次地下水环境影响预测选取LPG残液罐泄漏、罐区防渗层失效为预测情景，重点分析残液入渗土壤后对地下水造成的环境影响；需要结合项目实际及相关导则要求明确渗漏时长，根据《环境影响评价技术导则 地下水环境》（HJ 610-2016）中“重点防渗区需限定污染物穿透防渗层的时间、规范地下水影响预测工况”的要求，同时结合本项目LPG残液罐区为小型危险废物贮存设施、配套防渗体系符合《危险废物贮存污染控制标准》（GB 18597-2023）规定的人工防渗要求，本次LPG残液罐渗漏时间设定为48小时。该时长为小型危废罐区防渗失效场景下的常规预测时长，可客观反映污染物入渗迁移的关键过程，同时设定渗漏后及时完成泄漏排查与防渗层修复，避免污染物持续入渗扩散，保障预测工况的合理性与规范性。</w:t>
      </w:r>
    </w:p>
    <w:p w14:paraId="2F26F169">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0000FF"/>
          <w:kern w:val="2"/>
          <w:sz w:val="24"/>
          <w:szCs w:val="21"/>
          <w:highlight w:val="none"/>
          <w:lang w:val="en-US" w:eastAsia="zh-CN" w:bidi="ar-SA"/>
        </w:rPr>
      </w:pPr>
      <w:r>
        <w:rPr>
          <w:rFonts w:hint="default" w:ascii="Times New Roman" w:hAnsi="Times New Roman" w:eastAsia="宋体" w:cs="Times New Roman"/>
          <w:color w:val="0000FF"/>
          <w:kern w:val="2"/>
          <w:sz w:val="24"/>
          <w:szCs w:val="21"/>
          <w:highlight w:val="none"/>
          <w:lang w:val="en-US" w:eastAsia="zh-CN" w:bidi="ar-SA"/>
        </w:rPr>
        <w:t>预测因子</w:t>
      </w:r>
    </w:p>
    <w:p w14:paraId="0C87C352">
      <w:pPr>
        <w:pStyle w:val="58"/>
        <w:bidi w:val="0"/>
        <w:rPr>
          <w:rFonts w:hint="default" w:ascii="Times New Roman" w:hAnsi="Times New Roman" w:cs="Times New Roman"/>
          <w:color w:val="0000FF"/>
          <w:highlight w:val="none"/>
          <w:lang w:val="en-US" w:eastAsia="zh-CN"/>
        </w:rPr>
      </w:pPr>
      <w:r>
        <w:rPr>
          <w:rFonts w:hint="default" w:ascii="Times New Roman" w:hAnsi="Times New Roman" w:cs="Times New Roman"/>
          <w:color w:val="0000FF"/>
          <w:highlight w:val="none"/>
          <w:lang w:val="en-US" w:eastAsia="zh-CN"/>
        </w:rPr>
        <w:t>选取石油类作为预测因子，石油类执行《地表水环境质量标准》（GB3838-2002）Ⅲ类标准（0.05mg/L）。</w:t>
      </w:r>
    </w:p>
    <w:p w14:paraId="6F3C85E8">
      <w:pPr>
        <w:keepNext w:val="0"/>
        <w:keepLines w:val="0"/>
        <w:pageBreakBefore w:val="0"/>
        <w:widowControl/>
        <w:numPr>
          <w:ilvl w:val="3"/>
          <w:numId w:val="2"/>
        </w:numPr>
        <w:tabs>
          <w:tab w:val="clear" w:pos="1374"/>
        </w:tabs>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0000FF"/>
          <w:kern w:val="2"/>
          <w:sz w:val="24"/>
          <w:szCs w:val="21"/>
          <w:highlight w:val="none"/>
          <w:lang w:val="en-US" w:eastAsia="zh-CN" w:bidi="ar-SA"/>
        </w:rPr>
      </w:pPr>
      <w:r>
        <w:rPr>
          <w:rFonts w:hint="default" w:ascii="Times New Roman" w:hAnsi="Times New Roman" w:eastAsia="宋体" w:cs="Times New Roman"/>
          <w:color w:val="0000FF"/>
          <w:kern w:val="2"/>
          <w:sz w:val="24"/>
          <w:szCs w:val="21"/>
          <w:highlight w:val="none"/>
          <w:lang w:val="en-US" w:eastAsia="zh-CN" w:bidi="ar-SA"/>
        </w:rPr>
        <w:t>预测源强</w:t>
      </w:r>
    </w:p>
    <w:p w14:paraId="5BC8FA9E">
      <w:pPr>
        <w:pStyle w:val="58"/>
        <w:bidi w:val="0"/>
        <w:rPr>
          <w:rFonts w:hint="default" w:ascii="Times New Roman" w:hAnsi="Times New Roman" w:cs="Times New Roman"/>
          <w:color w:val="0000FF"/>
          <w:highlight w:val="yellow"/>
          <w:lang w:val="en-US" w:eastAsia="zh-CN"/>
        </w:rPr>
      </w:pPr>
      <w:r>
        <w:rPr>
          <w:rFonts w:hint="default" w:ascii="Times New Roman" w:hAnsi="Times New Roman" w:cs="Times New Roman"/>
          <w:color w:val="0000FF"/>
          <w:highlight w:val="none"/>
          <w:lang w:val="en-US" w:eastAsia="zh-CN"/>
        </w:rPr>
        <w:t>根据分析，LPG残液主要</w:t>
      </w:r>
      <w:r>
        <w:rPr>
          <w:rFonts w:hint="default" w:ascii="Times New Roman" w:hAnsi="Times New Roman" w:cs="Times New Roman"/>
          <w:color w:val="0000FF"/>
          <w:lang w:val="en-US" w:eastAsia="zh-CN"/>
        </w:rPr>
        <w:t>为</w:t>
      </w:r>
      <w:r>
        <w:rPr>
          <w:rFonts w:hint="default" w:ascii="Times New Roman" w:hAnsi="Times New Roman" w:cs="Times New Roman"/>
          <w:b w:val="0"/>
          <w:bCs/>
          <w:color w:val="0000FF"/>
          <w:highlight w:val="none"/>
          <w:lang w:val="en-US" w:eastAsia="zh-CN"/>
        </w:rPr>
        <w:t>戊烷、硫化物和水共的混合物，LPG残液收集后以密闭储罐存放于危废暂存间内，根据相关资料，正常条件下LPG残液的典型密度值为0.55~0.75g/mL（全部以石油类考虑），LPG残液最大贮存量为</w:t>
      </w:r>
      <w:r>
        <w:rPr>
          <w:rFonts w:hint="default" w:ascii="Times New Roman" w:hAnsi="Times New Roman" w:cs="Times New Roman"/>
          <w:color w:val="0000FF"/>
          <w:lang w:val="en-US" w:eastAsia="zh-CN"/>
        </w:rPr>
        <w:t>0.233</w:t>
      </w:r>
      <w:r>
        <w:rPr>
          <w:rFonts w:hint="default" w:ascii="Times New Roman" w:hAnsi="Times New Roman" w:eastAsia="宋体" w:cs="Times New Roman"/>
          <w:color w:val="0000FF"/>
          <w:lang w:val="en-US" w:eastAsia="zh-CN"/>
        </w:rPr>
        <w:t>t</w:t>
      </w:r>
      <w:r>
        <w:rPr>
          <w:rFonts w:hint="default" w:ascii="Times New Roman" w:hAnsi="Times New Roman" w:cs="Times New Roman"/>
          <w:color w:val="0000FF"/>
          <w:lang w:val="en-US" w:eastAsia="zh-CN"/>
        </w:rPr>
        <w:t>（1个月产生量）。</w:t>
      </w:r>
      <w:r>
        <w:rPr>
          <w:rFonts w:hint="default" w:ascii="Times New Roman" w:hAnsi="Times New Roman" w:eastAsia="宋体" w:cs="Times New Roman"/>
          <w:color w:val="0000FF"/>
          <w:sz w:val="24"/>
          <w:szCs w:val="24"/>
        </w:rPr>
        <w:t>为遵循环境影响评价保守性原则，最大化模拟最不利工况下石油类污染物潜在排放水平，规避参数取值偏低导致的核算偏差与环境风险漏评问题，同时该上限值为实测区间内实际可达到的浓度水平，取值兼具合理性与严谨性，本次评价中石油类浓度预测取上限值</w:t>
      </w:r>
      <w:r>
        <w:rPr>
          <w:rStyle w:val="36"/>
          <w:rFonts w:hint="default" w:ascii="Times New Roman" w:hAnsi="Times New Roman" w:eastAsia="宋体" w:cs="Times New Roman"/>
          <w:b w:val="0"/>
          <w:bCs w:val="0"/>
          <w:color w:val="0000FF"/>
          <w:sz w:val="24"/>
          <w:szCs w:val="24"/>
          <w:lang w:val="en-US" w:eastAsia="zh-CN"/>
        </w:rPr>
        <w:t>75</w:t>
      </w:r>
      <w:r>
        <w:rPr>
          <w:rStyle w:val="36"/>
          <w:rFonts w:hint="default" w:ascii="Times New Roman" w:hAnsi="Times New Roman" w:eastAsia="宋体" w:cs="Times New Roman"/>
          <w:b w:val="0"/>
          <w:bCs w:val="0"/>
          <w:color w:val="0000FF"/>
          <w:sz w:val="24"/>
          <w:szCs w:val="24"/>
        </w:rPr>
        <w:t>0000mg/L</w:t>
      </w:r>
      <w:r>
        <w:rPr>
          <w:rFonts w:hint="default" w:ascii="Times New Roman" w:hAnsi="Times New Roman" w:eastAsia="宋体" w:cs="Times New Roman"/>
          <w:color w:val="0000FF"/>
          <w:sz w:val="24"/>
          <w:szCs w:val="24"/>
        </w:rPr>
        <w:t>进行</w:t>
      </w:r>
      <w:r>
        <w:rPr>
          <w:rFonts w:hint="default" w:ascii="Times New Roman" w:hAnsi="Times New Roman" w:eastAsia="宋体" w:cs="Times New Roman"/>
          <w:color w:val="0000FF"/>
          <w:sz w:val="24"/>
          <w:szCs w:val="24"/>
          <w:lang w:val="en-US" w:eastAsia="zh-CN"/>
        </w:rPr>
        <w:t>预测</w:t>
      </w:r>
      <w:r>
        <w:rPr>
          <w:rFonts w:hint="default" w:ascii="Times New Roman" w:hAnsi="Times New Roman" w:cs="Times New Roman"/>
          <w:color w:val="0000FF"/>
          <w:lang w:val="en-US" w:eastAsia="zh-CN"/>
        </w:rPr>
        <w:t>。</w:t>
      </w:r>
    </w:p>
    <w:p w14:paraId="1C02FD54">
      <w:pPr>
        <w:keepNext w:val="0"/>
        <w:keepLines w:val="0"/>
        <w:pageBreakBefore w:val="0"/>
        <w:widowControl/>
        <w:numPr>
          <w:ilvl w:val="3"/>
          <w:numId w:val="2"/>
        </w:numPr>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0000FF"/>
          <w:kern w:val="2"/>
          <w:sz w:val="24"/>
          <w:szCs w:val="21"/>
          <w:lang w:val="en-US" w:eastAsia="zh-CN" w:bidi="ar-SA"/>
        </w:rPr>
      </w:pPr>
      <w:bookmarkStart w:id="26" w:name="_Toc38812897"/>
      <w:r>
        <w:rPr>
          <w:rFonts w:hint="default" w:ascii="Times New Roman" w:hAnsi="Times New Roman" w:eastAsia="宋体" w:cs="Times New Roman"/>
          <w:color w:val="0000FF"/>
          <w:kern w:val="2"/>
          <w:sz w:val="24"/>
          <w:szCs w:val="21"/>
          <w:lang w:val="en-US" w:eastAsia="zh-CN" w:bidi="ar-SA"/>
        </w:rPr>
        <w:t>预测方法</w:t>
      </w:r>
    </w:p>
    <w:p w14:paraId="7CB3C653">
      <w:pPr>
        <w:keepNext w:val="0"/>
        <w:keepLines w:val="0"/>
        <w:pageBreakBefore w:val="0"/>
        <w:widowControl w:val="0"/>
        <w:suppressAutoHyphens/>
        <w:wordWrap/>
        <w:topLinePunct w:val="0"/>
        <w:autoSpaceDE/>
        <w:autoSpaceDN/>
        <w:bidi w:val="0"/>
        <w:snapToGrid w:val="0"/>
        <w:spacing w:line="360" w:lineRule="auto"/>
        <w:ind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（1）水文地质概念模型</w:t>
      </w:r>
      <w:bookmarkEnd w:id="26"/>
    </w:p>
    <w:p w14:paraId="543378DC">
      <w:pPr>
        <w:keepNext w:val="0"/>
        <w:keepLines w:val="0"/>
        <w:pageBreakBefore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水文地质概念模型是对评价区水文地质条件的简化，使得水文地质条件尽可能简单明了，但是要准确充分地反映地下水系统的主要功能和特征。水文地质概念模型是对地下水系统的科学概化，其核心为边界条件、内部结构、地下水流态三大要素，根据研究区的岩性构造、水动力场、水化学场的分析，可确定概念模型的要素。</w:t>
      </w:r>
    </w:p>
    <w:p w14:paraId="3A005BC6">
      <w:pPr>
        <w:keepNext w:val="0"/>
        <w:keepLines w:val="0"/>
        <w:pageBreakBefore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1）模型范围的确定</w:t>
      </w:r>
    </w:p>
    <w:p w14:paraId="21BAB705">
      <w:pPr>
        <w:keepNext w:val="0"/>
        <w:keepLines w:val="0"/>
        <w:pageBreakBefore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 xml:space="preserve">本次数值模拟范围与评价范围一致。 </w:t>
      </w:r>
    </w:p>
    <w:p w14:paraId="208B26B7">
      <w:pPr>
        <w:keepNext w:val="0"/>
        <w:keepLines w:val="0"/>
        <w:pageBreakBefore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2）边界条件的确定与概化</w:t>
      </w:r>
    </w:p>
    <w:p w14:paraId="4F45D300">
      <w:pPr>
        <w:keepNext w:val="0"/>
        <w:keepLines w:val="0"/>
        <w:pageBreakBefore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①侧向边界</w:t>
      </w:r>
    </w:p>
    <w:p w14:paraId="0FD0BA69">
      <w:pPr>
        <w:keepNext w:val="0"/>
        <w:keepLines w:val="0"/>
        <w:pageBreakBefore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模型的</w:t>
      </w:r>
      <w:r>
        <w:rPr>
          <w:rFonts w:hint="eastAsia" w:ascii="Times New Roman" w:hAnsi="Times New Roman" w:eastAsia="宋体" w:cs="Times New Roman"/>
          <w:color w:val="0000FF"/>
          <w:spacing w:val="-6"/>
          <w:sz w:val="24"/>
          <w:szCs w:val="24"/>
          <w:lang w:val="en-US" w:eastAsia="zh-CN"/>
        </w:rPr>
        <w:t>西北</w:t>
      </w:r>
      <w:r>
        <w:rPr>
          <w:rFonts w:hint="default" w:ascii="Times New Roman" w:hAnsi="Times New Roman" w:eastAsia="宋体" w:cs="Times New Roman"/>
          <w:color w:val="0000FF"/>
          <w:spacing w:val="-6"/>
          <w:sz w:val="24"/>
          <w:szCs w:val="24"/>
        </w:rPr>
        <w:t>侧和</w:t>
      </w:r>
      <w:r>
        <w:rPr>
          <w:rFonts w:hint="eastAsia" w:ascii="Times New Roman" w:hAnsi="Times New Roman" w:eastAsia="宋体" w:cs="Times New Roman"/>
          <w:color w:val="0000FF"/>
          <w:spacing w:val="-6"/>
          <w:sz w:val="24"/>
          <w:szCs w:val="24"/>
          <w:lang w:val="en-US" w:eastAsia="zh-CN"/>
        </w:rPr>
        <w:t>东</w:t>
      </w:r>
      <w:r>
        <w:rPr>
          <w:rFonts w:hint="default" w:ascii="Times New Roman" w:hAnsi="Times New Roman" w:eastAsia="宋体" w:cs="Times New Roman"/>
          <w:color w:val="0000FF"/>
          <w:spacing w:val="-6"/>
          <w:sz w:val="24"/>
          <w:szCs w:val="24"/>
        </w:rPr>
        <w:t>南侧边界垂直于地下水水位等值线，概化为零通量边界。</w:t>
      </w:r>
      <w:r>
        <w:rPr>
          <w:rFonts w:hint="eastAsia" w:ascii="Times New Roman" w:hAnsi="Times New Roman" w:eastAsia="宋体" w:cs="Times New Roman"/>
          <w:color w:val="0000FF"/>
          <w:spacing w:val="-6"/>
          <w:sz w:val="24"/>
          <w:szCs w:val="24"/>
          <w:lang w:val="en-US" w:eastAsia="zh-CN"/>
        </w:rPr>
        <w:t>东</w:t>
      </w:r>
      <w:r>
        <w:rPr>
          <w:rFonts w:hint="default" w:ascii="Times New Roman" w:hAnsi="Times New Roman" w:eastAsia="宋体" w:cs="Times New Roman"/>
          <w:color w:val="0000FF"/>
          <w:spacing w:val="-6"/>
          <w:sz w:val="24"/>
          <w:szCs w:val="24"/>
        </w:rPr>
        <w:t>北侧和</w:t>
      </w:r>
      <w:r>
        <w:rPr>
          <w:rFonts w:hint="eastAsia" w:ascii="Times New Roman" w:hAnsi="Times New Roman" w:eastAsia="宋体" w:cs="Times New Roman"/>
          <w:color w:val="0000FF"/>
          <w:spacing w:val="-6"/>
          <w:sz w:val="24"/>
          <w:szCs w:val="24"/>
          <w:lang w:val="en-US" w:eastAsia="zh-CN"/>
        </w:rPr>
        <w:t>西</w:t>
      </w:r>
      <w:r>
        <w:rPr>
          <w:rFonts w:hint="default" w:ascii="Times New Roman" w:hAnsi="Times New Roman" w:eastAsia="宋体" w:cs="Times New Roman"/>
          <w:color w:val="0000FF"/>
          <w:spacing w:val="-6"/>
          <w:sz w:val="24"/>
          <w:szCs w:val="24"/>
        </w:rPr>
        <w:t>南侧平行等水位线，概化为定水头边界</w:t>
      </w:r>
      <w:r>
        <w:rPr>
          <w:rFonts w:hint="eastAsia" w:ascii="Times New Roman" w:hAnsi="Times New Roman" w:eastAsia="宋体" w:cs="Times New Roman"/>
          <w:color w:val="0000FF"/>
          <w:spacing w:val="-6"/>
          <w:sz w:val="24"/>
          <w:szCs w:val="24"/>
          <w:lang w:eastAsia="zh-CN"/>
        </w:rPr>
        <w:t>，</w:t>
      </w:r>
      <w:r>
        <w:rPr>
          <w:rFonts w:hint="default" w:ascii="Times New Roman" w:hAnsi="Times New Roman" w:eastAsia="宋体" w:cs="Times New Roman"/>
          <w:color w:val="0000FF"/>
          <w:spacing w:val="-6"/>
          <w:sz w:val="24"/>
          <w:szCs w:val="24"/>
        </w:rPr>
        <w:t>为流入和流出边界。</w:t>
      </w:r>
    </w:p>
    <w:p w14:paraId="4084ACBB">
      <w:pPr>
        <w:keepNext w:val="0"/>
        <w:keepLines w:val="0"/>
        <w:pageBreakBefore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②垂向边界</w:t>
      </w:r>
    </w:p>
    <w:p w14:paraId="0852C354">
      <w:pPr>
        <w:keepNext w:val="0"/>
        <w:keepLines w:val="0"/>
        <w:pageBreakBefore w:val="0"/>
        <w:widowControl w:val="0"/>
        <w:suppressAutoHyphens/>
        <w:wordWrap/>
        <w:topLinePunct w:val="0"/>
        <w:autoSpaceDE/>
        <w:autoSpaceDN/>
        <w:bidi w:val="0"/>
        <w:snapToGrid w:val="0"/>
        <w:spacing w:line="360" w:lineRule="auto"/>
        <w:ind w:leftChars="0" w:right="0" w:firstLine="456" w:firstLineChars="200"/>
        <w:jc w:val="left"/>
        <w:textAlignment w:val="center"/>
        <w:rPr>
          <w:rFonts w:hint="default" w:ascii="Times New Roman" w:hAnsi="Times New Roman" w:eastAsia="宋体" w:cs="Times New Roman"/>
          <w:color w:val="0000FF"/>
          <w:spacing w:val="-6"/>
          <w:kern w:val="0"/>
          <w:sz w:val="24"/>
          <w:szCs w:val="24"/>
          <w:lang w:val="en-US" w:eastAsia="zh-CN" w:bidi="ar-SA"/>
        </w:rPr>
      </w:pPr>
      <w:r>
        <w:rPr>
          <w:rFonts w:hint="default" w:ascii="Times New Roman" w:hAnsi="Times New Roman" w:eastAsia="宋体" w:cs="Times New Roman"/>
          <w:color w:val="0000FF"/>
          <w:spacing w:val="-6"/>
          <w:kern w:val="0"/>
          <w:sz w:val="24"/>
          <w:szCs w:val="24"/>
          <w:lang w:val="en-US" w:eastAsia="zh-CN" w:bidi="ar-SA"/>
        </w:rPr>
        <w:t>垂向边界：在垂向上，潜水含水层自由水面作为模型上边界，通过该边界潜水与系统外发生垂向上的水量交换，如大气降水入渗补给、蒸发排泄。</w:t>
      </w:r>
      <w:r>
        <w:rPr>
          <w:rFonts w:hint="default" w:ascii="Times New Roman" w:hAnsi="Times New Roman" w:eastAsia="宋体" w:cs="Times New Roman"/>
          <w:color w:val="0000FF"/>
          <w:kern w:val="0"/>
          <w:sz w:val="24"/>
          <w:szCs w:val="24"/>
          <w:lang w:val="en-US" w:eastAsia="zh-CN" w:bidi="ar-SA"/>
        </w:rPr>
        <w:t>根据</w:t>
      </w:r>
      <w:r>
        <w:rPr>
          <w:rFonts w:hint="eastAsia" w:ascii="Times New Roman" w:hAnsi="Times New Roman" w:eastAsia="宋体" w:cs="Times New Roman"/>
          <w:color w:val="0000FF"/>
          <w:kern w:val="0"/>
          <w:sz w:val="24"/>
          <w:szCs w:val="24"/>
          <w:lang w:val="en-US" w:eastAsia="zh-CN" w:bidi="ar-SA"/>
        </w:rPr>
        <w:t>区域</w:t>
      </w:r>
      <w:r>
        <w:rPr>
          <w:rFonts w:hint="default" w:ascii="Times New Roman" w:hAnsi="Times New Roman" w:eastAsia="宋体" w:cs="Times New Roman"/>
          <w:color w:val="0000FF"/>
          <w:kern w:val="0"/>
          <w:sz w:val="24"/>
          <w:szCs w:val="24"/>
          <w:lang w:val="en-US" w:eastAsia="zh-CN" w:bidi="ar-SA"/>
        </w:rPr>
        <w:t>资料显示，承压含水层顶板</w:t>
      </w:r>
      <w:r>
        <w:rPr>
          <w:rFonts w:hint="eastAsia" w:ascii="Times New Roman" w:hAnsi="Times New Roman" w:eastAsia="宋体" w:cs="Times New Roman"/>
          <w:color w:val="0000FF"/>
          <w:kern w:val="0"/>
          <w:sz w:val="24"/>
          <w:szCs w:val="24"/>
          <w:lang w:val="en-US" w:eastAsia="zh-CN" w:bidi="ar-SA"/>
        </w:rPr>
        <w:t>岩性</w:t>
      </w:r>
      <w:r>
        <w:rPr>
          <w:rFonts w:hint="default" w:ascii="Times New Roman" w:hAnsi="Times New Roman" w:eastAsia="宋体" w:cs="Times New Roman"/>
          <w:color w:val="0000FF"/>
          <w:kern w:val="0"/>
          <w:sz w:val="24"/>
          <w:szCs w:val="24"/>
          <w:lang w:val="en-US" w:eastAsia="zh-CN" w:bidi="ar-SA"/>
        </w:rPr>
        <w:t>为粉质粘土隔水层，厚度10-20m不等，承压水与潜水</w:t>
      </w:r>
      <w:r>
        <w:rPr>
          <w:rFonts w:hint="default" w:ascii="Times New Roman" w:hAnsi="Times New Roman" w:eastAsia="宋体" w:cs="Times New Roman"/>
          <w:color w:val="0000FF"/>
          <w:spacing w:val="-6"/>
          <w:kern w:val="0"/>
          <w:sz w:val="24"/>
          <w:szCs w:val="24"/>
          <w:lang w:val="en-US" w:eastAsia="zh-CN" w:bidi="ar-SA"/>
        </w:rPr>
        <w:t>无水力联系</w:t>
      </w:r>
      <w:r>
        <w:rPr>
          <w:rFonts w:hint="default" w:ascii="Times New Roman" w:hAnsi="Times New Roman" w:eastAsia="宋体" w:cs="Times New Roman"/>
          <w:color w:val="0000FF"/>
          <w:kern w:val="0"/>
          <w:sz w:val="24"/>
          <w:szCs w:val="24"/>
          <w:lang w:val="en-US" w:eastAsia="zh-CN" w:bidi="ar-SA"/>
        </w:rPr>
        <w:t>。</w:t>
      </w:r>
      <w:r>
        <w:rPr>
          <w:rFonts w:hint="default" w:ascii="Times New Roman" w:hAnsi="Times New Roman" w:eastAsia="宋体" w:cs="Times New Roman"/>
          <w:color w:val="0000FF"/>
          <w:spacing w:val="-6"/>
          <w:kern w:val="0"/>
          <w:sz w:val="24"/>
          <w:szCs w:val="24"/>
          <w:lang w:val="en-US" w:eastAsia="zh-CN" w:bidi="ar-SA"/>
        </w:rPr>
        <w:t>将</w:t>
      </w:r>
      <w:r>
        <w:rPr>
          <w:rFonts w:hint="default" w:ascii="Times New Roman" w:hAnsi="Times New Roman" w:eastAsia="宋体" w:cs="Times New Roman"/>
          <w:color w:val="0000FF"/>
          <w:kern w:val="0"/>
          <w:sz w:val="24"/>
          <w:szCs w:val="24"/>
          <w:lang w:val="en-US" w:eastAsia="zh-CN" w:bidi="ar-SA"/>
        </w:rPr>
        <w:t>粉质粘土</w:t>
      </w:r>
      <w:r>
        <w:rPr>
          <w:rFonts w:hint="default" w:ascii="Times New Roman" w:hAnsi="Times New Roman" w:eastAsia="宋体" w:cs="Times New Roman"/>
          <w:color w:val="0000FF"/>
          <w:spacing w:val="-6"/>
          <w:kern w:val="0"/>
          <w:sz w:val="24"/>
          <w:szCs w:val="24"/>
          <w:lang w:val="en-US" w:eastAsia="zh-CN" w:bidi="ar-SA"/>
        </w:rPr>
        <w:t>概化为隔水底板。</w:t>
      </w:r>
    </w:p>
    <w:p w14:paraId="6155BE09">
      <w:pPr>
        <w:keepNext w:val="0"/>
        <w:keepLines w:val="0"/>
        <w:pageBreakBefore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2）含水层结构</w:t>
      </w:r>
    </w:p>
    <w:p w14:paraId="24AD9C4D">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根据地下水开发利用现状资料可知，评价区内的第一含水层为潜水层，厂区</w:t>
      </w:r>
      <w:r>
        <w:rPr>
          <w:rFonts w:hint="eastAsia" w:ascii="Times New Roman" w:hAnsi="Times New Roman" w:eastAsia="宋体" w:cs="Times New Roman"/>
          <w:color w:val="0000FF"/>
          <w:spacing w:val="-6"/>
          <w:sz w:val="24"/>
          <w:szCs w:val="24"/>
          <w:lang w:val="en-US" w:eastAsia="zh-CN"/>
        </w:rPr>
        <w:t>发生涉水环节的污染</w:t>
      </w:r>
      <w:r>
        <w:rPr>
          <w:rFonts w:hint="default" w:ascii="Times New Roman" w:hAnsi="Times New Roman" w:eastAsia="宋体" w:cs="Times New Roman"/>
          <w:color w:val="0000FF"/>
          <w:spacing w:val="-6"/>
          <w:sz w:val="24"/>
          <w:szCs w:val="24"/>
        </w:rPr>
        <w:t>直接影响的含水层即为潜水含水层，浅层潜水与承压含水层间有厚度较大且展布稳定的隔水层阻隔，所以浅层潜水与承压水间并无水力联系。在保证潜水含水层不受影响的前提下，承压水含水层正常情况下不受影响。</w:t>
      </w:r>
    </w:p>
    <w:p w14:paraId="3FF9AB92">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 xml:space="preserve">根据地下水污染特征和当地的水文地质条件，本次数值模拟将模型概化为非均质各向异性、单层结构的潜水含水层，即第四系松散岩类孔隙潜水含水层。 </w:t>
      </w:r>
    </w:p>
    <w:p w14:paraId="6B0D77E0">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3）水力特征概化</w:t>
      </w:r>
    </w:p>
    <w:p w14:paraId="393A2B66">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模拟区内孔隙潜水流动符合达西定律，遵守能量守恒定律和质量守恒定律。区内地下水动态随着降水量、开采量、蒸发量等随季节变化而变化；但由于本项目关注的主要地下水环境问题是建设项目对地下水水质的影响，项目对地下水水位和水量影响甚微；且根据对区内地下水流场调查可知，区内地下水流场形状随季节变化不明显，水位的变化只表现为整体抬升或整体下降，地下水年内动态变化过程中水力梯度不会发生较大变化，因此，在模拟过程中适当简化，将地下水流态概化为稳定流。</w:t>
      </w:r>
    </w:p>
    <w:p w14:paraId="7989108F">
      <w:pPr>
        <w:keepNext w:val="0"/>
        <w:keepLines w:val="0"/>
        <w:pageBreakBefore w:val="0"/>
        <w:widowControl w:val="0"/>
        <w:suppressAutoHyphens/>
        <w:wordWrap/>
        <w:topLinePunct w:val="0"/>
        <w:autoSpaceDE/>
        <w:autoSpaceDN/>
        <w:bidi w:val="0"/>
        <w:snapToGrid w:val="0"/>
        <w:spacing w:line="360" w:lineRule="auto"/>
        <w:ind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bookmarkStart w:id="27" w:name="_Toc38812898"/>
      <w:bookmarkStart w:id="28" w:name="_Toc533542326"/>
      <w:r>
        <w:rPr>
          <w:rFonts w:hint="default" w:ascii="Times New Roman" w:hAnsi="Times New Roman" w:eastAsia="宋体" w:cs="Times New Roman"/>
          <w:color w:val="0000FF"/>
          <w:kern w:val="0"/>
          <w:sz w:val="24"/>
          <w:szCs w:val="24"/>
          <w:lang w:val="en-US" w:eastAsia="zh-CN" w:bidi="ar-SA"/>
        </w:rPr>
        <w:t>（2）数学模型</w:t>
      </w:r>
      <w:bookmarkEnd w:id="27"/>
      <w:bookmarkEnd w:id="28"/>
    </w:p>
    <w:p w14:paraId="7DCC067F">
      <w:pPr>
        <w:keepNext w:val="0"/>
        <w:keepLines w:val="0"/>
        <w:pageBreakBefore w:val="0"/>
        <w:wordWrap/>
        <w:topLinePunct w:val="0"/>
        <w:autoSpaceDE/>
        <w:autoSpaceDN/>
        <w:bidi w:val="0"/>
        <w:adjustRightInd w:val="0"/>
        <w:snapToGrid w:val="0"/>
        <w:spacing w:line="360" w:lineRule="auto"/>
        <w:ind w:leftChars="0" w:right="0" w:firstLine="480" w:firstLineChars="200"/>
        <w:textAlignment w:val="baseline"/>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1）地下水水流数学模型</w:t>
      </w:r>
    </w:p>
    <w:p w14:paraId="1DE53963">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根据本次项目对地下水动态的掌握，地下水系统的内部结构、外部环境、边界条件、水文地质参数等进行分析研究，将本评价区的第四系松散岩类孔隙水含水层地下水流概化为：非均质各向异性、二维稳定的地下水流系统。</w:t>
      </w:r>
    </w:p>
    <w:p w14:paraId="0673776B">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可用如下偏微分方程的定解问题来表述：</w:t>
      </w:r>
    </w:p>
    <w:p w14:paraId="289A3402">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center"/>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drawing>
          <wp:anchor distT="0" distB="0" distL="114300" distR="114300" simplePos="0" relativeHeight="251673600" behindDoc="0" locked="0" layoutInCell="1" allowOverlap="1">
            <wp:simplePos x="0" y="0"/>
            <wp:positionH relativeFrom="column">
              <wp:posOffset>355600</wp:posOffset>
            </wp:positionH>
            <wp:positionV relativeFrom="paragraph">
              <wp:posOffset>4445</wp:posOffset>
            </wp:positionV>
            <wp:extent cx="4605655" cy="1498600"/>
            <wp:effectExtent l="0" t="0" r="4445" b="6350"/>
            <wp:wrapNone/>
            <wp:docPr id="8"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99"/>
                    <pic:cNvPicPr>
                      <a:picLocks noChangeAspect="1"/>
                    </pic:cNvPicPr>
                  </pic:nvPicPr>
                  <pic:blipFill>
                    <a:blip r:embed="rId69"/>
                    <a:stretch>
                      <a:fillRect/>
                    </a:stretch>
                  </pic:blipFill>
                  <pic:spPr>
                    <a:xfrm>
                      <a:off x="0" y="0"/>
                      <a:ext cx="4605655" cy="1498600"/>
                    </a:xfrm>
                    <a:prstGeom prst="rect">
                      <a:avLst/>
                    </a:prstGeom>
                    <a:noFill/>
                    <a:ln>
                      <a:noFill/>
                    </a:ln>
                  </pic:spPr>
                </pic:pic>
              </a:graphicData>
            </a:graphic>
          </wp:anchor>
        </w:drawing>
      </w:r>
    </w:p>
    <w:p w14:paraId="50E937FD">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center"/>
        <w:textAlignment w:val="center"/>
        <w:rPr>
          <w:rFonts w:hint="default" w:ascii="Times New Roman" w:hAnsi="Times New Roman" w:eastAsia="宋体" w:cs="Times New Roman"/>
          <w:color w:val="0000FF"/>
          <w:kern w:val="0"/>
          <w:sz w:val="24"/>
          <w:szCs w:val="24"/>
          <w:lang w:val="en-US" w:eastAsia="zh-CN" w:bidi="ar-SA"/>
        </w:rPr>
      </w:pPr>
    </w:p>
    <w:p w14:paraId="4A3C3298">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center"/>
        <w:textAlignment w:val="center"/>
        <w:rPr>
          <w:rFonts w:hint="default" w:ascii="Times New Roman" w:hAnsi="Times New Roman" w:eastAsia="宋体" w:cs="Times New Roman"/>
          <w:color w:val="0000FF"/>
          <w:kern w:val="0"/>
          <w:sz w:val="24"/>
          <w:szCs w:val="24"/>
          <w:lang w:val="en-US" w:eastAsia="zh-CN" w:bidi="ar-SA"/>
        </w:rPr>
      </w:pPr>
    </w:p>
    <w:p w14:paraId="59440939">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center"/>
        <w:textAlignment w:val="center"/>
        <w:rPr>
          <w:rFonts w:hint="default" w:ascii="Times New Roman" w:hAnsi="Times New Roman" w:eastAsia="宋体" w:cs="Times New Roman"/>
          <w:color w:val="0000FF"/>
          <w:kern w:val="0"/>
          <w:sz w:val="24"/>
          <w:szCs w:val="24"/>
          <w:lang w:val="en-US" w:eastAsia="zh-CN" w:bidi="ar-SA"/>
        </w:rPr>
      </w:pPr>
    </w:p>
    <w:p w14:paraId="609C9A88">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center"/>
        <w:textAlignment w:val="center"/>
        <w:rPr>
          <w:rFonts w:hint="default" w:ascii="Times New Roman" w:hAnsi="Times New Roman" w:eastAsia="宋体" w:cs="Times New Roman"/>
          <w:color w:val="0000FF"/>
          <w:kern w:val="0"/>
          <w:sz w:val="24"/>
          <w:szCs w:val="24"/>
          <w:lang w:val="en-US" w:eastAsia="zh-CN" w:bidi="ar-SA"/>
        </w:rPr>
      </w:pPr>
    </w:p>
    <w:p w14:paraId="67D14DA5">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center"/>
        <w:textAlignment w:val="center"/>
        <w:rPr>
          <w:rFonts w:hint="default" w:ascii="Times New Roman" w:hAnsi="Times New Roman" w:eastAsia="宋体" w:cs="Times New Roman"/>
          <w:color w:val="0000FF"/>
          <w:kern w:val="0"/>
          <w:sz w:val="24"/>
          <w:szCs w:val="24"/>
          <w:lang w:val="en-US" w:eastAsia="zh-CN" w:bidi="ar-SA"/>
        </w:rPr>
      </w:pPr>
    </w:p>
    <w:p w14:paraId="257FA1E6">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式中：Ω－渗流区域；</w:t>
      </w:r>
    </w:p>
    <w:p w14:paraId="3F20BB0A">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h－含水体的水位标高（m）；</w:t>
      </w:r>
    </w:p>
    <w:p w14:paraId="63FEBCA9">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 xml:space="preserve">K为渗透系数（m/d）； </w:t>
      </w:r>
    </w:p>
    <w:p w14:paraId="117A63F5">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K</w:t>
      </w:r>
      <w:r>
        <w:rPr>
          <w:rFonts w:hint="default" w:ascii="Times New Roman" w:hAnsi="Times New Roman" w:eastAsia="宋体" w:cs="Times New Roman"/>
          <w:color w:val="0000FF"/>
          <w:kern w:val="0"/>
          <w:sz w:val="24"/>
          <w:szCs w:val="24"/>
          <w:vertAlign w:val="subscript"/>
          <w:lang w:val="en-US" w:eastAsia="zh-CN" w:bidi="ar-SA"/>
        </w:rPr>
        <w:t>n</w:t>
      </w:r>
      <w:r>
        <w:rPr>
          <w:rFonts w:hint="default" w:ascii="Times New Roman" w:hAnsi="Times New Roman" w:eastAsia="宋体" w:cs="Times New Roman"/>
          <w:color w:val="0000FF"/>
          <w:kern w:val="0"/>
          <w:sz w:val="24"/>
          <w:szCs w:val="24"/>
          <w:lang w:val="en-US" w:eastAsia="zh-CN" w:bidi="ar-SA"/>
        </w:rPr>
        <w:t>－边界面法向方向的渗透系数（m/d）；</w:t>
      </w:r>
    </w:p>
    <w:p w14:paraId="039F9B23">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ε－源汇项（1/d）；</w:t>
      </w:r>
    </w:p>
    <w:p w14:paraId="622C8DDF">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Γ</w:t>
      </w:r>
      <w:r>
        <w:rPr>
          <w:rFonts w:hint="default" w:ascii="Times New Roman" w:hAnsi="Times New Roman" w:eastAsia="宋体" w:cs="Times New Roman"/>
          <w:color w:val="0000FF"/>
          <w:kern w:val="0"/>
          <w:sz w:val="24"/>
          <w:szCs w:val="24"/>
          <w:vertAlign w:val="subscript"/>
          <w:lang w:val="en-US" w:eastAsia="zh-CN" w:bidi="ar-SA"/>
        </w:rPr>
        <w:t>1</w:t>
      </w:r>
      <w:r>
        <w:rPr>
          <w:rFonts w:hint="default" w:ascii="Times New Roman" w:hAnsi="Times New Roman" w:eastAsia="宋体" w:cs="Times New Roman"/>
          <w:color w:val="0000FF"/>
          <w:kern w:val="0"/>
          <w:sz w:val="24"/>
          <w:szCs w:val="24"/>
          <w:lang w:val="en-US" w:eastAsia="zh-CN" w:bidi="ar-SA"/>
        </w:rPr>
        <w:t>-含水体的一类边界；</w:t>
      </w:r>
    </w:p>
    <w:p w14:paraId="4D9C34CC">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Γ</w:t>
      </w:r>
      <w:r>
        <w:rPr>
          <w:rFonts w:hint="default" w:ascii="Times New Roman" w:hAnsi="Times New Roman" w:eastAsia="宋体" w:cs="Times New Roman"/>
          <w:color w:val="0000FF"/>
          <w:kern w:val="0"/>
          <w:sz w:val="24"/>
          <w:szCs w:val="24"/>
          <w:vertAlign w:val="subscript"/>
          <w:lang w:val="en-US" w:eastAsia="zh-CN" w:bidi="ar-SA"/>
        </w:rPr>
        <w:t>2</w:t>
      </w:r>
      <w:r>
        <w:rPr>
          <w:rFonts w:hint="default" w:ascii="Times New Roman" w:hAnsi="Times New Roman" w:eastAsia="宋体" w:cs="Times New Roman"/>
          <w:color w:val="0000FF"/>
          <w:kern w:val="0"/>
          <w:sz w:val="24"/>
          <w:szCs w:val="24"/>
          <w:lang w:val="en-US" w:eastAsia="zh-CN" w:bidi="ar-SA"/>
        </w:rPr>
        <w:t>－渗流区域的侧向边界；</w:t>
      </w:r>
    </w:p>
    <w:p w14:paraId="3E445935">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ñ－边界面的法线方向；</w:t>
      </w:r>
    </w:p>
    <w:p w14:paraId="060B0C45">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drawing>
          <wp:inline distT="0" distB="0" distL="114300" distR="114300">
            <wp:extent cx="510540" cy="213995"/>
            <wp:effectExtent l="0" t="0" r="3810" b="15240"/>
            <wp:docPr id="14"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72"/>
                    <pic:cNvPicPr>
                      <a:picLocks noChangeAspect="1"/>
                    </pic:cNvPicPr>
                  </pic:nvPicPr>
                  <pic:blipFill>
                    <a:blip r:embed="rId70"/>
                    <a:stretch>
                      <a:fillRect/>
                    </a:stretch>
                  </pic:blipFill>
                  <pic:spPr>
                    <a:xfrm>
                      <a:off x="0" y="0"/>
                      <a:ext cx="510540" cy="213995"/>
                    </a:xfrm>
                    <a:prstGeom prst="rect">
                      <a:avLst/>
                    </a:prstGeom>
                    <a:noFill/>
                    <a:ln>
                      <a:noFill/>
                    </a:ln>
                  </pic:spPr>
                </pic:pic>
              </a:graphicData>
            </a:graphic>
          </wp:inline>
        </w:drawing>
      </w:r>
      <w:r>
        <w:rPr>
          <w:rFonts w:hint="default" w:ascii="Times New Roman" w:hAnsi="Times New Roman" w:eastAsia="宋体" w:cs="Times New Roman"/>
          <w:color w:val="0000FF"/>
          <w:kern w:val="0"/>
          <w:sz w:val="24"/>
          <w:szCs w:val="24"/>
          <w:lang w:val="en-US" w:eastAsia="zh-CN" w:bidi="ar-SA"/>
        </w:rPr>
        <w:t>－一类边界水头（m）；</w:t>
      </w:r>
    </w:p>
    <w:p w14:paraId="480B27FC">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q(x,y)－二类边界的单宽流量（m</w:t>
      </w:r>
      <w:r>
        <w:rPr>
          <w:rFonts w:hint="default" w:ascii="Times New Roman" w:hAnsi="Times New Roman" w:eastAsia="宋体" w:cs="Times New Roman"/>
          <w:color w:val="0000FF"/>
          <w:kern w:val="0"/>
          <w:sz w:val="24"/>
          <w:szCs w:val="24"/>
          <w:vertAlign w:val="superscript"/>
          <w:lang w:val="en-US" w:eastAsia="zh-CN" w:bidi="ar-SA"/>
        </w:rPr>
        <w:t>3</w:t>
      </w:r>
      <w:r>
        <w:rPr>
          <w:rFonts w:hint="default" w:ascii="Times New Roman" w:hAnsi="Times New Roman" w:eastAsia="宋体" w:cs="Times New Roman"/>
          <w:color w:val="0000FF"/>
          <w:kern w:val="0"/>
          <w:sz w:val="24"/>
          <w:szCs w:val="24"/>
          <w:lang w:val="en-US" w:eastAsia="zh-CN" w:bidi="ar-SA"/>
        </w:rPr>
        <w:t>/d/m），流入为正，流出为负，隔水边界为零。</w:t>
      </w:r>
    </w:p>
    <w:p w14:paraId="6BF75AE3">
      <w:pPr>
        <w:keepNext w:val="0"/>
        <w:keepLines w:val="0"/>
        <w:pageBreakBefore w:val="0"/>
        <w:wordWrap/>
        <w:topLinePunct w:val="0"/>
        <w:autoSpaceDE/>
        <w:autoSpaceDN/>
        <w:bidi w:val="0"/>
        <w:adjustRightInd w:val="0"/>
        <w:snapToGrid w:val="0"/>
        <w:spacing w:line="360" w:lineRule="auto"/>
        <w:ind w:leftChars="0" w:right="0" w:firstLine="480" w:firstLineChars="200"/>
        <w:textAlignment w:val="baseline"/>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z w:val="24"/>
          <w:szCs w:val="24"/>
        </w:rPr>
        <w:t>2）地下水水质数学模型</w:t>
      </w:r>
    </w:p>
    <w:p w14:paraId="7C324ADB">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本次污染物模拟预测过程不考虑污染物在含水层中的吸附、挥发、生物化学反应，模型中各项参数予以保守性考虑。这样选择的理由是：有机污染物在地下水中的运移非常复杂，影响因素除对流、弥散作用以外，还存在物理、化学、微生物等作用，这些作用常常会使污染物总量减少，运移扩散速度减慢。目前国际上对这些作用参数的准确获取还存在着困难；从保守性角度考虑，假设污染质在运移中不与含水层介质发生反应，可以被认为是保守型污染质，只按保守型污染质来计算，即只考虑运移过程中的对流、弥散作用。在国际上有很多用保守型污染物作为模拟因子的环境质量评价的成功实例；保守型考虑符合环境影响评价风险最大的原则，地下水中溶质运移的数学模型可表示为：</w:t>
      </w:r>
    </w:p>
    <w:p w14:paraId="6EEFAA4C">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center"/>
        <w:textAlignment w:val="center"/>
        <w:rPr>
          <w:rFonts w:hint="default" w:ascii="Times New Roman" w:hAnsi="Times New Roman" w:eastAsia="宋体" w:cs="Times New Roman"/>
          <w:color w:val="FF0000"/>
          <w:kern w:val="0"/>
          <w:sz w:val="24"/>
          <w:szCs w:val="24"/>
          <w:lang w:val="en-US" w:eastAsia="zh-CN" w:bidi="ar-SA"/>
        </w:rPr>
      </w:pPr>
      <w:r>
        <w:rPr>
          <w:rFonts w:hint="default" w:ascii="Times New Roman" w:hAnsi="Times New Roman" w:eastAsia="宋体" w:cs="Times New Roman"/>
          <w:color w:val="FF0000"/>
          <w:kern w:val="0"/>
          <w:sz w:val="24"/>
          <w:szCs w:val="24"/>
          <w:lang w:val="en-US" w:eastAsia="zh-CN" w:bidi="ar-SA"/>
        </w:rPr>
        <w:drawing>
          <wp:inline distT="0" distB="0" distL="114300" distR="114300">
            <wp:extent cx="2635885" cy="436880"/>
            <wp:effectExtent l="0" t="0" r="0" b="1270"/>
            <wp:docPr id="18"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73"/>
                    <pic:cNvPicPr>
                      <a:picLocks noChangeAspect="1"/>
                    </pic:cNvPicPr>
                  </pic:nvPicPr>
                  <pic:blipFill>
                    <a:blip r:embed="rId71"/>
                    <a:stretch>
                      <a:fillRect/>
                    </a:stretch>
                  </pic:blipFill>
                  <pic:spPr>
                    <a:xfrm>
                      <a:off x="0" y="0"/>
                      <a:ext cx="2635885" cy="436880"/>
                    </a:xfrm>
                    <a:prstGeom prst="rect">
                      <a:avLst/>
                    </a:prstGeom>
                    <a:noFill/>
                    <a:ln>
                      <a:noFill/>
                    </a:ln>
                  </pic:spPr>
                </pic:pic>
              </a:graphicData>
            </a:graphic>
          </wp:inline>
        </w:drawing>
      </w:r>
    </w:p>
    <w:p w14:paraId="4B418094">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drawing>
          <wp:anchor distT="0" distB="0" distL="114300" distR="114300" simplePos="0" relativeHeight="251672576" behindDoc="0" locked="0" layoutInCell="1" allowOverlap="1">
            <wp:simplePos x="0" y="0"/>
            <wp:positionH relativeFrom="column">
              <wp:posOffset>2399665</wp:posOffset>
            </wp:positionH>
            <wp:positionV relativeFrom="paragraph">
              <wp:posOffset>-145415</wp:posOffset>
            </wp:positionV>
            <wp:extent cx="952500" cy="393700"/>
            <wp:effectExtent l="0" t="0" r="0" b="5715"/>
            <wp:wrapTopAndBottom/>
            <wp:docPr id="28" name="对象 1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对象 15317"/>
                    <pic:cNvPicPr>
                      <a:picLocks noChangeAspect="1"/>
                    </pic:cNvPicPr>
                  </pic:nvPicPr>
                  <pic:blipFill>
                    <a:blip r:embed="rId72"/>
                    <a:stretch>
                      <a:fillRect/>
                    </a:stretch>
                  </pic:blipFill>
                  <pic:spPr>
                    <a:xfrm>
                      <a:off x="0" y="0"/>
                      <a:ext cx="952500" cy="393700"/>
                    </a:xfrm>
                    <a:prstGeom prst="rect">
                      <a:avLst/>
                    </a:prstGeom>
                    <a:noFill/>
                    <a:ln>
                      <a:noFill/>
                    </a:ln>
                  </pic:spPr>
                </pic:pic>
              </a:graphicData>
            </a:graphic>
          </wp:anchor>
        </w:drawing>
      </w:r>
      <w:r>
        <w:rPr>
          <w:rFonts w:hint="default" w:ascii="Times New Roman" w:hAnsi="Times New Roman" w:eastAsia="宋体" w:cs="Times New Roman"/>
          <w:color w:val="0000FF"/>
          <w:kern w:val="0"/>
          <w:sz w:val="24"/>
          <w:szCs w:val="24"/>
          <w:lang w:val="en-US" w:eastAsia="zh-CN" w:bidi="ar-SA"/>
        </w:rPr>
        <w:t>式中：</w:t>
      </w:r>
    </w:p>
    <w:p w14:paraId="7F365739">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α</w:t>
      </w:r>
      <w:r>
        <w:rPr>
          <w:rFonts w:hint="default" w:ascii="Times New Roman" w:hAnsi="Times New Roman" w:eastAsia="宋体" w:cs="Times New Roman"/>
          <w:i/>
          <w:color w:val="0000FF"/>
          <w:kern w:val="0"/>
          <w:sz w:val="24"/>
          <w:szCs w:val="24"/>
          <w:vertAlign w:val="subscript"/>
          <w:lang w:val="en-GB" w:eastAsia="zh-CN" w:bidi="ar-SA"/>
        </w:rPr>
        <w:t>ijmn</w:t>
      </w:r>
      <w:r>
        <w:rPr>
          <w:rFonts w:hint="default" w:ascii="Times New Roman" w:hAnsi="Times New Roman" w:eastAsia="宋体" w:cs="Times New Roman"/>
          <w:color w:val="0000FF"/>
          <w:kern w:val="0"/>
          <w:sz w:val="24"/>
          <w:szCs w:val="24"/>
          <w:lang w:val="en-GB" w:eastAsia="zh-CN" w:bidi="ar-SA"/>
        </w:rPr>
        <w:t>—</w:t>
      </w:r>
      <w:r>
        <w:rPr>
          <w:rFonts w:hint="default" w:ascii="Times New Roman" w:hAnsi="Times New Roman" w:eastAsia="宋体" w:cs="Times New Roman"/>
          <w:color w:val="0000FF"/>
          <w:kern w:val="0"/>
          <w:sz w:val="24"/>
          <w:szCs w:val="24"/>
          <w:vertAlign w:val="subscript"/>
          <w:lang w:val="en-GB" w:eastAsia="zh-CN" w:bidi="ar-SA"/>
        </w:rPr>
        <w:t xml:space="preserve"> </w:t>
      </w:r>
      <w:r>
        <w:rPr>
          <w:rFonts w:hint="default" w:ascii="Times New Roman" w:hAnsi="Times New Roman" w:eastAsia="宋体" w:cs="Times New Roman"/>
          <w:color w:val="0000FF"/>
          <w:kern w:val="0"/>
          <w:sz w:val="24"/>
          <w:szCs w:val="24"/>
          <w:lang w:val="en-GB" w:eastAsia="zh-CN" w:bidi="ar-SA"/>
        </w:rPr>
        <w:t>含水层的弥散度；</w:t>
      </w:r>
    </w:p>
    <w:p w14:paraId="70FC85AC">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V</w:t>
      </w:r>
      <w:r>
        <w:rPr>
          <w:rFonts w:hint="default" w:ascii="Times New Roman" w:hAnsi="Times New Roman" w:eastAsia="宋体" w:cs="Times New Roman"/>
          <w:i/>
          <w:color w:val="0000FF"/>
          <w:kern w:val="0"/>
          <w:sz w:val="24"/>
          <w:szCs w:val="24"/>
          <w:vertAlign w:val="subscript"/>
          <w:lang w:val="en-GB" w:eastAsia="zh-CN" w:bidi="ar-SA"/>
        </w:rPr>
        <w:t>m</w:t>
      </w:r>
      <w:r>
        <w:rPr>
          <w:rFonts w:hint="default" w:ascii="Times New Roman" w:hAnsi="Times New Roman" w:eastAsia="宋体" w:cs="Times New Roman"/>
          <w:color w:val="0000FF"/>
          <w:kern w:val="0"/>
          <w:sz w:val="24"/>
          <w:szCs w:val="24"/>
          <w:lang w:val="en-GB" w:eastAsia="zh-CN" w:bidi="ar-SA"/>
        </w:rPr>
        <w:t>，V</w:t>
      </w:r>
      <w:r>
        <w:rPr>
          <w:rFonts w:hint="default" w:ascii="Times New Roman" w:hAnsi="Times New Roman" w:eastAsia="宋体" w:cs="Times New Roman"/>
          <w:i/>
          <w:color w:val="0000FF"/>
          <w:kern w:val="0"/>
          <w:sz w:val="24"/>
          <w:szCs w:val="24"/>
          <w:vertAlign w:val="subscript"/>
          <w:lang w:val="en-GB" w:eastAsia="zh-CN" w:bidi="ar-SA"/>
        </w:rPr>
        <w:t xml:space="preserve">n </w:t>
      </w:r>
      <w:r>
        <w:rPr>
          <w:rFonts w:hint="default" w:ascii="Times New Roman" w:hAnsi="Times New Roman" w:eastAsia="宋体" w:cs="Times New Roman"/>
          <w:color w:val="0000FF"/>
          <w:kern w:val="0"/>
          <w:sz w:val="24"/>
          <w:szCs w:val="24"/>
          <w:lang w:val="en-GB" w:eastAsia="zh-CN" w:bidi="ar-SA"/>
        </w:rPr>
        <w:t>— 分别为m和n方向上的速度分量；</w:t>
      </w:r>
    </w:p>
    <w:p w14:paraId="54950419">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v∣— 速度模；</w:t>
      </w:r>
    </w:p>
    <w:p w14:paraId="5FD808C8">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C — 模拟污染质的浓度（mg/L）；</w:t>
      </w:r>
    </w:p>
    <w:p w14:paraId="09144ECF">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n</w:t>
      </w:r>
      <w:r>
        <w:rPr>
          <w:rFonts w:hint="default" w:ascii="Times New Roman" w:hAnsi="Times New Roman" w:eastAsia="宋体" w:cs="Times New Roman"/>
          <w:color w:val="0000FF"/>
          <w:kern w:val="0"/>
          <w:sz w:val="24"/>
          <w:szCs w:val="24"/>
          <w:vertAlign w:val="subscript"/>
          <w:lang w:val="en-GB" w:eastAsia="zh-CN" w:bidi="ar-SA"/>
        </w:rPr>
        <w:t>e</w:t>
      </w:r>
      <w:r>
        <w:rPr>
          <w:rFonts w:hint="default" w:ascii="Times New Roman" w:hAnsi="Times New Roman" w:eastAsia="宋体" w:cs="Times New Roman"/>
          <w:color w:val="0000FF"/>
          <w:kern w:val="0"/>
          <w:sz w:val="24"/>
          <w:szCs w:val="24"/>
          <w:lang w:val="en-GB" w:eastAsia="zh-CN" w:bidi="ar-SA"/>
        </w:rPr>
        <w:t xml:space="preserve"> — 有效孔隙度； </w:t>
      </w:r>
    </w:p>
    <w:p w14:paraId="217B9DB0">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Cˊ— 模拟污染质的源汇浓度（mg/L）；</w:t>
      </w:r>
    </w:p>
    <w:p w14:paraId="0914EB8D">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W — 源汇单位面积上的通量；</w:t>
      </w:r>
    </w:p>
    <w:p w14:paraId="362D6DDC">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V</w:t>
      </w:r>
      <w:r>
        <w:rPr>
          <w:rFonts w:hint="default" w:ascii="Times New Roman" w:hAnsi="Times New Roman" w:eastAsia="宋体" w:cs="Times New Roman"/>
          <w:i/>
          <w:color w:val="0000FF"/>
          <w:kern w:val="0"/>
          <w:sz w:val="24"/>
          <w:szCs w:val="24"/>
          <w:vertAlign w:val="subscript"/>
          <w:lang w:val="en-GB" w:eastAsia="zh-CN" w:bidi="ar-SA"/>
        </w:rPr>
        <w:t>i</w:t>
      </w:r>
      <w:r>
        <w:rPr>
          <w:rFonts w:hint="default" w:ascii="Times New Roman" w:hAnsi="Times New Roman" w:eastAsia="宋体" w:cs="Times New Roman"/>
          <w:i/>
          <w:color w:val="0000FF"/>
          <w:kern w:val="0"/>
          <w:sz w:val="24"/>
          <w:szCs w:val="24"/>
          <w:lang w:val="en-GB" w:eastAsia="zh-CN" w:bidi="ar-SA"/>
        </w:rPr>
        <w:t xml:space="preserve"> —</w:t>
      </w:r>
      <w:r>
        <w:rPr>
          <w:rFonts w:hint="default" w:ascii="Times New Roman" w:hAnsi="Times New Roman" w:eastAsia="宋体" w:cs="Times New Roman"/>
          <w:color w:val="0000FF"/>
          <w:kern w:val="0"/>
          <w:sz w:val="24"/>
          <w:szCs w:val="24"/>
          <w:lang w:val="en-GB" w:eastAsia="zh-CN" w:bidi="ar-SA"/>
        </w:rPr>
        <w:t xml:space="preserve"> 渗流速度（m/d）；</w:t>
      </w:r>
    </w:p>
    <w:p w14:paraId="7383A751">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GB" w:eastAsia="zh-CN" w:bidi="ar-SA"/>
        </w:rPr>
      </w:pPr>
      <w:r>
        <w:rPr>
          <w:rFonts w:hint="default" w:ascii="Times New Roman" w:hAnsi="Times New Roman" w:eastAsia="宋体" w:cs="Times New Roman"/>
          <w:color w:val="0000FF"/>
          <w:kern w:val="0"/>
          <w:sz w:val="24"/>
          <w:szCs w:val="24"/>
          <w:lang w:val="en-GB" w:eastAsia="zh-CN" w:bidi="ar-SA"/>
        </w:rPr>
        <w:t>C＇— 源汇的污染质浓度（mg/L）。</w:t>
      </w:r>
    </w:p>
    <w:p w14:paraId="3D18C010">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联合求解水流方程和溶质运移方程就可得到污染质的空间分布。</w:t>
      </w:r>
    </w:p>
    <w:p w14:paraId="4E7700C6">
      <w:pPr>
        <w:keepNext w:val="0"/>
        <w:keepLines w:val="0"/>
        <w:pageBreakBefore w:val="0"/>
        <w:widowControl w:val="0"/>
        <w:suppressAutoHyphens/>
        <w:wordWrap/>
        <w:topLinePunct w:val="0"/>
        <w:autoSpaceDE/>
        <w:autoSpaceDN/>
        <w:bidi w:val="0"/>
        <w:snapToGrid w:val="0"/>
        <w:spacing w:line="360" w:lineRule="auto"/>
        <w:ind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bookmarkStart w:id="29" w:name="_Toc38812899"/>
      <w:bookmarkStart w:id="30" w:name="_Toc533542327"/>
      <w:r>
        <w:rPr>
          <w:rFonts w:hint="default" w:ascii="Times New Roman" w:hAnsi="Times New Roman" w:eastAsia="宋体" w:cs="Times New Roman"/>
          <w:color w:val="0000FF"/>
          <w:kern w:val="0"/>
          <w:sz w:val="24"/>
          <w:szCs w:val="24"/>
          <w:lang w:val="en-US" w:eastAsia="zh-CN" w:bidi="ar-SA"/>
        </w:rPr>
        <w:t>（3）地下水数值模拟</w:t>
      </w:r>
      <w:bookmarkEnd w:id="29"/>
      <w:bookmarkEnd w:id="30"/>
    </w:p>
    <w:p w14:paraId="4440B85C">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1）模拟软件的选取</w:t>
      </w:r>
    </w:p>
    <w:p w14:paraId="22291576">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在建立水文地质概念模型、数学模型的基础上，运用基于有限差分法的MODFLOW软件包建立了评价区的地下水流数值模型，经参数识别与模型检验后，对评价区地下水流系统进行模拟分析，作为地下水溶质运移模拟的基础。</w:t>
      </w:r>
    </w:p>
    <w:p w14:paraId="3215B3E7">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both"/>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本次评价工作采用加拿大Waterloo Hydrogeologic Inc.在美国地质调查局MODFLOW软件（1984年）的基础上应用可视化技术开发研制的Visual MODFLOW软件。该软件是目前世界上应用最广泛的三维地下水流和溶质运移模拟的标准可视化专业软件系统。该软件主要由下列软件包组成：MODFLOW—水流模拟；Zone Budget—水均衡分析；MODPATH—流线示踪分析；MT3D—溶质运移模拟；WinPEST—参数自动识别。</w:t>
      </w:r>
    </w:p>
    <w:p w14:paraId="332F4675">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2）模型网格剖分</w:t>
      </w:r>
    </w:p>
    <w:p w14:paraId="2FBD65A9">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地下水流数值模型区面积约3.4km</w:t>
      </w:r>
      <w:r>
        <w:rPr>
          <w:rFonts w:hint="default" w:ascii="Times New Roman" w:hAnsi="Times New Roman" w:eastAsia="宋体" w:cs="Times New Roman"/>
          <w:color w:val="0000FF"/>
          <w:kern w:val="0"/>
          <w:sz w:val="24"/>
          <w:szCs w:val="24"/>
          <w:vertAlign w:val="superscript"/>
          <w:lang w:val="en-US" w:eastAsia="zh-CN" w:bidi="ar-SA"/>
        </w:rPr>
        <w:t>2</w:t>
      </w:r>
      <w:r>
        <w:rPr>
          <w:rFonts w:hint="default" w:ascii="Times New Roman" w:hAnsi="Times New Roman" w:eastAsia="宋体" w:cs="Times New Roman"/>
          <w:color w:val="0000FF"/>
          <w:kern w:val="0"/>
          <w:sz w:val="24"/>
          <w:szCs w:val="24"/>
          <w:lang w:val="en-US" w:eastAsia="zh-CN" w:bidi="ar-SA"/>
        </w:rPr>
        <w:t>，使用模拟软件中的Modflow模块对水流进行模拟，采用有限差分法，对评价区模型进行了剖分。平面上进行矩形剖分，剖分的单元大小为20m×20m，在厂区及下游区进行网格加密（4m×4m），模型的网格剖分如图</w:t>
      </w:r>
      <w:r>
        <w:rPr>
          <w:rFonts w:hint="eastAsia" w:ascii="Times New Roman" w:hAnsi="Times New Roman" w:eastAsia="宋体" w:cs="Times New Roman"/>
          <w:color w:val="0000FF"/>
          <w:kern w:val="0"/>
          <w:sz w:val="24"/>
          <w:szCs w:val="24"/>
          <w:lang w:val="en-US" w:eastAsia="zh-CN" w:bidi="ar-SA"/>
        </w:rPr>
        <w:t>4.3-1</w:t>
      </w:r>
      <w:r>
        <w:rPr>
          <w:rFonts w:hint="default" w:ascii="Times New Roman" w:hAnsi="Times New Roman" w:eastAsia="宋体" w:cs="Times New Roman"/>
          <w:color w:val="0000FF"/>
          <w:kern w:val="0"/>
          <w:sz w:val="24"/>
          <w:szCs w:val="24"/>
          <w:lang w:val="en-US" w:eastAsia="zh-CN" w:bidi="ar-SA"/>
        </w:rPr>
        <w:t>。</w:t>
      </w:r>
    </w:p>
    <w:p w14:paraId="48EF2BA4">
      <w:pPr>
        <w:keepNext w:val="0"/>
        <w:keepLines w:val="0"/>
        <w:pageBreakBefore w:val="0"/>
        <w:widowControl w:val="0"/>
        <w:suppressAutoHyphens/>
        <w:kinsoku/>
        <w:wordWrap/>
        <w:overflowPunct/>
        <w:topLinePunct w:val="0"/>
        <w:autoSpaceDE/>
        <w:autoSpaceDN/>
        <w:bidi w:val="0"/>
        <w:adjustRightInd w:val="0"/>
        <w:snapToGrid w:val="0"/>
        <w:spacing w:line="360" w:lineRule="auto"/>
        <w:ind w:left="0" w:leftChars="0" w:right="0" w:firstLine="0" w:firstLineChars="0"/>
        <w:jc w:val="both"/>
        <w:textAlignment w:val="auto"/>
        <w:rPr>
          <w:rFonts w:hint="eastAsia" w:ascii="Times New Roman" w:hAnsi="Times New Roman" w:eastAsia="宋体" w:cs="Times New Roman"/>
          <w:color w:val="auto"/>
          <w:spacing w:val="-6"/>
          <w:kern w:val="0"/>
          <w:sz w:val="24"/>
          <w:szCs w:val="24"/>
          <w:lang w:val="en-US" w:eastAsia="zh-CN" w:bidi="ar-SA"/>
        </w:rPr>
      </w:pPr>
      <w:r>
        <w:rPr>
          <w:rFonts w:hint="eastAsia" w:ascii="Times New Roman" w:hAnsi="Times New Roman" w:eastAsia="宋体" w:cs="Times New Roman"/>
          <w:color w:val="auto"/>
          <w:spacing w:val="-6"/>
          <w:kern w:val="0"/>
          <w:sz w:val="24"/>
          <w:szCs w:val="24"/>
          <w:lang w:val="en-US" w:eastAsia="zh-CN" w:bidi="ar-SA"/>
        </w:rPr>
        <w:drawing>
          <wp:inline distT="0" distB="0" distL="114300" distR="114300">
            <wp:extent cx="5263515" cy="3629025"/>
            <wp:effectExtent l="0" t="0" r="13335" b="9525"/>
            <wp:docPr id="35" name="图片 35" descr="网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网格"/>
                    <pic:cNvPicPr>
                      <a:picLocks noChangeAspect="1"/>
                    </pic:cNvPicPr>
                  </pic:nvPicPr>
                  <pic:blipFill>
                    <a:blip r:embed="rId73"/>
                    <a:stretch>
                      <a:fillRect/>
                    </a:stretch>
                  </pic:blipFill>
                  <pic:spPr>
                    <a:xfrm>
                      <a:off x="0" y="0"/>
                      <a:ext cx="5263515" cy="3629025"/>
                    </a:xfrm>
                    <a:prstGeom prst="rect">
                      <a:avLst/>
                    </a:prstGeom>
                  </pic:spPr>
                </pic:pic>
              </a:graphicData>
            </a:graphic>
          </wp:inline>
        </w:drawing>
      </w:r>
    </w:p>
    <w:p w14:paraId="08194E79">
      <w:pPr>
        <w:keepNext w:val="0"/>
        <w:keepLines w:val="0"/>
        <w:pageBreakBefore w:val="0"/>
        <w:widowControl w:val="0"/>
        <w:wordWrap/>
        <w:topLinePunct w:val="0"/>
        <w:autoSpaceDE/>
        <w:autoSpaceDN/>
        <w:bidi w:val="0"/>
        <w:spacing w:after="0" w:line="360" w:lineRule="auto"/>
        <w:ind w:left="0" w:leftChars="0" w:right="0" w:firstLine="482" w:firstLineChars="200"/>
        <w:jc w:val="center"/>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图</w:t>
      </w:r>
      <w:r>
        <w:rPr>
          <w:rFonts w:hint="eastAsia" w:ascii="Times New Roman" w:hAnsi="Times New Roman" w:eastAsia="宋体" w:cs="Times New Roman"/>
          <w:b/>
          <w:bCs/>
          <w:color w:val="auto"/>
          <w:kern w:val="0"/>
          <w:sz w:val="24"/>
          <w:szCs w:val="24"/>
          <w:lang w:val="en-US" w:eastAsia="zh-CN" w:bidi="ar-SA"/>
        </w:rPr>
        <w:t>4.3-1</w:t>
      </w:r>
      <w:r>
        <w:rPr>
          <w:rFonts w:hint="default" w:ascii="Times New Roman" w:hAnsi="Times New Roman" w:eastAsia="宋体" w:cs="Times New Roman"/>
          <w:b/>
          <w:bCs/>
          <w:color w:val="auto"/>
          <w:kern w:val="0"/>
          <w:sz w:val="24"/>
          <w:szCs w:val="24"/>
          <w:lang w:val="en-US" w:eastAsia="zh-CN" w:bidi="ar-SA"/>
        </w:rPr>
        <w:t xml:space="preserve">     模拟网格剖分</w:t>
      </w:r>
      <w:r>
        <w:rPr>
          <w:rFonts w:hint="eastAsia" w:ascii="Times New Roman" w:hAnsi="Times New Roman" w:eastAsia="宋体" w:cs="Times New Roman"/>
          <w:b/>
          <w:bCs/>
          <w:color w:val="auto"/>
          <w:kern w:val="0"/>
          <w:sz w:val="24"/>
          <w:szCs w:val="24"/>
          <w:lang w:val="en-US" w:eastAsia="zh-CN" w:bidi="ar-SA"/>
        </w:rPr>
        <w:t>及边界</w:t>
      </w:r>
      <w:r>
        <w:rPr>
          <w:rFonts w:hint="default" w:ascii="Times New Roman" w:hAnsi="Times New Roman" w:eastAsia="宋体" w:cs="Times New Roman"/>
          <w:b/>
          <w:bCs/>
          <w:color w:val="auto"/>
          <w:kern w:val="0"/>
          <w:sz w:val="24"/>
          <w:szCs w:val="24"/>
          <w:lang w:val="en-US" w:eastAsia="zh-CN" w:bidi="ar-SA"/>
        </w:rPr>
        <w:t>图</w:t>
      </w:r>
    </w:p>
    <w:p w14:paraId="7C67DDF7">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3）水文地质参数的处理</w:t>
      </w:r>
    </w:p>
    <w:p w14:paraId="7B392502">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①地下水流动模型参数</w:t>
      </w:r>
    </w:p>
    <w:p w14:paraId="364BC919">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为了较准确地刻画评价区水文地质条件，模型中参数的确定主要依据评价区野外抽水试验结果，结合常用各种参数的经验值，得到初步含水层参数。潜水含水层渗透系数为</w:t>
      </w:r>
      <w:r>
        <w:rPr>
          <w:rFonts w:hint="eastAsia" w:ascii="Times New Roman" w:hAnsi="Times New Roman" w:eastAsia="宋体" w:cs="Times New Roman"/>
          <w:color w:val="0000FF"/>
          <w:spacing w:val="-6"/>
          <w:sz w:val="24"/>
          <w:szCs w:val="24"/>
          <w:lang w:val="en-US" w:eastAsia="zh-CN"/>
        </w:rPr>
        <w:t>12.83</w:t>
      </w:r>
      <w:r>
        <w:rPr>
          <w:rFonts w:hint="default" w:ascii="Times New Roman" w:hAnsi="Times New Roman" w:eastAsia="宋体" w:cs="Times New Roman"/>
          <w:color w:val="0000FF"/>
          <w:spacing w:val="-6"/>
          <w:sz w:val="24"/>
          <w:szCs w:val="24"/>
        </w:rPr>
        <w:t>m/d。</w:t>
      </w:r>
    </w:p>
    <w:p w14:paraId="7733FD16">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②地下水溶质运移模型参数</w:t>
      </w:r>
    </w:p>
    <w:p w14:paraId="476EC74B">
      <w:pPr>
        <w:keepNext w:val="0"/>
        <w:keepLines w:val="0"/>
        <w:pageBreakBefore w:val="0"/>
        <w:wordWrap/>
        <w:topLinePunct w:val="0"/>
        <w:autoSpaceDE/>
        <w:autoSpaceDN/>
        <w:bidi w:val="0"/>
        <w:spacing w:line="360" w:lineRule="auto"/>
        <w:ind w:leftChars="0" w:right="0" w:firstLine="456" w:firstLineChars="200"/>
        <w:rPr>
          <w:rFonts w:hint="default" w:ascii="Times New Roman" w:hAnsi="Times New Roman" w:eastAsia="宋体" w:cs="Times New Roman"/>
          <w:color w:val="0000FF"/>
          <w:sz w:val="24"/>
          <w:szCs w:val="24"/>
        </w:rPr>
      </w:pPr>
      <w:r>
        <w:rPr>
          <w:rFonts w:hint="default" w:ascii="Times New Roman" w:hAnsi="Times New Roman" w:eastAsia="宋体" w:cs="Times New Roman"/>
          <w:color w:val="0000FF"/>
          <w:spacing w:val="-6"/>
          <w:sz w:val="24"/>
          <w:szCs w:val="24"/>
        </w:rPr>
        <w:t>通常空隙介质中的弥散度随着溶质运移距离的增加而加大，这种现象称之为水动力弥散尺度效应。其具体表现为：野外弥散试验所求出的弥散度远远大于在实验室所测出的值，相差可达4-5个数量级；即使是同一含水层，溶质运移距离越大，所计算出的弥散度也越大。因此，即使是进行野外或室内弥散试验也难以获得准确的弥散系数。因此，本评价参考前人的研究成果，本次评价的弥散度在此结果基础上按照偏保守的评价原则，取纵向弥散度值为10m，横向弥散度值为1m。</w:t>
      </w:r>
    </w:p>
    <w:p w14:paraId="2ABD1AD0">
      <w:pPr>
        <w:keepNext w:val="0"/>
        <w:keepLines w:val="0"/>
        <w:pageBreakBefore w:val="0"/>
        <w:widowControl w:val="0"/>
        <w:suppressAutoHyphens/>
        <w:wordWrap/>
        <w:topLinePunct w:val="0"/>
        <w:autoSpaceDE/>
        <w:autoSpaceDN/>
        <w:bidi w:val="0"/>
        <w:snapToGrid w:val="0"/>
        <w:spacing w:line="360" w:lineRule="auto"/>
        <w:ind w:left="0" w:leftChars="0" w:right="0" w:firstLine="480" w:firstLineChars="200"/>
        <w:jc w:val="left"/>
        <w:textAlignment w:val="center"/>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4）模型识别和检验</w:t>
      </w:r>
    </w:p>
    <w:p w14:paraId="13B3F916">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模型的识别和验证是整个模拟中极为重要的一步工作，通常要进行反复地调整参数才能达到较为理想的拟合结果。模型识别和验证过程采用的方法也称试估—校正法，属于反求参数的间接方法之一。</w:t>
      </w:r>
    </w:p>
    <w:p w14:paraId="093B6E46">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运行计算程序，可得到在给定水文地质参数和各均衡项条件下的模拟区地下水流场，通过拟合同时期的统测流场，识别水文地质参数和其它均衡项，使建立的模型更加符合模拟区的水文地质条件。</w:t>
      </w:r>
    </w:p>
    <w:p w14:paraId="1E684846">
      <w:pPr>
        <w:keepNext w:val="0"/>
        <w:keepLines w:val="0"/>
        <w:pageBreakBefore w:val="0"/>
        <w:kinsoku w:val="0"/>
        <w:wordWrap/>
        <w:overflowPunct w:val="0"/>
        <w:topLinePunct w:val="0"/>
        <w:autoSpaceDE/>
        <w:autoSpaceDN/>
        <w:bidi w:val="0"/>
        <w:spacing w:line="360" w:lineRule="auto"/>
        <w:ind w:leftChars="0" w:right="0" w:firstLine="456" w:firstLineChars="200"/>
        <w:rPr>
          <w:rFonts w:hint="default" w:ascii="Times New Roman" w:hAnsi="Times New Roman" w:eastAsia="宋体" w:cs="Times New Roman"/>
          <w:color w:val="0000FF"/>
          <w:spacing w:val="-6"/>
          <w:sz w:val="24"/>
          <w:szCs w:val="24"/>
        </w:rPr>
      </w:pPr>
      <w:r>
        <w:rPr>
          <w:rFonts w:hint="default" w:ascii="Times New Roman" w:hAnsi="Times New Roman" w:eastAsia="宋体" w:cs="Times New Roman"/>
          <w:color w:val="0000FF"/>
          <w:spacing w:val="-6"/>
          <w:sz w:val="24"/>
          <w:szCs w:val="24"/>
        </w:rPr>
        <w:t>本次评价通过模拟的水位等值线和模拟区实测的水位等值线进行模型的拟合验证。模拟的地下水流场与实测流场拟合较好。见图</w:t>
      </w:r>
      <w:r>
        <w:rPr>
          <w:rFonts w:hint="eastAsia" w:ascii="Times New Roman" w:hAnsi="Times New Roman" w:eastAsia="宋体" w:cs="Times New Roman"/>
          <w:color w:val="0000FF"/>
          <w:spacing w:val="-6"/>
          <w:sz w:val="24"/>
          <w:szCs w:val="24"/>
          <w:lang w:val="en-US" w:eastAsia="zh-CN"/>
        </w:rPr>
        <w:t>4.3-2</w:t>
      </w:r>
      <w:r>
        <w:rPr>
          <w:rFonts w:hint="default" w:ascii="Times New Roman" w:hAnsi="Times New Roman" w:eastAsia="宋体" w:cs="Times New Roman"/>
          <w:color w:val="0000FF"/>
          <w:spacing w:val="-6"/>
          <w:sz w:val="24"/>
          <w:szCs w:val="24"/>
        </w:rPr>
        <w:t>。</w:t>
      </w:r>
    </w:p>
    <w:p w14:paraId="2220B205">
      <w:pPr>
        <w:bidi w:val="0"/>
        <w:rPr>
          <w:rFonts w:hint="eastAsia"/>
          <w:lang w:val="en-US" w:eastAsia="zh-CN"/>
        </w:rPr>
      </w:pPr>
      <w:r>
        <w:rPr>
          <w:rFonts w:hint="eastAsia"/>
          <w:lang w:val="en-US" w:eastAsia="zh-CN"/>
        </w:rPr>
        <w:drawing>
          <wp:inline distT="0" distB="0" distL="114300" distR="114300">
            <wp:extent cx="5263515" cy="3629025"/>
            <wp:effectExtent l="0" t="0" r="13335" b="9525"/>
            <wp:docPr id="36" name="图片 36" descr="水位拟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水位拟合"/>
                    <pic:cNvPicPr>
                      <a:picLocks noChangeAspect="1"/>
                    </pic:cNvPicPr>
                  </pic:nvPicPr>
                  <pic:blipFill>
                    <a:blip r:embed="rId74"/>
                    <a:stretch>
                      <a:fillRect/>
                    </a:stretch>
                  </pic:blipFill>
                  <pic:spPr>
                    <a:xfrm>
                      <a:off x="0" y="0"/>
                      <a:ext cx="5263515" cy="3629025"/>
                    </a:xfrm>
                    <a:prstGeom prst="rect">
                      <a:avLst/>
                    </a:prstGeom>
                  </pic:spPr>
                </pic:pic>
              </a:graphicData>
            </a:graphic>
          </wp:inline>
        </w:drawing>
      </w:r>
    </w:p>
    <w:p w14:paraId="55E11BA9">
      <w:pPr>
        <w:keepNext w:val="0"/>
        <w:keepLines w:val="0"/>
        <w:pageBreakBefore w:val="0"/>
        <w:widowControl w:val="0"/>
        <w:kinsoku/>
        <w:wordWrap/>
        <w:overflowPunct/>
        <w:topLinePunct w:val="0"/>
        <w:autoSpaceDE/>
        <w:autoSpaceDN/>
        <w:bidi w:val="0"/>
        <w:adjustRightInd w:val="0"/>
        <w:snapToGrid/>
        <w:spacing w:after="0" w:line="360" w:lineRule="auto"/>
        <w:ind w:left="0" w:leftChars="0" w:right="0" w:firstLine="0" w:firstLineChars="0"/>
        <w:jc w:val="center"/>
        <w:textAlignment w:val="baseline"/>
        <w:rPr>
          <w:rFonts w:hint="default" w:ascii="Times New Roman" w:hAnsi="Times New Roman" w:eastAsia="宋体" w:cs="Times New Roman"/>
          <w:b/>
          <w:bCs/>
          <w:color w:val="0000FF"/>
          <w:kern w:val="0"/>
          <w:sz w:val="24"/>
          <w:szCs w:val="24"/>
          <w:lang w:val="en-US" w:eastAsia="zh-CN" w:bidi="ar-SA"/>
        </w:rPr>
      </w:pPr>
      <w:r>
        <w:rPr>
          <w:rFonts w:hint="default" w:ascii="Times New Roman" w:hAnsi="Times New Roman" w:eastAsia="宋体" w:cs="Times New Roman"/>
          <w:b/>
          <w:bCs/>
          <w:color w:val="0000FF"/>
          <w:kern w:val="0"/>
          <w:sz w:val="24"/>
          <w:szCs w:val="24"/>
          <w:lang w:val="en-US" w:eastAsia="zh-CN" w:bidi="ar-SA"/>
        </w:rPr>
        <w:t>图</w:t>
      </w:r>
      <w:r>
        <w:rPr>
          <w:rFonts w:hint="eastAsia" w:ascii="Times New Roman" w:hAnsi="Times New Roman" w:eastAsia="宋体" w:cs="Times New Roman"/>
          <w:b/>
          <w:bCs/>
          <w:color w:val="0000FF"/>
          <w:kern w:val="0"/>
          <w:sz w:val="24"/>
          <w:szCs w:val="24"/>
          <w:lang w:val="en-US" w:eastAsia="zh-CN" w:bidi="ar-SA"/>
        </w:rPr>
        <w:t>4.3-2</w:t>
      </w:r>
      <w:r>
        <w:rPr>
          <w:rFonts w:hint="default" w:ascii="Times New Roman" w:hAnsi="Times New Roman" w:eastAsia="宋体" w:cs="Times New Roman"/>
          <w:b/>
          <w:bCs/>
          <w:color w:val="0000FF"/>
          <w:kern w:val="0"/>
          <w:sz w:val="24"/>
          <w:szCs w:val="24"/>
          <w:lang w:val="en-US" w:eastAsia="zh-CN" w:bidi="ar-SA"/>
        </w:rPr>
        <w:t xml:space="preserve">     模拟等水位线拟合图</w:t>
      </w:r>
    </w:p>
    <w:p w14:paraId="635EE909">
      <w:pPr>
        <w:keepNext w:val="0"/>
        <w:keepLines w:val="0"/>
        <w:pageBreakBefore w:val="0"/>
        <w:widowControl/>
        <w:numPr>
          <w:ilvl w:val="3"/>
          <w:numId w:val="2"/>
        </w:numPr>
        <w:kinsoku/>
        <w:wordWrap/>
        <w:overflowPunct/>
        <w:topLinePunct w:val="0"/>
        <w:autoSpaceDE/>
        <w:autoSpaceDN/>
        <w:bidi w:val="0"/>
        <w:adjustRightInd w:val="0"/>
        <w:snapToGrid w:val="0"/>
        <w:spacing w:before="0" w:line="360" w:lineRule="auto"/>
        <w:ind w:left="0" w:right="113" w:firstLine="360" w:firstLineChars="150"/>
        <w:jc w:val="both"/>
        <w:textAlignment w:val="center"/>
        <w:outlineLvl w:val="3"/>
        <w:rPr>
          <w:rFonts w:hint="default" w:ascii="Times New Roman" w:hAnsi="Times New Roman" w:eastAsia="宋体" w:cs="Times New Roman"/>
          <w:color w:val="0000FF"/>
          <w:kern w:val="2"/>
          <w:sz w:val="24"/>
          <w:szCs w:val="21"/>
          <w:lang w:val="en-US" w:eastAsia="zh-CN" w:bidi="ar-SA"/>
        </w:rPr>
      </w:pPr>
      <w:bookmarkStart w:id="31" w:name="_Toc533542328"/>
      <w:bookmarkStart w:id="32" w:name="_Toc38812900"/>
      <w:r>
        <w:rPr>
          <w:rFonts w:hint="default" w:ascii="Times New Roman" w:hAnsi="Times New Roman" w:eastAsia="宋体" w:cs="Times New Roman"/>
          <w:color w:val="0000FF"/>
          <w:kern w:val="2"/>
          <w:sz w:val="24"/>
          <w:szCs w:val="21"/>
          <w:lang w:val="en-US" w:eastAsia="zh-CN" w:bidi="ar-SA"/>
        </w:rPr>
        <w:t>地下水污染数值模拟预测</w:t>
      </w:r>
      <w:bookmarkEnd w:id="31"/>
      <w:bookmarkEnd w:id="32"/>
      <w:r>
        <w:rPr>
          <w:rFonts w:hint="default" w:ascii="Times New Roman" w:hAnsi="Times New Roman" w:eastAsia="宋体" w:cs="Times New Roman"/>
          <w:color w:val="0000FF"/>
          <w:kern w:val="2"/>
          <w:sz w:val="24"/>
          <w:szCs w:val="21"/>
          <w:lang w:val="en-US" w:eastAsia="zh-CN" w:bidi="ar-SA"/>
        </w:rPr>
        <w:t>结果</w:t>
      </w:r>
    </w:p>
    <w:p w14:paraId="2D64C91D">
      <w:pPr>
        <w:keepNext w:val="0"/>
        <w:keepLines w:val="0"/>
        <w:pageBreakBefore w:val="0"/>
        <w:widowControl/>
        <w:wordWrap/>
        <w:overflowPunct w:val="0"/>
        <w:topLinePunct w:val="0"/>
        <w:autoSpaceDE/>
        <w:autoSpaceDN/>
        <w:bidi w:val="0"/>
        <w:snapToGrid w:val="0"/>
        <w:spacing w:before="0" w:after="0" w:line="360" w:lineRule="auto"/>
        <w:ind w:leftChars="0" w:right="0" w:firstLine="480" w:firstLineChars="200"/>
        <w:jc w:val="both"/>
        <w:rPr>
          <w:rFonts w:hint="default" w:ascii="Times New Roman" w:hAnsi="Times New Roman" w:eastAsia="宋体" w:cs="Times New Roman"/>
          <w:color w:val="0000FF"/>
          <w:kern w:val="0"/>
          <w:sz w:val="24"/>
          <w:szCs w:val="24"/>
          <w:lang w:val="en-US" w:eastAsia="zh-CN" w:bidi="ar-SA"/>
        </w:rPr>
      </w:pPr>
      <w:r>
        <w:rPr>
          <w:rFonts w:hint="default" w:ascii="Times New Roman" w:hAnsi="Times New Roman" w:eastAsia="宋体" w:cs="Times New Roman"/>
          <w:color w:val="0000FF"/>
          <w:kern w:val="0"/>
          <w:sz w:val="24"/>
          <w:szCs w:val="24"/>
          <w:lang w:val="en-US" w:eastAsia="zh-CN" w:bidi="ar-SA"/>
        </w:rPr>
        <w:t>将含水层参数、初始条件和边界条件带入水质模型，泄漏点设为</w:t>
      </w:r>
      <w:r>
        <w:rPr>
          <w:rFonts w:hint="eastAsia" w:ascii="Times New Roman" w:hAnsi="Times New Roman" w:eastAsia="宋体" w:cs="Times New Roman"/>
          <w:color w:val="0000FF"/>
          <w:kern w:val="0"/>
          <w:sz w:val="24"/>
          <w:szCs w:val="24"/>
          <w:lang w:val="en-US" w:eastAsia="zh-CN" w:bidi="ar-SA"/>
        </w:rPr>
        <w:t>48小时</w:t>
      </w:r>
      <w:r>
        <w:rPr>
          <w:rFonts w:hint="default" w:ascii="Times New Roman" w:hAnsi="Times New Roman" w:eastAsia="宋体" w:cs="Times New Roman"/>
          <w:color w:val="0000FF"/>
          <w:kern w:val="0"/>
          <w:sz w:val="24"/>
          <w:szCs w:val="24"/>
          <w:lang w:val="en-US" w:eastAsia="zh-CN" w:bidi="ar-SA"/>
        </w:rPr>
        <w:t>渗漏的定浓度边界，利用MODFLOW和MT3D软件，联合运行水流和水质模型，得到污染物在地下水防渗层出现破裂事故工况情形下泄漏发生100天、365天、1000天、3650天、5000天、7300天</w:t>
      </w:r>
      <w:r>
        <w:rPr>
          <w:rFonts w:hint="eastAsia" w:ascii="Times New Roman" w:hAnsi="Times New Roman" w:eastAsia="宋体" w:cs="Times New Roman"/>
          <w:color w:val="0000FF"/>
          <w:kern w:val="0"/>
          <w:sz w:val="24"/>
          <w:szCs w:val="24"/>
          <w:lang w:val="en-US" w:eastAsia="zh-CN" w:bidi="ar-SA"/>
        </w:rPr>
        <w:t>石油类</w:t>
      </w:r>
      <w:r>
        <w:rPr>
          <w:rFonts w:hint="default" w:ascii="Times New Roman" w:hAnsi="Times New Roman" w:eastAsia="宋体" w:cs="Times New Roman"/>
          <w:color w:val="0000FF"/>
          <w:kern w:val="0"/>
          <w:sz w:val="24"/>
          <w:szCs w:val="24"/>
          <w:lang w:val="en-US" w:eastAsia="zh-CN" w:bidi="ar-SA"/>
        </w:rPr>
        <w:t>污染预测结果，见表</w:t>
      </w:r>
      <w:r>
        <w:rPr>
          <w:rFonts w:hint="eastAsia" w:ascii="Times New Roman" w:hAnsi="Times New Roman" w:eastAsia="宋体" w:cs="Times New Roman"/>
          <w:color w:val="0000FF"/>
          <w:kern w:val="0"/>
          <w:sz w:val="24"/>
          <w:szCs w:val="24"/>
          <w:lang w:val="en-US" w:eastAsia="zh-CN" w:bidi="ar-SA"/>
        </w:rPr>
        <w:t>4</w:t>
      </w:r>
      <w:r>
        <w:rPr>
          <w:rFonts w:hint="default" w:ascii="Times New Roman" w:hAnsi="Times New Roman" w:eastAsia="宋体" w:cs="Times New Roman"/>
          <w:color w:val="0000FF"/>
          <w:kern w:val="0"/>
          <w:sz w:val="24"/>
          <w:szCs w:val="24"/>
          <w:lang w:val="en-US" w:eastAsia="zh-CN" w:bidi="ar-SA"/>
        </w:rPr>
        <w:t>.3-</w:t>
      </w:r>
      <w:r>
        <w:rPr>
          <w:rFonts w:hint="eastAsia" w:ascii="Times New Roman" w:hAnsi="Times New Roman" w:eastAsia="宋体" w:cs="Times New Roman"/>
          <w:color w:val="0000FF"/>
          <w:kern w:val="0"/>
          <w:sz w:val="24"/>
          <w:szCs w:val="24"/>
          <w:lang w:val="en-US" w:eastAsia="zh-CN" w:bidi="ar-SA"/>
        </w:rPr>
        <w:t>1</w:t>
      </w:r>
      <w:r>
        <w:rPr>
          <w:rFonts w:hint="default" w:ascii="Times New Roman" w:hAnsi="Times New Roman" w:eastAsia="宋体" w:cs="Times New Roman"/>
          <w:color w:val="0000FF"/>
          <w:kern w:val="0"/>
          <w:sz w:val="24"/>
          <w:szCs w:val="24"/>
          <w:lang w:val="en-US" w:eastAsia="zh-CN" w:bidi="ar-SA"/>
        </w:rPr>
        <w:t>和图</w:t>
      </w:r>
      <w:r>
        <w:rPr>
          <w:rFonts w:hint="eastAsia" w:ascii="Times New Roman" w:hAnsi="Times New Roman" w:eastAsia="宋体" w:cs="Times New Roman"/>
          <w:color w:val="0000FF"/>
          <w:kern w:val="0"/>
          <w:sz w:val="24"/>
          <w:szCs w:val="24"/>
          <w:lang w:val="en-US" w:eastAsia="zh-CN" w:bidi="ar-SA"/>
        </w:rPr>
        <w:t>4</w:t>
      </w:r>
      <w:r>
        <w:rPr>
          <w:rFonts w:hint="default" w:ascii="Times New Roman" w:hAnsi="Times New Roman" w:eastAsia="宋体" w:cs="Times New Roman"/>
          <w:color w:val="0000FF"/>
          <w:kern w:val="0"/>
          <w:sz w:val="24"/>
          <w:szCs w:val="24"/>
          <w:lang w:val="en-US" w:eastAsia="zh-CN" w:bidi="ar-SA"/>
        </w:rPr>
        <w:t>.3-</w:t>
      </w:r>
      <w:r>
        <w:rPr>
          <w:rFonts w:hint="eastAsia" w:ascii="Times New Roman" w:hAnsi="Times New Roman" w:eastAsia="宋体" w:cs="Times New Roman"/>
          <w:color w:val="0000FF"/>
          <w:kern w:val="0"/>
          <w:sz w:val="24"/>
          <w:szCs w:val="24"/>
          <w:lang w:val="en-US" w:eastAsia="zh-CN" w:bidi="ar-SA"/>
        </w:rPr>
        <w:t>3</w:t>
      </w:r>
      <w:r>
        <w:rPr>
          <w:rFonts w:hint="default" w:ascii="Times New Roman" w:hAnsi="Times New Roman" w:eastAsia="宋体" w:cs="Times New Roman"/>
          <w:color w:val="0000FF"/>
          <w:kern w:val="0"/>
          <w:sz w:val="24"/>
          <w:szCs w:val="24"/>
          <w:lang w:val="en-US" w:eastAsia="zh-CN" w:bidi="ar-SA"/>
        </w:rPr>
        <w:t>～</w:t>
      </w:r>
      <w:r>
        <w:rPr>
          <w:rFonts w:hint="eastAsia" w:ascii="Times New Roman" w:hAnsi="Times New Roman" w:eastAsia="宋体" w:cs="Times New Roman"/>
          <w:color w:val="0000FF"/>
          <w:kern w:val="0"/>
          <w:sz w:val="24"/>
          <w:szCs w:val="24"/>
          <w:lang w:val="en-US" w:eastAsia="zh-CN" w:bidi="ar-SA"/>
        </w:rPr>
        <w:t>4</w:t>
      </w:r>
      <w:r>
        <w:rPr>
          <w:rFonts w:hint="default" w:ascii="Times New Roman" w:hAnsi="Times New Roman" w:eastAsia="宋体" w:cs="Times New Roman"/>
          <w:color w:val="0000FF"/>
          <w:kern w:val="0"/>
          <w:sz w:val="24"/>
          <w:szCs w:val="24"/>
          <w:lang w:val="en-US" w:eastAsia="zh-CN" w:bidi="ar-SA"/>
        </w:rPr>
        <w:t>.3-</w:t>
      </w:r>
      <w:r>
        <w:rPr>
          <w:rFonts w:hint="eastAsia" w:ascii="Times New Roman" w:hAnsi="Times New Roman" w:eastAsia="宋体" w:cs="Times New Roman"/>
          <w:color w:val="0000FF"/>
          <w:kern w:val="0"/>
          <w:sz w:val="24"/>
          <w:szCs w:val="24"/>
          <w:lang w:val="en-US" w:eastAsia="zh-CN" w:bidi="ar-SA"/>
        </w:rPr>
        <w:t>8</w:t>
      </w:r>
      <w:r>
        <w:rPr>
          <w:rFonts w:hint="default" w:ascii="Times New Roman" w:hAnsi="Times New Roman" w:eastAsia="宋体" w:cs="Times New Roman"/>
          <w:color w:val="0000FF"/>
          <w:kern w:val="0"/>
          <w:sz w:val="24"/>
          <w:szCs w:val="24"/>
          <w:lang w:val="en-US" w:eastAsia="zh-CN" w:bidi="ar-SA"/>
        </w:rPr>
        <w:t>。</w:t>
      </w:r>
    </w:p>
    <w:p w14:paraId="2201564B">
      <w:pPr>
        <w:widowControl/>
        <w:kinsoku w:val="0"/>
        <w:overflowPunct w:val="0"/>
        <w:snapToGrid w:val="0"/>
        <w:spacing w:before="60" w:after="0" w:line="360" w:lineRule="auto"/>
        <w:ind w:right="113" w:firstLine="458" w:firstLineChars="200"/>
        <w:jc w:val="center"/>
        <w:rPr>
          <w:rFonts w:hint="default" w:ascii="Times New Roman" w:hAnsi="Times New Roman" w:eastAsia="宋体" w:cs="Times New Roman"/>
          <w:b/>
          <w:bCs w:val="0"/>
          <w:color w:val="0000FF"/>
          <w:spacing w:val="-6"/>
          <w:kern w:val="0"/>
          <w:sz w:val="24"/>
          <w:szCs w:val="24"/>
          <w:lang w:val="en-US" w:eastAsia="zh-CN" w:bidi="ar-SA"/>
        </w:rPr>
      </w:pPr>
      <w:r>
        <w:rPr>
          <w:rFonts w:hint="default" w:ascii="Times New Roman" w:hAnsi="Times New Roman" w:eastAsia="宋体" w:cs="Times New Roman"/>
          <w:b/>
          <w:bCs w:val="0"/>
          <w:color w:val="0000FF"/>
          <w:spacing w:val="-6"/>
          <w:kern w:val="0"/>
          <w:sz w:val="24"/>
          <w:szCs w:val="24"/>
          <w:lang w:val="en-US" w:eastAsia="zh-CN" w:bidi="ar-SA"/>
        </w:rPr>
        <w:t>表</w:t>
      </w:r>
      <w:r>
        <w:rPr>
          <w:rFonts w:hint="eastAsia" w:ascii="Times New Roman" w:hAnsi="Times New Roman" w:eastAsia="宋体" w:cs="Times New Roman"/>
          <w:b/>
          <w:bCs w:val="0"/>
          <w:color w:val="0000FF"/>
          <w:spacing w:val="-6"/>
          <w:kern w:val="0"/>
          <w:sz w:val="24"/>
          <w:szCs w:val="24"/>
          <w:lang w:val="en-US" w:eastAsia="zh-CN" w:bidi="ar-SA"/>
        </w:rPr>
        <w:t>4.3-1</w:t>
      </w:r>
      <w:r>
        <w:rPr>
          <w:rFonts w:hint="default" w:ascii="Times New Roman" w:hAnsi="Times New Roman" w:eastAsia="宋体" w:cs="Times New Roman"/>
          <w:b/>
          <w:bCs w:val="0"/>
          <w:color w:val="0000FF"/>
          <w:spacing w:val="-6"/>
          <w:kern w:val="0"/>
          <w:sz w:val="24"/>
          <w:szCs w:val="24"/>
          <w:lang w:val="en-US" w:eastAsia="zh-CN" w:bidi="ar-SA"/>
        </w:rPr>
        <w:t xml:space="preserve">   </w:t>
      </w:r>
      <w:r>
        <w:rPr>
          <w:rFonts w:hint="eastAsia" w:ascii="Times New Roman" w:hAnsi="Times New Roman" w:eastAsia="宋体" w:cs="Times New Roman"/>
          <w:b/>
          <w:bCs w:val="0"/>
          <w:color w:val="0000FF"/>
          <w:spacing w:val="-6"/>
          <w:kern w:val="0"/>
          <w:sz w:val="24"/>
          <w:szCs w:val="24"/>
          <w:lang w:val="en-US" w:eastAsia="zh-CN" w:bidi="ar-SA"/>
        </w:rPr>
        <w:t>LPG</w:t>
      </w:r>
      <w:r>
        <w:rPr>
          <w:rFonts w:hint="default" w:ascii="Times New Roman" w:hAnsi="Times New Roman" w:eastAsia="宋体" w:cs="Times New Roman"/>
          <w:b/>
          <w:bCs w:val="0"/>
          <w:color w:val="0000FF"/>
          <w:spacing w:val="-6"/>
          <w:kern w:val="0"/>
          <w:sz w:val="24"/>
          <w:szCs w:val="24"/>
          <w:lang w:val="en-US" w:eastAsia="zh-CN" w:bidi="ar-SA"/>
        </w:rPr>
        <w:t>残液罐泄漏</w:t>
      </w:r>
      <w:r>
        <w:rPr>
          <w:rFonts w:hint="eastAsia" w:ascii="Times New Roman" w:hAnsi="Times New Roman" w:eastAsia="宋体" w:cs="Times New Roman"/>
          <w:b/>
          <w:bCs w:val="0"/>
          <w:color w:val="0000FF"/>
          <w:spacing w:val="-6"/>
          <w:kern w:val="0"/>
          <w:sz w:val="24"/>
          <w:szCs w:val="24"/>
          <w:lang w:val="en-US" w:eastAsia="zh-CN" w:bidi="ar-SA"/>
        </w:rPr>
        <w:t>后石油类</w:t>
      </w:r>
      <w:r>
        <w:rPr>
          <w:rFonts w:hint="default" w:ascii="Times New Roman" w:hAnsi="Times New Roman" w:eastAsia="宋体" w:cs="Times New Roman"/>
          <w:b/>
          <w:bCs w:val="0"/>
          <w:color w:val="0000FF"/>
          <w:spacing w:val="-6"/>
          <w:kern w:val="0"/>
          <w:sz w:val="24"/>
          <w:szCs w:val="24"/>
          <w:lang w:val="en-US" w:eastAsia="zh-CN" w:bidi="ar-SA"/>
        </w:rPr>
        <w:t>在含水层中运移情况预测表</w:t>
      </w:r>
    </w:p>
    <w:tbl>
      <w:tblPr>
        <w:tblStyle w:val="32"/>
        <w:tblW w:w="7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99"/>
        <w:gridCol w:w="1840"/>
        <w:gridCol w:w="1840"/>
        <w:gridCol w:w="1840"/>
      </w:tblGrid>
      <w:tr w14:paraId="4324F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1999" w:type="dxa"/>
            <w:noWrap w:val="0"/>
            <w:vAlign w:val="center"/>
          </w:tcPr>
          <w:p w14:paraId="24247A2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运移时间</w:t>
            </w:r>
          </w:p>
        </w:tc>
        <w:tc>
          <w:tcPr>
            <w:tcW w:w="1840" w:type="dxa"/>
            <w:noWrap w:val="0"/>
            <w:vAlign w:val="center"/>
          </w:tcPr>
          <w:p w14:paraId="1C9A7E6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eastAsia" w:ascii="Times New Roman" w:hAnsi="Times New Roman" w:eastAsia="宋体" w:cs="Times New Roman"/>
                <w:color w:val="0000FF"/>
                <w:sz w:val="21"/>
                <w:szCs w:val="21"/>
                <w:lang w:val="en-US" w:eastAsia="zh-CN"/>
              </w:rPr>
              <w:t>超标</w:t>
            </w:r>
            <w:r>
              <w:rPr>
                <w:rFonts w:hint="default" w:ascii="Times New Roman" w:hAnsi="Times New Roman" w:eastAsia="宋体" w:cs="Times New Roman"/>
                <w:color w:val="0000FF"/>
                <w:sz w:val="21"/>
                <w:szCs w:val="21"/>
              </w:rPr>
              <w:t>距离（m）</w:t>
            </w:r>
          </w:p>
        </w:tc>
        <w:tc>
          <w:tcPr>
            <w:tcW w:w="1840" w:type="dxa"/>
            <w:noWrap w:val="0"/>
            <w:vAlign w:val="top"/>
          </w:tcPr>
          <w:p w14:paraId="4AAC0B1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最大浓度</w:t>
            </w:r>
          </w:p>
        </w:tc>
        <w:tc>
          <w:tcPr>
            <w:tcW w:w="1840" w:type="dxa"/>
            <w:noWrap w:val="0"/>
            <w:vAlign w:val="top"/>
          </w:tcPr>
          <w:p w14:paraId="511E4E0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备注</w:t>
            </w:r>
          </w:p>
        </w:tc>
      </w:tr>
      <w:tr w14:paraId="4C1AB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1999" w:type="dxa"/>
            <w:noWrap w:val="0"/>
            <w:vAlign w:val="center"/>
          </w:tcPr>
          <w:p w14:paraId="7646825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100d</w:t>
            </w:r>
          </w:p>
        </w:tc>
        <w:tc>
          <w:tcPr>
            <w:tcW w:w="1840" w:type="dxa"/>
            <w:noWrap w:val="0"/>
            <w:vAlign w:val="center"/>
          </w:tcPr>
          <w:p w14:paraId="6D2209F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70</w:t>
            </w:r>
          </w:p>
        </w:tc>
        <w:tc>
          <w:tcPr>
            <w:tcW w:w="1840" w:type="dxa"/>
            <w:noWrap w:val="0"/>
            <w:vAlign w:val="top"/>
          </w:tcPr>
          <w:p w14:paraId="1C9F446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eastAsia" w:ascii="Times New Roman" w:hAnsi="Times New Roman" w:eastAsia="宋体" w:cs="Times New Roman"/>
                <w:color w:val="0000FF"/>
                <w:sz w:val="21"/>
                <w:szCs w:val="21"/>
                <w:lang w:val="en-US" w:eastAsia="zh-CN"/>
              </w:rPr>
              <w:t>400</w:t>
            </w:r>
            <w:r>
              <w:rPr>
                <w:rFonts w:hint="default" w:ascii="Times New Roman" w:hAnsi="Times New Roman" w:eastAsia="宋体" w:cs="Times New Roman"/>
                <w:color w:val="0000FF"/>
                <w:sz w:val="21"/>
                <w:szCs w:val="21"/>
              </w:rPr>
              <w:t>mg/L</w:t>
            </w:r>
          </w:p>
        </w:tc>
        <w:tc>
          <w:tcPr>
            <w:tcW w:w="1840" w:type="dxa"/>
            <w:noWrap w:val="0"/>
            <w:vAlign w:val="top"/>
          </w:tcPr>
          <w:p w14:paraId="0951032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超标</w:t>
            </w:r>
          </w:p>
        </w:tc>
      </w:tr>
      <w:tr w14:paraId="1A69F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1999" w:type="dxa"/>
            <w:noWrap w:val="0"/>
            <w:vAlign w:val="center"/>
          </w:tcPr>
          <w:p w14:paraId="747A1D2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365d</w:t>
            </w:r>
          </w:p>
        </w:tc>
        <w:tc>
          <w:tcPr>
            <w:tcW w:w="1840" w:type="dxa"/>
            <w:noWrap w:val="0"/>
            <w:vAlign w:val="center"/>
          </w:tcPr>
          <w:p w14:paraId="4B024F1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155</w:t>
            </w:r>
          </w:p>
        </w:tc>
        <w:tc>
          <w:tcPr>
            <w:tcW w:w="1840" w:type="dxa"/>
            <w:noWrap w:val="0"/>
            <w:vAlign w:val="top"/>
          </w:tcPr>
          <w:p w14:paraId="4B22E9B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eastAsia" w:ascii="Times New Roman" w:hAnsi="Times New Roman" w:eastAsia="宋体" w:cs="Times New Roman"/>
                <w:color w:val="0000FF"/>
                <w:sz w:val="21"/>
                <w:szCs w:val="21"/>
                <w:lang w:val="en-US" w:eastAsia="zh-CN"/>
              </w:rPr>
              <w:t>140</w:t>
            </w:r>
            <w:r>
              <w:rPr>
                <w:rFonts w:hint="default" w:ascii="Times New Roman" w:hAnsi="Times New Roman" w:eastAsia="宋体" w:cs="Times New Roman"/>
                <w:color w:val="0000FF"/>
                <w:sz w:val="21"/>
                <w:szCs w:val="21"/>
              </w:rPr>
              <w:t>mg/L</w:t>
            </w:r>
          </w:p>
        </w:tc>
        <w:tc>
          <w:tcPr>
            <w:tcW w:w="1840" w:type="dxa"/>
            <w:noWrap w:val="0"/>
            <w:vAlign w:val="top"/>
          </w:tcPr>
          <w:p w14:paraId="0987F8E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超标</w:t>
            </w:r>
          </w:p>
        </w:tc>
      </w:tr>
      <w:tr w14:paraId="24DFF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1999" w:type="dxa"/>
            <w:noWrap w:val="0"/>
            <w:vAlign w:val="center"/>
          </w:tcPr>
          <w:p w14:paraId="134D9F7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1000d</w:t>
            </w:r>
          </w:p>
        </w:tc>
        <w:tc>
          <w:tcPr>
            <w:tcW w:w="1840" w:type="dxa"/>
            <w:noWrap w:val="0"/>
            <w:vAlign w:val="center"/>
          </w:tcPr>
          <w:p w14:paraId="2682AFC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580</w:t>
            </w:r>
          </w:p>
        </w:tc>
        <w:tc>
          <w:tcPr>
            <w:tcW w:w="1840" w:type="dxa"/>
            <w:noWrap w:val="0"/>
            <w:vAlign w:val="top"/>
          </w:tcPr>
          <w:p w14:paraId="28339FF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eastAsia" w:ascii="Times New Roman" w:hAnsi="Times New Roman" w:eastAsia="宋体" w:cs="Times New Roman"/>
                <w:color w:val="0000FF"/>
                <w:sz w:val="21"/>
                <w:szCs w:val="21"/>
                <w:lang w:val="en-US" w:eastAsia="zh-CN"/>
              </w:rPr>
              <w:t>30</w:t>
            </w:r>
            <w:r>
              <w:rPr>
                <w:rFonts w:hint="default" w:ascii="Times New Roman" w:hAnsi="Times New Roman" w:eastAsia="宋体" w:cs="Times New Roman"/>
                <w:color w:val="0000FF"/>
                <w:sz w:val="21"/>
                <w:szCs w:val="21"/>
              </w:rPr>
              <w:t>mg/L</w:t>
            </w:r>
          </w:p>
        </w:tc>
        <w:tc>
          <w:tcPr>
            <w:tcW w:w="1840" w:type="dxa"/>
            <w:noWrap w:val="0"/>
            <w:vAlign w:val="top"/>
          </w:tcPr>
          <w:p w14:paraId="5263A56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超标</w:t>
            </w:r>
          </w:p>
        </w:tc>
      </w:tr>
      <w:tr w14:paraId="6EA7F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1999" w:type="dxa"/>
            <w:noWrap w:val="0"/>
            <w:vAlign w:val="center"/>
          </w:tcPr>
          <w:p w14:paraId="0B884F7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3650d</w:t>
            </w:r>
          </w:p>
        </w:tc>
        <w:tc>
          <w:tcPr>
            <w:tcW w:w="1840" w:type="dxa"/>
            <w:noWrap w:val="0"/>
            <w:vAlign w:val="center"/>
          </w:tcPr>
          <w:p w14:paraId="34F1181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770</w:t>
            </w:r>
          </w:p>
        </w:tc>
        <w:tc>
          <w:tcPr>
            <w:tcW w:w="1840" w:type="dxa"/>
            <w:noWrap w:val="0"/>
            <w:vAlign w:val="top"/>
          </w:tcPr>
          <w:p w14:paraId="21281F0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eastAsia" w:ascii="Times New Roman" w:hAnsi="Times New Roman" w:eastAsia="宋体" w:cs="Times New Roman"/>
                <w:color w:val="0000FF"/>
                <w:sz w:val="21"/>
                <w:szCs w:val="21"/>
                <w:lang w:val="en-US" w:eastAsia="zh-CN"/>
              </w:rPr>
              <w:t>9</w:t>
            </w:r>
            <w:r>
              <w:rPr>
                <w:rFonts w:hint="default" w:ascii="Times New Roman" w:hAnsi="Times New Roman" w:eastAsia="宋体" w:cs="Times New Roman"/>
                <w:color w:val="0000FF"/>
                <w:sz w:val="21"/>
                <w:szCs w:val="21"/>
              </w:rPr>
              <w:t>mg/L</w:t>
            </w:r>
          </w:p>
        </w:tc>
        <w:tc>
          <w:tcPr>
            <w:tcW w:w="1840" w:type="dxa"/>
            <w:noWrap w:val="0"/>
            <w:vAlign w:val="top"/>
          </w:tcPr>
          <w:p w14:paraId="6EA2BCE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超标</w:t>
            </w:r>
          </w:p>
        </w:tc>
      </w:tr>
      <w:tr w14:paraId="6AE5D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1999" w:type="dxa"/>
            <w:noWrap w:val="0"/>
            <w:vAlign w:val="center"/>
          </w:tcPr>
          <w:p w14:paraId="26CC46C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5000d</w:t>
            </w:r>
          </w:p>
        </w:tc>
        <w:tc>
          <w:tcPr>
            <w:tcW w:w="1840" w:type="dxa"/>
            <w:noWrap w:val="0"/>
            <w:vAlign w:val="center"/>
          </w:tcPr>
          <w:p w14:paraId="5AC13B0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1050</w:t>
            </w:r>
          </w:p>
        </w:tc>
        <w:tc>
          <w:tcPr>
            <w:tcW w:w="1840" w:type="dxa"/>
            <w:noWrap w:val="0"/>
            <w:vAlign w:val="top"/>
          </w:tcPr>
          <w:p w14:paraId="7160114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eastAsia" w:ascii="Times New Roman" w:hAnsi="Times New Roman" w:eastAsia="宋体" w:cs="Times New Roman"/>
                <w:color w:val="0000FF"/>
                <w:sz w:val="21"/>
                <w:szCs w:val="21"/>
                <w:lang w:val="en-US" w:eastAsia="zh-CN"/>
              </w:rPr>
              <w:t>9</w:t>
            </w:r>
            <w:r>
              <w:rPr>
                <w:rFonts w:hint="default" w:ascii="Times New Roman" w:hAnsi="Times New Roman" w:eastAsia="宋体" w:cs="Times New Roman"/>
                <w:color w:val="0000FF"/>
                <w:sz w:val="21"/>
                <w:szCs w:val="21"/>
              </w:rPr>
              <w:t>mg/L</w:t>
            </w:r>
          </w:p>
        </w:tc>
        <w:tc>
          <w:tcPr>
            <w:tcW w:w="1840" w:type="dxa"/>
            <w:noWrap w:val="0"/>
            <w:vAlign w:val="top"/>
          </w:tcPr>
          <w:p w14:paraId="34DEE80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超标</w:t>
            </w:r>
          </w:p>
        </w:tc>
      </w:tr>
      <w:tr w14:paraId="6D2AB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8" w:hRule="atLeast"/>
          <w:jc w:val="center"/>
        </w:trPr>
        <w:tc>
          <w:tcPr>
            <w:tcW w:w="1999" w:type="dxa"/>
            <w:noWrap w:val="0"/>
            <w:vAlign w:val="center"/>
          </w:tcPr>
          <w:p w14:paraId="27BCEED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7300d</w:t>
            </w:r>
          </w:p>
        </w:tc>
        <w:tc>
          <w:tcPr>
            <w:tcW w:w="1840" w:type="dxa"/>
            <w:noWrap w:val="0"/>
            <w:vAlign w:val="center"/>
          </w:tcPr>
          <w:p w14:paraId="18F2FDB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lang w:val="en-US" w:eastAsia="zh-CN"/>
              </w:rPr>
            </w:pPr>
            <w:r>
              <w:rPr>
                <w:rFonts w:hint="eastAsia" w:ascii="Times New Roman" w:hAnsi="Times New Roman" w:eastAsia="宋体" w:cs="Times New Roman"/>
                <w:color w:val="0000FF"/>
                <w:sz w:val="21"/>
                <w:szCs w:val="21"/>
                <w:lang w:val="en-US" w:eastAsia="zh-CN"/>
              </w:rPr>
              <w:t>1300</w:t>
            </w:r>
          </w:p>
        </w:tc>
        <w:tc>
          <w:tcPr>
            <w:tcW w:w="1840" w:type="dxa"/>
            <w:noWrap w:val="0"/>
            <w:vAlign w:val="top"/>
          </w:tcPr>
          <w:p w14:paraId="5C6DA7F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eastAsia" w:ascii="Times New Roman" w:hAnsi="Times New Roman" w:eastAsia="宋体" w:cs="Times New Roman"/>
                <w:color w:val="0000FF"/>
                <w:sz w:val="21"/>
                <w:szCs w:val="21"/>
                <w:lang w:val="en-US" w:eastAsia="zh-CN"/>
              </w:rPr>
              <w:t>3</w:t>
            </w:r>
            <w:r>
              <w:rPr>
                <w:rFonts w:hint="default" w:ascii="Times New Roman" w:hAnsi="Times New Roman" w:eastAsia="宋体" w:cs="Times New Roman"/>
                <w:color w:val="0000FF"/>
                <w:sz w:val="21"/>
                <w:szCs w:val="21"/>
              </w:rPr>
              <w:t>mg/L</w:t>
            </w:r>
          </w:p>
        </w:tc>
        <w:tc>
          <w:tcPr>
            <w:tcW w:w="1840" w:type="dxa"/>
            <w:noWrap w:val="0"/>
            <w:vAlign w:val="top"/>
          </w:tcPr>
          <w:p w14:paraId="20F52AB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0000FF"/>
                <w:sz w:val="21"/>
                <w:szCs w:val="21"/>
              </w:rPr>
            </w:pPr>
            <w:r>
              <w:rPr>
                <w:rFonts w:hint="default" w:ascii="Times New Roman" w:hAnsi="Times New Roman" w:eastAsia="宋体" w:cs="Times New Roman"/>
                <w:color w:val="0000FF"/>
                <w:sz w:val="21"/>
                <w:szCs w:val="21"/>
              </w:rPr>
              <w:t>超标</w:t>
            </w:r>
          </w:p>
        </w:tc>
      </w:tr>
    </w:tbl>
    <w:p w14:paraId="747C8F2E">
      <w:pPr>
        <w:widowControl w:val="0"/>
        <w:wordWrap w:val="0"/>
        <w:adjustRightInd w:val="0"/>
        <w:snapToGrid w:val="0"/>
        <w:spacing w:line="360" w:lineRule="auto"/>
        <w:ind w:firstLine="482"/>
        <w:jc w:val="center"/>
        <w:rPr>
          <w:rFonts w:hint="default" w:ascii="Times New Roman" w:hAnsi="Times New Roman" w:eastAsia="宋体" w:cs="Times New Roman"/>
          <w:b/>
          <w:bCs/>
          <w:color w:val="0000FF"/>
          <w:kern w:val="0"/>
          <w:sz w:val="24"/>
          <w:szCs w:val="24"/>
          <w:lang w:val="en-US" w:eastAsia="zh-CN" w:bidi="ar-SA"/>
        </w:rPr>
      </w:pPr>
    </w:p>
    <w:p w14:paraId="24B0086C">
      <w:pPr>
        <w:widowControl w:val="0"/>
        <w:wordWrap w:val="0"/>
        <w:adjustRightInd w:val="0"/>
        <w:snapToGrid w:val="0"/>
        <w:spacing w:line="360" w:lineRule="auto"/>
        <w:jc w:val="both"/>
        <w:rPr>
          <w:rFonts w:hint="default" w:ascii="Times New Roman" w:hAnsi="Times New Roman" w:eastAsia="宋体" w:cs="Times New Roman"/>
          <w:b/>
          <w:bCs/>
          <w:color w:val="0000FF"/>
          <w:kern w:val="0"/>
          <w:sz w:val="24"/>
          <w:szCs w:val="24"/>
          <w:lang w:val="en-US" w:eastAsia="zh-CN" w:bidi="ar-SA"/>
        </w:rPr>
      </w:pPr>
      <w:r>
        <w:rPr>
          <w:rFonts w:hint="default" w:ascii="Times New Roman" w:hAnsi="Times New Roman" w:eastAsia="宋体" w:cs="Times New Roman"/>
          <w:b/>
          <w:bCs/>
          <w:color w:val="0000FF"/>
          <w:kern w:val="0"/>
          <w:sz w:val="24"/>
          <w:szCs w:val="24"/>
          <w:lang w:val="en-US" w:eastAsia="zh-CN" w:bidi="ar-SA"/>
        </w:rPr>
        <w:drawing>
          <wp:inline distT="0" distB="0" distL="114300" distR="114300">
            <wp:extent cx="4982210" cy="3171190"/>
            <wp:effectExtent l="0" t="0" r="8890" b="10160"/>
            <wp:docPr id="39" name="图片 39"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100"/>
                    <pic:cNvPicPr>
                      <a:picLocks noChangeAspect="1"/>
                    </pic:cNvPicPr>
                  </pic:nvPicPr>
                  <pic:blipFill>
                    <a:blip r:embed="rId75"/>
                    <a:stretch>
                      <a:fillRect/>
                    </a:stretch>
                  </pic:blipFill>
                  <pic:spPr>
                    <a:xfrm>
                      <a:off x="0" y="0"/>
                      <a:ext cx="4982210" cy="3171190"/>
                    </a:xfrm>
                    <a:prstGeom prst="rect">
                      <a:avLst/>
                    </a:prstGeom>
                  </pic:spPr>
                </pic:pic>
              </a:graphicData>
            </a:graphic>
          </wp:inline>
        </w:drawing>
      </w:r>
    </w:p>
    <w:p w14:paraId="586CD7A5">
      <w:pPr>
        <w:widowControl w:val="0"/>
        <w:wordWrap w:val="0"/>
        <w:adjustRightInd w:val="0"/>
        <w:snapToGrid w:val="0"/>
        <w:spacing w:line="360" w:lineRule="auto"/>
        <w:ind w:firstLine="482"/>
        <w:jc w:val="center"/>
        <w:rPr>
          <w:rFonts w:hint="default" w:ascii="Times New Roman" w:hAnsi="Times New Roman" w:eastAsia="宋体" w:cs="Times New Roman"/>
          <w:b/>
          <w:bCs/>
          <w:color w:val="0000FF"/>
          <w:kern w:val="0"/>
          <w:sz w:val="24"/>
          <w:szCs w:val="24"/>
          <w:lang w:val="en-US" w:eastAsia="zh-CN" w:bidi="ar-SA"/>
        </w:rPr>
      </w:pPr>
      <w:r>
        <w:rPr>
          <w:rFonts w:hint="default" w:ascii="Times New Roman" w:hAnsi="Times New Roman" w:eastAsia="宋体" w:cs="Times New Roman"/>
          <w:b/>
          <w:bCs/>
          <w:color w:val="0000FF"/>
          <w:kern w:val="0"/>
          <w:sz w:val="24"/>
          <w:szCs w:val="24"/>
          <w:lang w:val="en-US" w:eastAsia="zh-CN" w:bidi="ar-SA"/>
        </w:rPr>
        <w:t>图</w:t>
      </w:r>
      <w:r>
        <w:rPr>
          <w:rFonts w:hint="eastAsia" w:ascii="Times New Roman" w:hAnsi="Times New Roman" w:eastAsia="宋体" w:cs="Times New Roman"/>
          <w:b/>
          <w:bCs/>
          <w:color w:val="0000FF"/>
          <w:kern w:val="0"/>
          <w:sz w:val="24"/>
          <w:szCs w:val="24"/>
          <w:lang w:val="en-US" w:eastAsia="zh-CN" w:bidi="ar-SA"/>
        </w:rPr>
        <w:t>4.3-3</w:t>
      </w:r>
      <w:r>
        <w:rPr>
          <w:rFonts w:hint="default" w:ascii="Times New Roman" w:hAnsi="Times New Roman" w:eastAsia="宋体" w:cs="Times New Roman"/>
          <w:b/>
          <w:bCs/>
          <w:color w:val="0000FF"/>
          <w:kern w:val="0"/>
          <w:sz w:val="24"/>
          <w:szCs w:val="24"/>
          <w:lang w:val="en-US" w:eastAsia="zh-CN" w:bidi="ar-SA"/>
        </w:rPr>
        <w:t xml:space="preserve">  </w:t>
      </w:r>
      <w:r>
        <w:rPr>
          <w:rFonts w:hint="eastAsia" w:ascii="Times New Roman" w:hAnsi="Times New Roman" w:eastAsia="宋体" w:cs="Times New Roman"/>
          <w:b/>
          <w:bCs/>
          <w:color w:val="0000FF"/>
          <w:kern w:val="0"/>
          <w:sz w:val="24"/>
          <w:szCs w:val="24"/>
          <w:lang w:val="en-US" w:eastAsia="zh-CN" w:bidi="ar-SA"/>
        </w:rPr>
        <w:t>LPG</w:t>
      </w:r>
      <w:r>
        <w:rPr>
          <w:rFonts w:hint="default" w:ascii="Times New Roman" w:hAnsi="Times New Roman" w:eastAsia="宋体" w:cs="Times New Roman"/>
          <w:b/>
          <w:bCs/>
          <w:color w:val="0000FF"/>
          <w:kern w:val="0"/>
          <w:sz w:val="24"/>
          <w:szCs w:val="24"/>
          <w:lang w:val="en-US" w:eastAsia="zh-CN" w:bidi="ar-SA"/>
        </w:rPr>
        <w:t>残液罐泄漏</w:t>
      </w:r>
      <w:r>
        <w:rPr>
          <w:rFonts w:hint="eastAsia" w:ascii="Times New Roman" w:hAnsi="Times New Roman" w:eastAsia="宋体" w:cs="Times New Roman"/>
          <w:b/>
          <w:bCs/>
          <w:color w:val="0000FF"/>
          <w:kern w:val="0"/>
          <w:sz w:val="24"/>
          <w:szCs w:val="24"/>
          <w:lang w:val="en-US" w:eastAsia="zh-CN" w:bidi="ar-SA"/>
        </w:rPr>
        <w:t>后2天后</w:t>
      </w:r>
      <w:r>
        <w:rPr>
          <w:rFonts w:hint="default" w:ascii="Times New Roman" w:hAnsi="Times New Roman" w:eastAsia="宋体" w:cs="Times New Roman"/>
          <w:b/>
          <w:bCs/>
          <w:color w:val="0000FF"/>
          <w:kern w:val="0"/>
          <w:sz w:val="24"/>
          <w:szCs w:val="24"/>
          <w:lang w:val="en-US" w:eastAsia="zh-CN" w:bidi="ar-SA"/>
        </w:rPr>
        <w:t>第100天</w:t>
      </w:r>
      <w:r>
        <w:rPr>
          <w:rFonts w:hint="eastAsia" w:ascii="Times New Roman" w:hAnsi="Times New Roman" w:eastAsia="宋体" w:cs="Times New Roman"/>
          <w:b/>
          <w:bCs/>
          <w:color w:val="0000FF"/>
          <w:kern w:val="0"/>
          <w:sz w:val="24"/>
          <w:szCs w:val="24"/>
          <w:lang w:val="en-US" w:eastAsia="zh-CN" w:bidi="ar-SA"/>
        </w:rPr>
        <w:t>石油类</w:t>
      </w:r>
      <w:r>
        <w:rPr>
          <w:rFonts w:hint="default" w:ascii="Times New Roman" w:hAnsi="Times New Roman" w:eastAsia="宋体" w:cs="Times New Roman"/>
          <w:b/>
          <w:bCs/>
          <w:color w:val="0000FF"/>
          <w:kern w:val="0"/>
          <w:sz w:val="24"/>
          <w:szCs w:val="24"/>
          <w:lang w:val="en-US" w:eastAsia="zh-CN" w:bidi="ar-SA"/>
        </w:rPr>
        <w:t>运移情况</w:t>
      </w:r>
    </w:p>
    <w:p w14:paraId="370F0B29">
      <w:pPr>
        <w:widowControl w:val="0"/>
        <w:spacing w:line="360" w:lineRule="auto"/>
        <w:ind w:left="0" w:leftChars="0" w:firstLine="0" w:firstLineChars="0"/>
        <w:jc w:val="both"/>
        <w:rPr>
          <w:rFonts w:hint="eastAsia" w:ascii="Times New Roman" w:hAnsi="Times New Roman" w:eastAsia="宋体" w:cs="Times New Roman"/>
          <w:snapToGrid w:val="0"/>
          <w:color w:val="0000FF"/>
          <w:kern w:val="2"/>
          <w:sz w:val="24"/>
          <w:szCs w:val="22"/>
          <w:lang w:val="en-US" w:eastAsia="zh-CN" w:bidi="ar-SA"/>
        </w:rPr>
      </w:pPr>
      <w:r>
        <w:rPr>
          <w:rFonts w:hint="eastAsia" w:ascii="Times New Roman" w:hAnsi="Times New Roman" w:eastAsia="宋体" w:cs="Times New Roman"/>
          <w:snapToGrid w:val="0"/>
          <w:color w:val="0000FF"/>
          <w:kern w:val="2"/>
          <w:sz w:val="24"/>
          <w:szCs w:val="22"/>
          <w:lang w:val="en-US" w:eastAsia="zh-CN" w:bidi="ar-SA"/>
        </w:rPr>
        <w:drawing>
          <wp:inline distT="0" distB="0" distL="114300" distR="114300">
            <wp:extent cx="4880610" cy="3084195"/>
            <wp:effectExtent l="0" t="0" r="15240" b="1905"/>
            <wp:docPr id="62" name="图片 62" descr="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365"/>
                    <pic:cNvPicPr>
                      <a:picLocks noChangeAspect="1"/>
                    </pic:cNvPicPr>
                  </pic:nvPicPr>
                  <pic:blipFill>
                    <a:blip r:embed="rId76"/>
                    <a:stretch>
                      <a:fillRect/>
                    </a:stretch>
                  </pic:blipFill>
                  <pic:spPr>
                    <a:xfrm>
                      <a:off x="0" y="0"/>
                      <a:ext cx="4880610" cy="3084195"/>
                    </a:xfrm>
                    <a:prstGeom prst="rect">
                      <a:avLst/>
                    </a:prstGeom>
                  </pic:spPr>
                </pic:pic>
              </a:graphicData>
            </a:graphic>
          </wp:inline>
        </w:drawing>
      </w:r>
    </w:p>
    <w:p w14:paraId="53992300">
      <w:pPr>
        <w:widowControl w:val="0"/>
        <w:wordWrap w:val="0"/>
        <w:adjustRightInd w:val="0"/>
        <w:snapToGrid w:val="0"/>
        <w:spacing w:line="360" w:lineRule="auto"/>
        <w:ind w:firstLine="482"/>
        <w:jc w:val="center"/>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图</w:t>
      </w:r>
      <w:r>
        <w:rPr>
          <w:rFonts w:hint="eastAsia" w:ascii="Times New Roman" w:hAnsi="Times New Roman" w:eastAsia="宋体" w:cs="Times New Roman"/>
          <w:b/>
          <w:bCs/>
          <w:color w:val="auto"/>
          <w:kern w:val="0"/>
          <w:sz w:val="24"/>
          <w:szCs w:val="24"/>
          <w:lang w:val="en-US" w:eastAsia="zh-CN" w:bidi="ar-SA"/>
        </w:rPr>
        <w:t>4.3-4</w:t>
      </w:r>
      <w:r>
        <w:rPr>
          <w:rFonts w:hint="default" w:ascii="Times New Roman" w:hAnsi="Times New Roman" w:eastAsia="宋体" w:cs="Times New Roman"/>
          <w:b/>
          <w:bCs/>
          <w:color w:val="auto"/>
          <w:kern w:val="0"/>
          <w:sz w:val="24"/>
          <w:szCs w:val="24"/>
          <w:lang w:val="en-US" w:eastAsia="zh-CN" w:bidi="ar-SA"/>
        </w:rPr>
        <w:t xml:space="preserve">  </w:t>
      </w:r>
      <w:r>
        <w:rPr>
          <w:rFonts w:hint="eastAsia" w:ascii="Times New Roman" w:hAnsi="Times New Roman" w:eastAsia="宋体" w:cs="Times New Roman"/>
          <w:b/>
          <w:bCs/>
          <w:color w:val="auto"/>
          <w:kern w:val="0"/>
          <w:sz w:val="24"/>
          <w:szCs w:val="24"/>
          <w:lang w:val="en-US" w:eastAsia="zh-CN" w:bidi="ar-SA"/>
        </w:rPr>
        <w:t>LPG</w:t>
      </w:r>
      <w:r>
        <w:rPr>
          <w:rFonts w:hint="default" w:ascii="Times New Roman" w:hAnsi="Times New Roman" w:eastAsia="宋体" w:cs="Times New Roman"/>
          <w:b/>
          <w:bCs/>
          <w:color w:val="auto"/>
          <w:kern w:val="0"/>
          <w:sz w:val="24"/>
          <w:szCs w:val="24"/>
          <w:lang w:val="en-US" w:eastAsia="zh-CN" w:bidi="ar-SA"/>
        </w:rPr>
        <w:t>残液罐泄漏</w:t>
      </w:r>
      <w:r>
        <w:rPr>
          <w:rFonts w:hint="eastAsia" w:ascii="Times New Roman" w:hAnsi="Times New Roman" w:eastAsia="宋体" w:cs="Times New Roman"/>
          <w:b/>
          <w:bCs/>
          <w:color w:val="auto"/>
          <w:kern w:val="0"/>
          <w:sz w:val="24"/>
          <w:szCs w:val="24"/>
          <w:lang w:val="en-US" w:eastAsia="zh-CN" w:bidi="ar-SA"/>
        </w:rPr>
        <w:t>后2天后</w:t>
      </w:r>
      <w:r>
        <w:rPr>
          <w:rFonts w:hint="default" w:ascii="Times New Roman" w:hAnsi="Times New Roman" w:eastAsia="宋体" w:cs="Times New Roman"/>
          <w:b/>
          <w:bCs/>
          <w:color w:val="auto"/>
          <w:kern w:val="0"/>
          <w:sz w:val="24"/>
          <w:szCs w:val="24"/>
          <w:lang w:val="en-US" w:eastAsia="zh-CN" w:bidi="ar-SA"/>
        </w:rPr>
        <w:t>第</w:t>
      </w:r>
      <w:r>
        <w:rPr>
          <w:rFonts w:hint="eastAsia" w:ascii="Times New Roman" w:hAnsi="Times New Roman" w:eastAsia="宋体" w:cs="Times New Roman"/>
          <w:b/>
          <w:bCs/>
          <w:color w:val="auto"/>
          <w:kern w:val="0"/>
          <w:sz w:val="24"/>
          <w:szCs w:val="24"/>
          <w:lang w:val="en-US" w:eastAsia="zh-CN" w:bidi="ar-SA"/>
        </w:rPr>
        <w:t>365</w:t>
      </w:r>
      <w:r>
        <w:rPr>
          <w:rFonts w:hint="default" w:ascii="Times New Roman" w:hAnsi="Times New Roman" w:eastAsia="宋体" w:cs="Times New Roman"/>
          <w:b/>
          <w:bCs/>
          <w:color w:val="auto"/>
          <w:kern w:val="0"/>
          <w:sz w:val="24"/>
          <w:szCs w:val="24"/>
          <w:lang w:val="en-US" w:eastAsia="zh-CN" w:bidi="ar-SA"/>
        </w:rPr>
        <w:t>天</w:t>
      </w:r>
      <w:r>
        <w:rPr>
          <w:rFonts w:hint="eastAsia" w:ascii="Times New Roman" w:hAnsi="Times New Roman" w:eastAsia="宋体" w:cs="Times New Roman"/>
          <w:b/>
          <w:bCs/>
          <w:color w:val="auto"/>
          <w:kern w:val="0"/>
          <w:sz w:val="24"/>
          <w:szCs w:val="24"/>
          <w:lang w:val="en-US" w:eastAsia="zh-CN" w:bidi="ar-SA"/>
        </w:rPr>
        <w:t>石油类</w:t>
      </w:r>
      <w:r>
        <w:rPr>
          <w:rFonts w:hint="default" w:ascii="Times New Roman" w:hAnsi="Times New Roman" w:eastAsia="宋体" w:cs="Times New Roman"/>
          <w:b/>
          <w:bCs/>
          <w:color w:val="auto"/>
          <w:kern w:val="0"/>
          <w:sz w:val="24"/>
          <w:szCs w:val="24"/>
          <w:lang w:val="en-US" w:eastAsia="zh-CN" w:bidi="ar-SA"/>
        </w:rPr>
        <w:t>运移情况</w:t>
      </w:r>
    </w:p>
    <w:p w14:paraId="63D4BE2A">
      <w:pPr>
        <w:widowControl w:val="0"/>
        <w:spacing w:line="360" w:lineRule="auto"/>
        <w:ind w:left="0" w:leftChars="0" w:firstLine="0" w:firstLineChars="0"/>
        <w:jc w:val="both"/>
        <w:rPr>
          <w:rFonts w:hint="eastAsia" w:ascii="Times New Roman" w:hAnsi="Times New Roman" w:eastAsia="宋体" w:cs="Times New Roman"/>
          <w:snapToGrid w:val="0"/>
          <w:color w:val="auto"/>
          <w:kern w:val="2"/>
          <w:sz w:val="24"/>
          <w:szCs w:val="22"/>
          <w:lang w:val="en-US" w:eastAsia="zh-CN" w:bidi="ar-SA"/>
        </w:rPr>
      </w:pPr>
      <w:r>
        <w:rPr>
          <w:rFonts w:hint="eastAsia" w:ascii="Times New Roman" w:hAnsi="Times New Roman" w:eastAsia="宋体" w:cs="Times New Roman"/>
          <w:snapToGrid w:val="0"/>
          <w:color w:val="auto"/>
          <w:kern w:val="2"/>
          <w:sz w:val="24"/>
          <w:szCs w:val="22"/>
          <w:lang w:val="en-US" w:eastAsia="zh-CN" w:bidi="ar-SA"/>
        </w:rPr>
        <w:drawing>
          <wp:inline distT="0" distB="0" distL="114300" distR="114300">
            <wp:extent cx="4912995" cy="3010535"/>
            <wp:effectExtent l="0" t="0" r="1905" b="18415"/>
            <wp:docPr id="63" name="图片 63" descr="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1000"/>
                    <pic:cNvPicPr>
                      <a:picLocks noChangeAspect="1"/>
                    </pic:cNvPicPr>
                  </pic:nvPicPr>
                  <pic:blipFill>
                    <a:blip r:embed="rId77"/>
                    <a:stretch>
                      <a:fillRect/>
                    </a:stretch>
                  </pic:blipFill>
                  <pic:spPr>
                    <a:xfrm>
                      <a:off x="0" y="0"/>
                      <a:ext cx="4912995" cy="3010535"/>
                    </a:xfrm>
                    <a:prstGeom prst="rect">
                      <a:avLst/>
                    </a:prstGeom>
                  </pic:spPr>
                </pic:pic>
              </a:graphicData>
            </a:graphic>
          </wp:inline>
        </w:drawing>
      </w:r>
    </w:p>
    <w:p w14:paraId="29B6BDF4">
      <w:pPr>
        <w:widowControl w:val="0"/>
        <w:wordWrap w:val="0"/>
        <w:adjustRightInd w:val="0"/>
        <w:snapToGrid w:val="0"/>
        <w:spacing w:line="360" w:lineRule="auto"/>
        <w:ind w:firstLine="482"/>
        <w:jc w:val="center"/>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图</w:t>
      </w:r>
      <w:r>
        <w:rPr>
          <w:rFonts w:hint="eastAsia" w:ascii="Times New Roman" w:hAnsi="Times New Roman" w:eastAsia="宋体" w:cs="Times New Roman"/>
          <w:b/>
          <w:bCs/>
          <w:color w:val="auto"/>
          <w:kern w:val="0"/>
          <w:sz w:val="24"/>
          <w:szCs w:val="24"/>
          <w:lang w:val="en-US" w:eastAsia="zh-CN" w:bidi="ar-SA"/>
        </w:rPr>
        <w:t>4.3-5</w:t>
      </w:r>
      <w:r>
        <w:rPr>
          <w:rFonts w:hint="default" w:ascii="Times New Roman" w:hAnsi="Times New Roman" w:eastAsia="宋体" w:cs="Times New Roman"/>
          <w:b/>
          <w:bCs/>
          <w:color w:val="auto"/>
          <w:kern w:val="0"/>
          <w:sz w:val="24"/>
          <w:szCs w:val="24"/>
          <w:lang w:val="en-US" w:eastAsia="zh-CN" w:bidi="ar-SA"/>
        </w:rPr>
        <w:t xml:space="preserve">  </w:t>
      </w:r>
      <w:r>
        <w:rPr>
          <w:rFonts w:hint="eastAsia" w:ascii="Times New Roman" w:hAnsi="Times New Roman" w:eastAsia="宋体" w:cs="Times New Roman"/>
          <w:b/>
          <w:bCs/>
          <w:color w:val="auto"/>
          <w:kern w:val="0"/>
          <w:sz w:val="24"/>
          <w:szCs w:val="24"/>
          <w:lang w:val="en-US" w:eastAsia="zh-CN" w:bidi="ar-SA"/>
        </w:rPr>
        <w:t>LPG</w:t>
      </w:r>
      <w:r>
        <w:rPr>
          <w:rFonts w:hint="default" w:ascii="Times New Roman" w:hAnsi="Times New Roman" w:eastAsia="宋体" w:cs="Times New Roman"/>
          <w:b/>
          <w:bCs/>
          <w:color w:val="auto"/>
          <w:kern w:val="0"/>
          <w:sz w:val="24"/>
          <w:szCs w:val="24"/>
          <w:lang w:val="en-US" w:eastAsia="zh-CN" w:bidi="ar-SA"/>
        </w:rPr>
        <w:t>残液罐泄漏</w:t>
      </w:r>
      <w:r>
        <w:rPr>
          <w:rFonts w:hint="eastAsia" w:ascii="Times New Roman" w:hAnsi="Times New Roman" w:eastAsia="宋体" w:cs="Times New Roman"/>
          <w:b/>
          <w:bCs/>
          <w:color w:val="auto"/>
          <w:kern w:val="0"/>
          <w:sz w:val="24"/>
          <w:szCs w:val="24"/>
          <w:lang w:val="en-US" w:eastAsia="zh-CN" w:bidi="ar-SA"/>
        </w:rPr>
        <w:t>后2天后</w:t>
      </w:r>
      <w:r>
        <w:rPr>
          <w:rFonts w:hint="default" w:ascii="Times New Roman" w:hAnsi="Times New Roman" w:eastAsia="宋体" w:cs="Times New Roman"/>
          <w:b/>
          <w:bCs/>
          <w:color w:val="auto"/>
          <w:kern w:val="0"/>
          <w:sz w:val="24"/>
          <w:szCs w:val="24"/>
          <w:lang w:val="en-US" w:eastAsia="zh-CN" w:bidi="ar-SA"/>
        </w:rPr>
        <w:t>第</w:t>
      </w:r>
      <w:r>
        <w:rPr>
          <w:rFonts w:hint="eastAsia" w:ascii="Times New Roman" w:hAnsi="Times New Roman" w:eastAsia="宋体" w:cs="Times New Roman"/>
          <w:b/>
          <w:bCs/>
          <w:color w:val="auto"/>
          <w:kern w:val="0"/>
          <w:sz w:val="24"/>
          <w:szCs w:val="24"/>
          <w:lang w:val="en-US" w:eastAsia="zh-CN" w:bidi="ar-SA"/>
        </w:rPr>
        <w:t>1000</w:t>
      </w:r>
      <w:r>
        <w:rPr>
          <w:rFonts w:hint="default" w:ascii="Times New Roman" w:hAnsi="Times New Roman" w:eastAsia="宋体" w:cs="Times New Roman"/>
          <w:b/>
          <w:bCs/>
          <w:color w:val="auto"/>
          <w:kern w:val="0"/>
          <w:sz w:val="24"/>
          <w:szCs w:val="24"/>
          <w:lang w:val="en-US" w:eastAsia="zh-CN" w:bidi="ar-SA"/>
        </w:rPr>
        <w:t>天</w:t>
      </w:r>
      <w:r>
        <w:rPr>
          <w:rFonts w:hint="eastAsia" w:ascii="Times New Roman" w:hAnsi="Times New Roman" w:eastAsia="宋体" w:cs="Times New Roman"/>
          <w:b/>
          <w:bCs/>
          <w:color w:val="auto"/>
          <w:kern w:val="0"/>
          <w:sz w:val="24"/>
          <w:szCs w:val="24"/>
          <w:lang w:val="en-US" w:eastAsia="zh-CN" w:bidi="ar-SA"/>
        </w:rPr>
        <w:t>石油类</w:t>
      </w:r>
      <w:r>
        <w:rPr>
          <w:rFonts w:hint="default" w:ascii="Times New Roman" w:hAnsi="Times New Roman" w:eastAsia="宋体" w:cs="Times New Roman"/>
          <w:b/>
          <w:bCs/>
          <w:color w:val="auto"/>
          <w:kern w:val="0"/>
          <w:sz w:val="24"/>
          <w:szCs w:val="24"/>
          <w:lang w:val="en-US" w:eastAsia="zh-CN" w:bidi="ar-SA"/>
        </w:rPr>
        <w:t>运移情况</w:t>
      </w:r>
    </w:p>
    <w:p w14:paraId="46338140">
      <w:pPr>
        <w:widowControl w:val="0"/>
        <w:spacing w:line="360" w:lineRule="auto"/>
        <w:ind w:left="0" w:leftChars="0" w:firstLine="0" w:firstLineChars="0"/>
        <w:jc w:val="both"/>
        <w:rPr>
          <w:rFonts w:hint="eastAsia" w:ascii="Times New Roman" w:hAnsi="Times New Roman" w:eastAsia="宋体" w:cs="Times New Roman"/>
          <w:snapToGrid w:val="0"/>
          <w:color w:val="auto"/>
          <w:kern w:val="2"/>
          <w:sz w:val="24"/>
          <w:szCs w:val="22"/>
          <w:lang w:val="en-US" w:eastAsia="zh-CN" w:bidi="ar-SA"/>
        </w:rPr>
      </w:pPr>
      <w:r>
        <w:rPr>
          <w:rFonts w:hint="eastAsia" w:ascii="Times New Roman" w:hAnsi="Times New Roman" w:eastAsia="宋体" w:cs="Times New Roman"/>
          <w:snapToGrid w:val="0"/>
          <w:color w:val="auto"/>
          <w:kern w:val="2"/>
          <w:sz w:val="24"/>
          <w:szCs w:val="22"/>
          <w:lang w:val="en-US" w:eastAsia="zh-CN" w:bidi="ar-SA"/>
        </w:rPr>
        <w:drawing>
          <wp:inline distT="0" distB="0" distL="114300" distR="114300">
            <wp:extent cx="5267325" cy="3451860"/>
            <wp:effectExtent l="0" t="0" r="9525" b="15240"/>
            <wp:docPr id="79" name="图片 79" descr="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3650"/>
                    <pic:cNvPicPr>
                      <a:picLocks noChangeAspect="1"/>
                    </pic:cNvPicPr>
                  </pic:nvPicPr>
                  <pic:blipFill>
                    <a:blip r:embed="rId78"/>
                    <a:stretch>
                      <a:fillRect/>
                    </a:stretch>
                  </pic:blipFill>
                  <pic:spPr>
                    <a:xfrm>
                      <a:off x="0" y="0"/>
                      <a:ext cx="5267325" cy="3451860"/>
                    </a:xfrm>
                    <a:prstGeom prst="rect">
                      <a:avLst/>
                    </a:prstGeom>
                  </pic:spPr>
                </pic:pic>
              </a:graphicData>
            </a:graphic>
          </wp:inline>
        </w:drawing>
      </w:r>
    </w:p>
    <w:p w14:paraId="1023A0A1">
      <w:pPr>
        <w:widowControl w:val="0"/>
        <w:wordWrap w:val="0"/>
        <w:adjustRightInd w:val="0"/>
        <w:snapToGrid w:val="0"/>
        <w:spacing w:line="360" w:lineRule="auto"/>
        <w:ind w:firstLine="482"/>
        <w:jc w:val="center"/>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图</w:t>
      </w:r>
      <w:r>
        <w:rPr>
          <w:rFonts w:hint="eastAsia" w:ascii="Times New Roman" w:hAnsi="Times New Roman" w:eastAsia="宋体" w:cs="Times New Roman"/>
          <w:b/>
          <w:bCs/>
          <w:color w:val="auto"/>
          <w:kern w:val="0"/>
          <w:sz w:val="24"/>
          <w:szCs w:val="24"/>
          <w:lang w:val="en-US" w:eastAsia="zh-CN" w:bidi="ar-SA"/>
        </w:rPr>
        <w:t>4.3-6</w:t>
      </w:r>
      <w:r>
        <w:rPr>
          <w:rFonts w:hint="default" w:ascii="Times New Roman" w:hAnsi="Times New Roman" w:eastAsia="宋体" w:cs="Times New Roman"/>
          <w:b/>
          <w:bCs/>
          <w:color w:val="auto"/>
          <w:kern w:val="0"/>
          <w:sz w:val="24"/>
          <w:szCs w:val="24"/>
          <w:lang w:val="en-US" w:eastAsia="zh-CN" w:bidi="ar-SA"/>
        </w:rPr>
        <w:t xml:space="preserve">  </w:t>
      </w:r>
      <w:r>
        <w:rPr>
          <w:rFonts w:hint="eastAsia" w:ascii="Times New Roman" w:hAnsi="Times New Roman" w:eastAsia="宋体" w:cs="Times New Roman"/>
          <w:b/>
          <w:bCs/>
          <w:color w:val="auto"/>
          <w:kern w:val="0"/>
          <w:sz w:val="24"/>
          <w:szCs w:val="24"/>
          <w:lang w:val="en-US" w:eastAsia="zh-CN" w:bidi="ar-SA"/>
        </w:rPr>
        <w:t>LPG</w:t>
      </w:r>
      <w:r>
        <w:rPr>
          <w:rFonts w:hint="default" w:ascii="Times New Roman" w:hAnsi="Times New Roman" w:eastAsia="宋体" w:cs="Times New Roman"/>
          <w:b/>
          <w:bCs/>
          <w:color w:val="auto"/>
          <w:kern w:val="0"/>
          <w:sz w:val="24"/>
          <w:szCs w:val="24"/>
          <w:lang w:val="en-US" w:eastAsia="zh-CN" w:bidi="ar-SA"/>
        </w:rPr>
        <w:t>残液罐泄漏</w:t>
      </w:r>
      <w:r>
        <w:rPr>
          <w:rFonts w:hint="eastAsia" w:ascii="Times New Roman" w:hAnsi="Times New Roman" w:eastAsia="宋体" w:cs="Times New Roman"/>
          <w:b/>
          <w:bCs/>
          <w:color w:val="auto"/>
          <w:kern w:val="0"/>
          <w:sz w:val="24"/>
          <w:szCs w:val="24"/>
          <w:lang w:val="en-US" w:eastAsia="zh-CN" w:bidi="ar-SA"/>
        </w:rPr>
        <w:t>后2天后</w:t>
      </w:r>
      <w:r>
        <w:rPr>
          <w:rFonts w:hint="default" w:ascii="Times New Roman" w:hAnsi="Times New Roman" w:eastAsia="宋体" w:cs="Times New Roman"/>
          <w:b/>
          <w:bCs/>
          <w:color w:val="auto"/>
          <w:kern w:val="0"/>
          <w:sz w:val="24"/>
          <w:szCs w:val="24"/>
          <w:lang w:val="en-US" w:eastAsia="zh-CN" w:bidi="ar-SA"/>
        </w:rPr>
        <w:t>第</w:t>
      </w:r>
      <w:r>
        <w:rPr>
          <w:rFonts w:hint="eastAsia" w:ascii="Times New Roman" w:hAnsi="Times New Roman" w:eastAsia="宋体" w:cs="Times New Roman"/>
          <w:b/>
          <w:bCs/>
          <w:color w:val="auto"/>
          <w:kern w:val="0"/>
          <w:sz w:val="24"/>
          <w:szCs w:val="24"/>
          <w:lang w:val="en-US" w:eastAsia="zh-CN" w:bidi="ar-SA"/>
        </w:rPr>
        <w:t>3650</w:t>
      </w:r>
      <w:r>
        <w:rPr>
          <w:rFonts w:hint="default" w:ascii="Times New Roman" w:hAnsi="Times New Roman" w:eastAsia="宋体" w:cs="Times New Roman"/>
          <w:b/>
          <w:bCs/>
          <w:color w:val="auto"/>
          <w:kern w:val="0"/>
          <w:sz w:val="24"/>
          <w:szCs w:val="24"/>
          <w:lang w:val="en-US" w:eastAsia="zh-CN" w:bidi="ar-SA"/>
        </w:rPr>
        <w:t>天</w:t>
      </w:r>
      <w:r>
        <w:rPr>
          <w:rFonts w:hint="eastAsia" w:ascii="Times New Roman" w:hAnsi="Times New Roman" w:eastAsia="宋体" w:cs="Times New Roman"/>
          <w:b/>
          <w:bCs/>
          <w:color w:val="auto"/>
          <w:kern w:val="0"/>
          <w:sz w:val="24"/>
          <w:szCs w:val="24"/>
          <w:lang w:val="en-US" w:eastAsia="zh-CN" w:bidi="ar-SA"/>
        </w:rPr>
        <w:t>石油类</w:t>
      </w:r>
      <w:r>
        <w:rPr>
          <w:rFonts w:hint="default" w:ascii="Times New Roman" w:hAnsi="Times New Roman" w:eastAsia="宋体" w:cs="Times New Roman"/>
          <w:b/>
          <w:bCs/>
          <w:color w:val="auto"/>
          <w:kern w:val="0"/>
          <w:sz w:val="24"/>
          <w:szCs w:val="24"/>
          <w:lang w:val="en-US" w:eastAsia="zh-CN" w:bidi="ar-SA"/>
        </w:rPr>
        <w:t>运移情况</w:t>
      </w:r>
    </w:p>
    <w:p w14:paraId="20CBC65B">
      <w:pPr>
        <w:widowControl w:val="0"/>
        <w:spacing w:line="360" w:lineRule="auto"/>
        <w:ind w:left="0" w:leftChars="0" w:firstLine="0" w:firstLineChars="0"/>
        <w:jc w:val="both"/>
        <w:rPr>
          <w:rFonts w:hint="eastAsia" w:ascii="Times New Roman" w:hAnsi="Times New Roman" w:eastAsia="宋体" w:cs="Times New Roman"/>
          <w:snapToGrid w:val="0"/>
          <w:color w:val="auto"/>
          <w:kern w:val="2"/>
          <w:sz w:val="24"/>
          <w:szCs w:val="22"/>
          <w:lang w:val="en-US" w:eastAsia="zh-CN" w:bidi="ar-SA"/>
        </w:rPr>
      </w:pPr>
      <w:r>
        <w:rPr>
          <w:rFonts w:hint="eastAsia" w:ascii="Times New Roman" w:hAnsi="Times New Roman" w:eastAsia="宋体" w:cs="Times New Roman"/>
          <w:snapToGrid w:val="0"/>
          <w:color w:val="auto"/>
          <w:kern w:val="2"/>
          <w:sz w:val="24"/>
          <w:szCs w:val="22"/>
          <w:lang w:val="en-US" w:eastAsia="zh-CN" w:bidi="ar-SA"/>
        </w:rPr>
        <w:drawing>
          <wp:inline distT="0" distB="0" distL="114300" distR="114300">
            <wp:extent cx="5263515" cy="3629025"/>
            <wp:effectExtent l="0" t="0" r="13335" b="9525"/>
            <wp:docPr id="85" name="图片 85" descr="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5000"/>
                    <pic:cNvPicPr>
                      <a:picLocks noChangeAspect="1"/>
                    </pic:cNvPicPr>
                  </pic:nvPicPr>
                  <pic:blipFill>
                    <a:blip r:embed="rId79"/>
                    <a:stretch>
                      <a:fillRect/>
                    </a:stretch>
                  </pic:blipFill>
                  <pic:spPr>
                    <a:xfrm>
                      <a:off x="0" y="0"/>
                      <a:ext cx="5263515" cy="3629025"/>
                    </a:xfrm>
                    <a:prstGeom prst="rect">
                      <a:avLst/>
                    </a:prstGeom>
                  </pic:spPr>
                </pic:pic>
              </a:graphicData>
            </a:graphic>
          </wp:inline>
        </w:drawing>
      </w:r>
    </w:p>
    <w:p w14:paraId="5726D7EA">
      <w:pPr>
        <w:widowControl w:val="0"/>
        <w:wordWrap w:val="0"/>
        <w:adjustRightInd w:val="0"/>
        <w:snapToGrid w:val="0"/>
        <w:spacing w:line="360" w:lineRule="auto"/>
        <w:ind w:firstLine="482"/>
        <w:jc w:val="center"/>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图</w:t>
      </w:r>
      <w:r>
        <w:rPr>
          <w:rFonts w:hint="eastAsia" w:ascii="Times New Roman" w:hAnsi="Times New Roman" w:eastAsia="宋体" w:cs="Times New Roman"/>
          <w:b/>
          <w:bCs/>
          <w:color w:val="auto"/>
          <w:kern w:val="0"/>
          <w:sz w:val="24"/>
          <w:szCs w:val="24"/>
          <w:lang w:val="en-US" w:eastAsia="zh-CN" w:bidi="ar-SA"/>
        </w:rPr>
        <w:t>4.3-7</w:t>
      </w:r>
      <w:r>
        <w:rPr>
          <w:rFonts w:hint="default" w:ascii="Times New Roman" w:hAnsi="Times New Roman" w:eastAsia="宋体" w:cs="Times New Roman"/>
          <w:b/>
          <w:bCs/>
          <w:color w:val="auto"/>
          <w:kern w:val="0"/>
          <w:sz w:val="24"/>
          <w:szCs w:val="24"/>
          <w:lang w:val="en-US" w:eastAsia="zh-CN" w:bidi="ar-SA"/>
        </w:rPr>
        <w:t xml:space="preserve">  </w:t>
      </w:r>
      <w:r>
        <w:rPr>
          <w:rFonts w:hint="eastAsia" w:ascii="Times New Roman" w:hAnsi="Times New Roman" w:eastAsia="宋体" w:cs="Times New Roman"/>
          <w:b/>
          <w:bCs/>
          <w:color w:val="auto"/>
          <w:kern w:val="0"/>
          <w:sz w:val="24"/>
          <w:szCs w:val="24"/>
          <w:lang w:val="en-US" w:eastAsia="zh-CN" w:bidi="ar-SA"/>
        </w:rPr>
        <w:t>LPG</w:t>
      </w:r>
      <w:r>
        <w:rPr>
          <w:rFonts w:hint="default" w:ascii="Times New Roman" w:hAnsi="Times New Roman" w:eastAsia="宋体" w:cs="Times New Roman"/>
          <w:b/>
          <w:bCs/>
          <w:color w:val="auto"/>
          <w:kern w:val="0"/>
          <w:sz w:val="24"/>
          <w:szCs w:val="24"/>
          <w:lang w:val="en-US" w:eastAsia="zh-CN" w:bidi="ar-SA"/>
        </w:rPr>
        <w:t>残液罐泄漏</w:t>
      </w:r>
      <w:r>
        <w:rPr>
          <w:rFonts w:hint="eastAsia" w:ascii="Times New Roman" w:hAnsi="Times New Roman" w:eastAsia="宋体" w:cs="Times New Roman"/>
          <w:b/>
          <w:bCs/>
          <w:color w:val="auto"/>
          <w:kern w:val="0"/>
          <w:sz w:val="24"/>
          <w:szCs w:val="24"/>
          <w:lang w:val="en-US" w:eastAsia="zh-CN" w:bidi="ar-SA"/>
        </w:rPr>
        <w:t>后2天后</w:t>
      </w:r>
      <w:r>
        <w:rPr>
          <w:rFonts w:hint="default" w:ascii="Times New Roman" w:hAnsi="Times New Roman" w:eastAsia="宋体" w:cs="Times New Roman"/>
          <w:b/>
          <w:bCs/>
          <w:color w:val="auto"/>
          <w:kern w:val="0"/>
          <w:sz w:val="24"/>
          <w:szCs w:val="24"/>
          <w:lang w:val="en-US" w:eastAsia="zh-CN" w:bidi="ar-SA"/>
        </w:rPr>
        <w:t>第</w:t>
      </w:r>
      <w:r>
        <w:rPr>
          <w:rFonts w:hint="eastAsia" w:ascii="Times New Roman" w:hAnsi="Times New Roman" w:eastAsia="宋体" w:cs="Times New Roman"/>
          <w:b/>
          <w:bCs/>
          <w:color w:val="auto"/>
          <w:kern w:val="0"/>
          <w:sz w:val="24"/>
          <w:szCs w:val="24"/>
          <w:lang w:val="en-US" w:eastAsia="zh-CN" w:bidi="ar-SA"/>
        </w:rPr>
        <w:t>5000</w:t>
      </w:r>
      <w:r>
        <w:rPr>
          <w:rFonts w:hint="default" w:ascii="Times New Roman" w:hAnsi="Times New Roman" w:eastAsia="宋体" w:cs="Times New Roman"/>
          <w:b/>
          <w:bCs/>
          <w:color w:val="auto"/>
          <w:kern w:val="0"/>
          <w:sz w:val="24"/>
          <w:szCs w:val="24"/>
          <w:lang w:val="en-US" w:eastAsia="zh-CN" w:bidi="ar-SA"/>
        </w:rPr>
        <w:t>天</w:t>
      </w:r>
      <w:r>
        <w:rPr>
          <w:rFonts w:hint="eastAsia" w:ascii="Times New Roman" w:hAnsi="Times New Roman" w:eastAsia="宋体" w:cs="Times New Roman"/>
          <w:b/>
          <w:bCs/>
          <w:color w:val="auto"/>
          <w:kern w:val="0"/>
          <w:sz w:val="24"/>
          <w:szCs w:val="24"/>
          <w:lang w:val="en-US" w:eastAsia="zh-CN" w:bidi="ar-SA"/>
        </w:rPr>
        <w:t>石油类</w:t>
      </w:r>
      <w:r>
        <w:rPr>
          <w:rFonts w:hint="default" w:ascii="Times New Roman" w:hAnsi="Times New Roman" w:eastAsia="宋体" w:cs="Times New Roman"/>
          <w:b/>
          <w:bCs/>
          <w:color w:val="auto"/>
          <w:kern w:val="0"/>
          <w:sz w:val="24"/>
          <w:szCs w:val="24"/>
          <w:lang w:val="en-US" w:eastAsia="zh-CN" w:bidi="ar-SA"/>
        </w:rPr>
        <w:t>运移情况</w:t>
      </w:r>
    </w:p>
    <w:p w14:paraId="000543C2">
      <w:pPr>
        <w:widowControl w:val="0"/>
        <w:spacing w:line="360" w:lineRule="auto"/>
        <w:ind w:left="0" w:leftChars="0" w:firstLine="0" w:firstLineChars="0"/>
        <w:jc w:val="both"/>
        <w:rPr>
          <w:rFonts w:hint="eastAsia" w:ascii="Times New Roman" w:hAnsi="Times New Roman" w:eastAsia="宋体" w:cs="Times New Roman"/>
          <w:snapToGrid w:val="0"/>
          <w:color w:val="auto"/>
          <w:kern w:val="2"/>
          <w:sz w:val="24"/>
          <w:szCs w:val="22"/>
          <w:lang w:val="en-US" w:eastAsia="zh-CN" w:bidi="ar-SA"/>
        </w:rPr>
      </w:pPr>
      <w:r>
        <w:rPr>
          <w:rFonts w:hint="eastAsia" w:ascii="Times New Roman" w:hAnsi="Times New Roman" w:eastAsia="宋体" w:cs="Times New Roman"/>
          <w:snapToGrid w:val="0"/>
          <w:color w:val="auto"/>
          <w:kern w:val="2"/>
          <w:sz w:val="24"/>
          <w:szCs w:val="22"/>
          <w:lang w:val="en-US" w:eastAsia="zh-CN" w:bidi="ar-SA"/>
        </w:rPr>
        <w:drawing>
          <wp:inline distT="0" distB="0" distL="114300" distR="114300">
            <wp:extent cx="5263515" cy="3629025"/>
            <wp:effectExtent l="0" t="0" r="13335" b="9525"/>
            <wp:docPr id="86" name="图片 86" descr="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7300"/>
                    <pic:cNvPicPr>
                      <a:picLocks noChangeAspect="1"/>
                    </pic:cNvPicPr>
                  </pic:nvPicPr>
                  <pic:blipFill>
                    <a:blip r:embed="rId80"/>
                    <a:stretch>
                      <a:fillRect/>
                    </a:stretch>
                  </pic:blipFill>
                  <pic:spPr>
                    <a:xfrm>
                      <a:off x="0" y="0"/>
                      <a:ext cx="5263515" cy="3629025"/>
                    </a:xfrm>
                    <a:prstGeom prst="rect">
                      <a:avLst/>
                    </a:prstGeom>
                  </pic:spPr>
                </pic:pic>
              </a:graphicData>
            </a:graphic>
          </wp:inline>
        </w:drawing>
      </w:r>
    </w:p>
    <w:p w14:paraId="4AF20AD1">
      <w:pPr>
        <w:widowControl w:val="0"/>
        <w:wordWrap w:val="0"/>
        <w:adjustRightInd w:val="0"/>
        <w:snapToGrid w:val="0"/>
        <w:spacing w:line="360" w:lineRule="auto"/>
        <w:ind w:firstLine="482"/>
        <w:jc w:val="center"/>
        <w:rPr>
          <w:rFonts w:hint="default" w:ascii="Times New Roman" w:hAnsi="Times New Roman" w:eastAsia="宋体" w:cs="Times New Roman"/>
          <w:b/>
          <w:bCs/>
          <w:color w:val="auto"/>
          <w:kern w:val="0"/>
          <w:sz w:val="24"/>
          <w:szCs w:val="24"/>
          <w:lang w:val="en-US" w:eastAsia="zh-CN" w:bidi="ar-SA"/>
        </w:rPr>
      </w:pPr>
      <w:r>
        <w:rPr>
          <w:rFonts w:hint="default" w:ascii="Times New Roman" w:hAnsi="Times New Roman" w:eastAsia="宋体" w:cs="Times New Roman"/>
          <w:b/>
          <w:bCs/>
          <w:color w:val="auto"/>
          <w:kern w:val="0"/>
          <w:sz w:val="24"/>
          <w:szCs w:val="24"/>
          <w:lang w:val="en-US" w:eastAsia="zh-CN" w:bidi="ar-SA"/>
        </w:rPr>
        <w:t>图</w:t>
      </w:r>
      <w:r>
        <w:rPr>
          <w:rFonts w:hint="eastAsia" w:ascii="Times New Roman" w:hAnsi="Times New Roman" w:eastAsia="宋体" w:cs="Times New Roman"/>
          <w:b/>
          <w:bCs/>
          <w:color w:val="auto"/>
          <w:kern w:val="0"/>
          <w:sz w:val="24"/>
          <w:szCs w:val="24"/>
          <w:lang w:val="en-US" w:eastAsia="zh-CN" w:bidi="ar-SA"/>
        </w:rPr>
        <w:t>4.3-8</w:t>
      </w:r>
      <w:r>
        <w:rPr>
          <w:rFonts w:hint="default" w:ascii="Times New Roman" w:hAnsi="Times New Roman" w:eastAsia="宋体" w:cs="Times New Roman"/>
          <w:b/>
          <w:bCs/>
          <w:color w:val="auto"/>
          <w:kern w:val="0"/>
          <w:sz w:val="24"/>
          <w:szCs w:val="24"/>
          <w:lang w:val="en-US" w:eastAsia="zh-CN" w:bidi="ar-SA"/>
        </w:rPr>
        <w:t xml:space="preserve">  </w:t>
      </w:r>
      <w:r>
        <w:rPr>
          <w:rFonts w:hint="eastAsia" w:ascii="Times New Roman" w:hAnsi="Times New Roman" w:eastAsia="宋体" w:cs="Times New Roman"/>
          <w:b/>
          <w:bCs/>
          <w:color w:val="auto"/>
          <w:kern w:val="0"/>
          <w:sz w:val="24"/>
          <w:szCs w:val="24"/>
          <w:lang w:val="en-US" w:eastAsia="zh-CN" w:bidi="ar-SA"/>
        </w:rPr>
        <w:t>LPG</w:t>
      </w:r>
      <w:r>
        <w:rPr>
          <w:rFonts w:hint="default" w:ascii="Times New Roman" w:hAnsi="Times New Roman" w:eastAsia="宋体" w:cs="Times New Roman"/>
          <w:b/>
          <w:bCs/>
          <w:color w:val="auto"/>
          <w:kern w:val="0"/>
          <w:sz w:val="24"/>
          <w:szCs w:val="24"/>
          <w:lang w:val="en-US" w:eastAsia="zh-CN" w:bidi="ar-SA"/>
        </w:rPr>
        <w:t>残液罐泄漏</w:t>
      </w:r>
      <w:r>
        <w:rPr>
          <w:rFonts w:hint="eastAsia" w:ascii="Times New Roman" w:hAnsi="Times New Roman" w:eastAsia="宋体" w:cs="Times New Roman"/>
          <w:b/>
          <w:bCs/>
          <w:color w:val="auto"/>
          <w:kern w:val="0"/>
          <w:sz w:val="24"/>
          <w:szCs w:val="24"/>
          <w:lang w:val="en-US" w:eastAsia="zh-CN" w:bidi="ar-SA"/>
        </w:rPr>
        <w:t>后2天后</w:t>
      </w:r>
      <w:r>
        <w:rPr>
          <w:rFonts w:hint="default" w:ascii="Times New Roman" w:hAnsi="Times New Roman" w:eastAsia="宋体" w:cs="Times New Roman"/>
          <w:b/>
          <w:bCs/>
          <w:color w:val="auto"/>
          <w:kern w:val="0"/>
          <w:sz w:val="24"/>
          <w:szCs w:val="24"/>
          <w:lang w:val="en-US" w:eastAsia="zh-CN" w:bidi="ar-SA"/>
        </w:rPr>
        <w:t>第</w:t>
      </w:r>
      <w:r>
        <w:rPr>
          <w:rFonts w:hint="eastAsia" w:ascii="Times New Roman" w:hAnsi="Times New Roman" w:eastAsia="宋体" w:cs="Times New Roman"/>
          <w:b/>
          <w:bCs/>
          <w:color w:val="auto"/>
          <w:kern w:val="0"/>
          <w:sz w:val="24"/>
          <w:szCs w:val="24"/>
          <w:lang w:val="en-US" w:eastAsia="zh-CN" w:bidi="ar-SA"/>
        </w:rPr>
        <w:t>7300</w:t>
      </w:r>
      <w:r>
        <w:rPr>
          <w:rFonts w:hint="default" w:ascii="Times New Roman" w:hAnsi="Times New Roman" w:eastAsia="宋体" w:cs="Times New Roman"/>
          <w:b/>
          <w:bCs/>
          <w:color w:val="auto"/>
          <w:kern w:val="0"/>
          <w:sz w:val="24"/>
          <w:szCs w:val="24"/>
          <w:lang w:val="en-US" w:eastAsia="zh-CN" w:bidi="ar-SA"/>
        </w:rPr>
        <w:t>天</w:t>
      </w:r>
      <w:r>
        <w:rPr>
          <w:rFonts w:hint="eastAsia" w:ascii="Times New Roman" w:hAnsi="Times New Roman" w:eastAsia="宋体" w:cs="Times New Roman"/>
          <w:b/>
          <w:bCs/>
          <w:color w:val="auto"/>
          <w:kern w:val="0"/>
          <w:sz w:val="24"/>
          <w:szCs w:val="24"/>
          <w:lang w:val="en-US" w:eastAsia="zh-CN" w:bidi="ar-SA"/>
        </w:rPr>
        <w:t>石油类</w:t>
      </w:r>
      <w:r>
        <w:rPr>
          <w:rFonts w:hint="default" w:ascii="Times New Roman" w:hAnsi="Times New Roman" w:eastAsia="宋体" w:cs="Times New Roman"/>
          <w:b/>
          <w:bCs/>
          <w:color w:val="auto"/>
          <w:kern w:val="0"/>
          <w:sz w:val="24"/>
          <w:szCs w:val="24"/>
          <w:lang w:val="en-US" w:eastAsia="zh-CN" w:bidi="ar-SA"/>
        </w:rPr>
        <w:t>运移情况</w:t>
      </w:r>
    </w:p>
    <w:p w14:paraId="6A6F47B5">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0000FF"/>
          <w:kern w:val="0"/>
          <w:sz w:val="24"/>
          <w:szCs w:val="21"/>
          <w:lang w:val="en-US" w:eastAsia="zh-CN" w:bidi="ar-SA"/>
        </w:rPr>
      </w:pPr>
      <w:r>
        <w:rPr>
          <w:rFonts w:hint="default" w:ascii="Times New Roman" w:hAnsi="Times New Roman" w:eastAsia="宋体" w:cs="Times New Roman"/>
          <w:color w:val="0000FF"/>
          <w:kern w:val="0"/>
          <w:sz w:val="24"/>
          <w:szCs w:val="21"/>
          <w:lang w:val="en-US" w:eastAsia="zh-CN" w:bidi="ar-SA"/>
        </w:rPr>
        <w:t>在防渗层失效、连续渗漏48小时的非正常工况下，石油类污染物随地下水水流向下游迁移，浓度随时间逐渐衰减，但超标持续时间长、影响范围广。</w:t>
      </w:r>
    </w:p>
    <w:p w14:paraId="28AE2FE9">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0000FF"/>
          <w:kern w:val="0"/>
          <w:sz w:val="24"/>
          <w:szCs w:val="21"/>
          <w:lang w:val="en-US" w:eastAsia="zh-CN" w:bidi="ar-SA"/>
        </w:rPr>
      </w:pPr>
      <w:r>
        <w:rPr>
          <w:rFonts w:hint="default" w:ascii="Times New Roman" w:hAnsi="Times New Roman" w:eastAsia="宋体" w:cs="Times New Roman"/>
          <w:color w:val="0000FF"/>
          <w:kern w:val="0"/>
          <w:sz w:val="24"/>
          <w:szCs w:val="21"/>
          <w:lang w:val="en-US" w:eastAsia="zh-CN" w:bidi="ar-SA"/>
        </w:rPr>
        <w:t>短期（100~1000 d）：污染物浓度较高，最大浓度为400mg/L（100 d），远超评价标准，主要影响厂区及周边近距离区域；</w:t>
      </w:r>
    </w:p>
    <w:p w14:paraId="453605EC">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0000FF"/>
          <w:kern w:val="0"/>
          <w:sz w:val="24"/>
          <w:szCs w:val="21"/>
          <w:lang w:val="en-US" w:eastAsia="zh-CN" w:bidi="ar-SA"/>
        </w:rPr>
      </w:pPr>
      <w:r>
        <w:rPr>
          <w:rFonts w:hint="default" w:ascii="Times New Roman" w:hAnsi="Times New Roman" w:eastAsia="宋体" w:cs="Times New Roman"/>
          <w:color w:val="0000FF"/>
          <w:kern w:val="0"/>
          <w:sz w:val="24"/>
          <w:szCs w:val="21"/>
          <w:lang w:val="en-US" w:eastAsia="zh-CN" w:bidi="ar-SA"/>
        </w:rPr>
        <w:t>长期（3650~7300 d）：污染物浓度降至3~9mg/L，但最远超标距离达1</w:t>
      </w:r>
      <w:r>
        <w:rPr>
          <w:rFonts w:hint="eastAsia" w:ascii="Times New Roman" w:hAnsi="Times New Roman" w:eastAsia="宋体" w:cs="Times New Roman"/>
          <w:color w:val="0000FF"/>
          <w:kern w:val="0"/>
          <w:sz w:val="24"/>
          <w:szCs w:val="21"/>
          <w:lang w:val="en-US" w:eastAsia="zh-CN" w:bidi="ar-SA"/>
        </w:rPr>
        <w:t>300</w:t>
      </w:r>
      <w:r>
        <w:rPr>
          <w:rFonts w:hint="default" w:ascii="Times New Roman" w:hAnsi="Times New Roman" w:eastAsia="宋体" w:cs="Times New Roman"/>
          <w:color w:val="0000FF"/>
          <w:kern w:val="0"/>
          <w:sz w:val="24"/>
          <w:szCs w:val="21"/>
          <w:lang w:val="en-US" w:eastAsia="zh-CN" w:bidi="ar-SA"/>
        </w:rPr>
        <w:t>m，仍未满足评价标准要求。</w:t>
      </w:r>
    </w:p>
    <w:p w14:paraId="40324B23">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0000FF"/>
          <w:kern w:val="0"/>
          <w:sz w:val="24"/>
          <w:szCs w:val="21"/>
          <w:lang w:val="en-US" w:eastAsia="zh-CN" w:bidi="ar-SA"/>
        </w:rPr>
      </w:pPr>
      <w:r>
        <w:rPr>
          <w:rFonts w:hint="default" w:ascii="Times New Roman" w:hAnsi="Times New Roman" w:eastAsia="宋体" w:cs="Times New Roman"/>
          <w:color w:val="0000FF"/>
          <w:kern w:val="0"/>
          <w:sz w:val="24"/>
          <w:szCs w:val="21"/>
          <w:lang w:val="en-US" w:eastAsia="zh-CN" w:bidi="ar-SA"/>
        </w:rPr>
        <w:t>综上，LPG残液罐防渗层失效泄漏对下游地下水水质存在长期不利影响，需严格落实防渗、泄漏监测及应急处置措施，加强日常管控，防范地下水污染风险。</w:t>
      </w:r>
    </w:p>
    <w:p w14:paraId="632CC25E">
      <w:pPr>
        <w:widowControl w:val="0"/>
        <w:numPr>
          <w:ilvl w:val="1"/>
          <w:numId w:val="3"/>
        </w:numPr>
        <w:tabs>
          <w:tab w:val="left" w:pos="1086"/>
        </w:tabs>
        <w:bidi w:val="0"/>
        <w:snapToGrid w:val="0"/>
        <w:spacing w:before="50" w:beforeLines="50" w:after="50" w:afterLines="50" w:line="360" w:lineRule="auto"/>
        <w:ind w:left="1086" w:hanging="576"/>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环境风险评价</w:t>
      </w:r>
    </w:p>
    <w:p w14:paraId="5D776497">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0000FF"/>
          <w:kern w:val="0"/>
          <w:sz w:val="24"/>
          <w:szCs w:val="21"/>
          <w:lang w:val="en-US" w:eastAsia="zh-CN" w:bidi="ar-SA"/>
        </w:rPr>
      </w:pPr>
      <w:r>
        <w:rPr>
          <w:rFonts w:hint="default" w:ascii="Times New Roman" w:hAnsi="Times New Roman" w:eastAsia="宋体" w:cs="Times New Roman"/>
          <w:color w:val="0000FF"/>
          <w:kern w:val="0"/>
          <w:sz w:val="24"/>
          <w:szCs w:val="21"/>
          <w:lang w:val="en-US" w:eastAsia="zh-CN" w:bidi="ar-SA"/>
        </w:rPr>
        <w:t>根据分析，本项目液化石油气、丙烷泄漏量较少，当发生火灾时，产生的CO量较少，企业日常做好维护检修，液化石油气、丙烷泄漏及火灾对环境造成影响较小；本项目危险废物暂存间废润滑油暂存量较少，企业在对危险废物暂存间进行定期巡检、及时转运后，基本不会对环境造成影响。</w:t>
      </w:r>
    </w:p>
    <w:p w14:paraId="098B3B5A">
      <w:pPr>
        <w:widowControl w:val="0"/>
        <w:suppressAutoHyphens/>
        <w:bidi w:val="0"/>
        <w:snapToGrid w:val="0"/>
        <w:spacing w:line="360" w:lineRule="auto"/>
        <w:ind w:firstLine="480" w:firstLineChars="200"/>
        <w:jc w:val="left"/>
        <w:textAlignment w:val="center"/>
        <w:rPr>
          <w:rFonts w:hint="default" w:ascii="Times New Roman" w:hAnsi="Times New Roman" w:eastAsia="宋体" w:cs="Times New Roman"/>
          <w:color w:val="0000FF"/>
          <w:kern w:val="0"/>
          <w:sz w:val="24"/>
          <w:szCs w:val="21"/>
          <w:lang w:val="en-US" w:eastAsia="zh-CN" w:bidi="ar-SA"/>
        </w:rPr>
      </w:pPr>
      <w:r>
        <w:rPr>
          <w:rFonts w:hint="default" w:ascii="Times New Roman" w:hAnsi="Times New Roman" w:eastAsia="宋体" w:cs="Times New Roman"/>
          <w:color w:val="0000FF"/>
          <w:kern w:val="0"/>
          <w:sz w:val="24"/>
          <w:szCs w:val="21"/>
          <w:lang w:val="en-US" w:eastAsia="zh-CN" w:bidi="ar-SA"/>
        </w:rPr>
        <w:t>通过对地下水环境风险进行预测，LPG 残液罐防渗层失效泄漏对下游地下水水质存在长期不利影响，</w:t>
      </w:r>
      <w:r>
        <w:rPr>
          <w:rFonts w:hint="eastAsia" w:ascii="Times New Roman" w:hAnsi="Times New Roman" w:eastAsia="宋体" w:cs="Times New Roman"/>
          <w:color w:val="0000FF"/>
          <w:kern w:val="0"/>
          <w:sz w:val="24"/>
          <w:szCs w:val="21"/>
          <w:lang w:val="en-US" w:eastAsia="zh-CN" w:bidi="ar-SA"/>
        </w:rPr>
        <w:t>本次</w:t>
      </w:r>
      <w:r>
        <w:rPr>
          <w:rFonts w:hint="default" w:ascii="Times New Roman" w:hAnsi="Times New Roman" w:eastAsia="宋体" w:cs="Times New Roman"/>
          <w:color w:val="0000FF"/>
          <w:kern w:val="0"/>
          <w:sz w:val="24"/>
          <w:szCs w:val="21"/>
          <w:lang w:val="en-US" w:eastAsia="zh-CN" w:bidi="ar-SA"/>
        </w:rPr>
        <w:t>地下水环境风险具有“低概率、高影响”的特征：即风险发生的可能性较低，但一旦发生，会对地下水环境、敏感受体、生态环境造成长期、严重的不利影响，且污染治理难度大、恢复周期长，需通过强化防控措施，将风险降至可接受水平。</w:t>
      </w:r>
    </w:p>
    <w:p w14:paraId="6C3B8E42">
      <w:pPr>
        <w:pStyle w:val="58"/>
        <w:bidi w:val="0"/>
        <w:rPr>
          <w:rFonts w:hint="default" w:ascii="Times New Roman" w:hAnsi="Times New Roman" w:eastAsia="宋体" w:cs="Times New Roman"/>
          <w:color w:val="auto"/>
          <w:lang w:val="en-US" w:eastAsia="zh-CN"/>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14:paraId="5E6C1B23">
      <w:pPr>
        <w:keepNext w:val="0"/>
        <w:keepLines w:val="0"/>
        <w:pageBreakBefore w:val="0"/>
        <w:widowControl w:val="0"/>
        <w:numPr>
          <w:ilvl w:val="0"/>
          <w:numId w:val="3"/>
        </w:numPr>
        <w:tabs>
          <w:tab w:val="left" w:pos="942"/>
        </w:tabs>
        <w:kinsoku/>
        <w:wordWrap/>
        <w:overflowPunct/>
        <w:topLinePunct w:val="0"/>
        <w:autoSpaceDE/>
        <w:autoSpaceDN/>
        <w:bidi w:val="0"/>
        <w:adjustRightInd/>
        <w:snapToGrid w:val="0"/>
        <w:spacing w:before="50" w:beforeLines="50" w:after="50" w:afterLines="50" w:line="360" w:lineRule="auto"/>
        <w:ind w:left="941" w:leftChars="0" w:hanging="431" w:firstLineChars="0"/>
        <w:jc w:val="both"/>
        <w:textAlignment w:val="auto"/>
        <w:outlineLvl w:val="0"/>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风险管理</w:t>
      </w:r>
    </w:p>
    <w:p w14:paraId="28230A17">
      <w:pPr>
        <w:widowControl w:val="0"/>
        <w:numPr>
          <w:ilvl w:val="1"/>
          <w:numId w:val="3"/>
        </w:numPr>
        <w:tabs>
          <w:tab w:val="left" w:pos="1086"/>
        </w:tabs>
        <w:bidi w:val="0"/>
        <w:snapToGrid w:val="0"/>
        <w:spacing w:before="50" w:beforeLines="50" w:after="50" w:afterLines="50" w:line="360" w:lineRule="auto"/>
        <w:ind w:left="1361" w:leftChars="0"/>
        <w:jc w:val="both"/>
        <w:outlineLvl w:val="1"/>
        <w:rPr>
          <w:rFonts w:hint="default" w:ascii="Times New Roman" w:hAnsi="Times New Roman" w:eastAsia="黑体" w:cs="Times New Roman"/>
          <w:b/>
          <w:kern w:val="2"/>
          <w:sz w:val="28"/>
          <w:szCs w:val="24"/>
          <w:lang w:val="en-US" w:eastAsia="zh-CN" w:bidi="ar-SA"/>
        </w:rPr>
      </w:pPr>
      <w:r>
        <w:rPr>
          <w:rFonts w:hint="default" w:ascii="Times New Roman" w:hAnsi="Times New Roman" w:eastAsia="黑体" w:cs="Times New Roman"/>
          <w:b/>
          <w:kern w:val="2"/>
          <w:sz w:val="28"/>
          <w:szCs w:val="24"/>
          <w:lang w:val="en-US" w:eastAsia="zh-CN" w:bidi="ar-SA"/>
        </w:rPr>
        <w:t>风险防范措施</w:t>
      </w:r>
    </w:p>
    <w:p w14:paraId="0B319290">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本项目建设过程中，即组建安全环保管理机构，配备管理人员，通过技能培训，承担该公司运行后的环保安全工作。</w:t>
      </w:r>
    </w:p>
    <w:p w14:paraId="0F552B8E">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安全环保机构组建后，将根据相关的环境管理要求，结合项目具体情况，指定各项安全生产管理制度、严格的生产操作规则和完善的事故应急计划及相应的应急处理手段和措施，同时加强安全教育，以提高职工的安全意识和安全防范能力。</w:t>
      </w:r>
    </w:p>
    <w:p w14:paraId="703CF4BA">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除此之外，还对</w:t>
      </w:r>
      <w:r>
        <w:rPr>
          <w:rFonts w:hint="default" w:ascii="Times New Roman" w:hAnsi="Times New Roman" w:cs="Times New Roman"/>
          <w:color w:val="auto"/>
          <w:sz w:val="24"/>
          <w:u w:val="none"/>
          <w:lang w:val="en-US" w:eastAsia="zh-CN"/>
        </w:rPr>
        <w:t>灌装站内</w:t>
      </w:r>
      <w:r>
        <w:rPr>
          <w:rFonts w:hint="default" w:ascii="Times New Roman" w:hAnsi="Times New Roman" w:cs="Times New Roman"/>
          <w:color w:val="auto"/>
          <w:sz w:val="24"/>
          <w:u w:val="none"/>
        </w:rPr>
        <w:t>储罐设计、选址及总图布置、防火防爆、液化石油气装卸及运输过程等提出相关防范措施</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对危险废物暂存间提出风险防范措施</w:t>
      </w:r>
      <w:r>
        <w:rPr>
          <w:rFonts w:hint="default" w:ascii="Times New Roman" w:hAnsi="Times New Roman" w:cs="Times New Roman"/>
          <w:color w:val="auto"/>
          <w:sz w:val="24"/>
          <w:u w:val="none"/>
        </w:rPr>
        <w:t>。</w:t>
      </w:r>
    </w:p>
    <w:p w14:paraId="34EC719C">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4"/>
          <w:szCs w:val="22"/>
          <w:lang w:val="en-US" w:eastAsia="zh-CN" w:bidi="ar-SA"/>
        </w:rPr>
      </w:pPr>
      <w:r>
        <w:rPr>
          <w:rFonts w:hint="default" w:ascii="Times New Roman" w:hAnsi="Times New Roman" w:eastAsia="宋体" w:cs="Times New Roman"/>
          <w:b w:val="0"/>
          <w:color w:val="auto"/>
          <w:kern w:val="2"/>
          <w:sz w:val="24"/>
          <w:szCs w:val="22"/>
          <w:lang w:val="en-US" w:eastAsia="zh-CN" w:bidi="ar-SA"/>
        </w:rPr>
        <w:t>灌装站风险防范措施</w:t>
      </w:r>
    </w:p>
    <w:p w14:paraId="2C866608">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（1）储罐设计措施</w:t>
      </w:r>
    </w:p>
    <w:p w14:paraId="5A227A36">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液化石油气</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丙烷</w:t>
      </w:r>
      <w:r>
        <w:rPr>
          <w:rFonts w:hint="default" w:ascii="Times New Roman" w:hAnsi="Times New Roman" w:cs="Times New Roman"/>
          <w:color w:val="auto"/>
          <w:sz w:val="24"/>
          <w:u w:val="none"/>
        </w:rPr>
        <w:t>储罐设计与制造应符合国家现行标准《钢制压力容器》GB150、《低温绝热压力容器》GB18442和《固定式压力容器安全技术监察规程》TSGR0004的有关规定。</w:t>
      </w:r>
    </w:p>
    <w:p w14:paraId="4F3DC448">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液化石油气</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丙烷</w:t>
      </w:r>
      <w:r>
        <w:rPr>
          <w:rFonts w:hint="default" w:ascii="Times New Roman" w:hAnsi="Times New Roman" w:cs="Times New Roman"/>
          <w:color w:val="auto"/>
          <w:sz w:val="24"/>
          <w:u w:val="none"/>
        </w:rPr>
        <w:t>储罐附属设备的设置应符合下列规定：</w:t>
      </w:r>
    </w:p>
    <w:p w14:paraId="689F8F44">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①应设置液位计、压力表；</w:t>
      </w:r>
    </w:p>
    <w:p w14:paraId="15A74218">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②储罐应设置液位上、下限及压力上限报警，并远程监控；</w:t>
      </w:r>
    </w:p>
    <w:p w14:paraId="6775A120">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③储罐的液相连接管道上应设置紧急切断阀；</w:t>
      </w:r>
    </w:p>
    <w:p w14:paraId="6CF0991C">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④储罐应设置全启封闭式安全阀，且不应小于4个，安全阀的设置应符合固定式压力容器安全技术监察规程》TSGR0004的有关规定；</w:t>
      </w:r>
    </w:p>
    <w:p w14:paraId="5457B8CA">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⑤安全阀与储罐间应设切断阀，切断阀在正常操作时应处于铅封开启状态；</w:t>
      </w:r>
    </w:p>
    <w:p w14:paraId="27375B6A">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⑥与储罐气相空间连接的管道上应设置人工放散阀。</w:t>
      </w:r>
    </w:p>
    <w:p w14:paraId="2765F713">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（2）选址、总图布置防范措施</w:t>
      </w:r>
    </w:p>
    <w:p w14:paraId="68A60214">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总图布置时，充分考虑具有火灾和爆炸危险性的建筑物的安全布局。满足防火、防爆规定，保证各建筑物间的足够距离和消防通道，实现生产运行、防火安全与工业卫生的协调。总平面布置应根据站内各生产系统及安全要求，按照功能合理分区。</w:t>
      </w:r>
    </w:p>
    <w:p w14:paraId="3185468A">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道路应根据交通、消防、分区要求合理布置，设置消防通道，消防通道上不能堆放产品，以保证消防、急救车辆畅行无阻。</w:t>
      </w:r>
    </w:p>
    <w:p w14:paraId="59168F73">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（3）防火防爆措施</w:t>
      </w:r>
    </w:p>
    <w:p w14:paraId="05E29AFE">
      <w:pPr>
        <w:pStyle w:val="58"/>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液化石油气、丙烷</w:t>
      </w:r>
      <w:r>
        <w:rPr>
          <w:rFonts w:hint="default" w:ascii="Times New Roman" w:hAnsi="Times New Roman" w:cs="Times New Roman"/>
          <w:color w:val="auto"/>
        </w:rPr>
        <w:t>其火灾危险性分别为甲类，</w:t>
      </w:r>
      <w:r>
        <w:rPr>
          <w:rFonts w:hint="default" w:ascii="Times New Roman" w:hAnsi="Times New Roman" w:cs="Times New Roman"/>
          <w:color w:val="auto"/>
          <w:lang w:val="en-US" w:eastAsia="zh-CN"/>
        </w:rPr>
        <w:t>项目场站建设符合《液化石油气供应工程设计规范》（GB51142-2015）、《石油化工企业设计防火标准》（GB50160-2008）（2018年版）和《建筑设计防火规范》（GB50016-2014）(2018年版)等相关设计规范的安全、防火设计要求，满足防护要求。</w:t>
      </w:r>
      <w:r>
        <w:rPr>
          <w:rFonts w:hint="default" w:ascii="Times New Roman" w:hAnsi="Times New Roman" w:cs="Times New Roman"/>
          <w:color w:val="auto"/>
        </w:rPr>
        <w:t>工艺装置的设计严格按照相关规程进行。在主要建筑物、构筑物按规定设置防雷设施，以防雷击；在储罐区配备各种移动式小型灭火设备；在储罐易泄漏的部位设置泄漏报警仪。</w:t>
      </w:r>
      <w:r>
        <w:rPr>
          <w:rFonts w:hint="default" w:ascii="Times New Roman" w:hAnsi="Times New Roman" w:cs="Times New Roman"/>
          <w:color w:val="auto"/>
          <w:lang w:val="en-US" w:eastAsia="zh-CN"/>
        </w:rPr>
        <w:t>本项目设置2座消防水池，容积各为350m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，以及1座事故水池，容积为800m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，在发生火灾时能够及时处理，可供项目发生火灾事故时用，消防废水最终拉运至九原污水处理厂处理</w:t>
      </w:r>
    </w:p>
    <w:p w14:paraId="71F5EC0C">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（4）卸车安全防范措施</w:t>
      </w:r>
    </w:p>
    <w:p w14:paraId="1729E39B">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①连接槽车的液相管道上应设置切断阀和止回阀，气相管道上宜设置切断阀；</w:t>
      </w:r>
    </w:p>
    <w:p w14:paraId="0C004BA0">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②液化石油气</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丙烷</w:t>
      </w:r>
      <w:r>
        <w:rPr>
          <w:rFonts w:hint="default" w:ascii="Times New Roman" w:hAnsi="Times New Roman" w:cs="Times New Roman"/>
          <w:color w:val="auto"/>
          <w:sz w:val="24"/>
          <w:u w:val="none"/>
        </w:rPr>
        <w:t>卸车宜采用奥氏体不锈钢金属软管，其公称压力不应小于装卸系统工作压力的2倍，其最小爆破压力应大于4倍的公称压力。</w:t>
      </w:r>
    </w:p>
    <w:p w14:paraId="55AA5494">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（5）自动控制系统及火灾报警系统</w:t>
      </w:r>
    </w:p>
    <w:p w14:paraId="0AC884B4">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为保证操作人员的安全和罐区的正常运行，设置报警和联锁系统。储罐均设有液位高、低限报警、高高液位联锁、低低液位；储罐进出口管道设有紧急切断阀，在控制室控制及阀位指示。当储罐内液位达到高限、低限时，自动联锁关闭相应的紧急切断阀。</w:t>
      </w:r>
    </w:p>
    <w:p w14:paraId="22EBA7DA">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火灾报警系统：项目区采用电话报警，报警至消防站。消防泵房与消防站设置直通电话。根据需要在控制室、配电室、值班室设置火灾自动报警装置。装置及罐区的周围设有手动或火灾报警按钮，装置内重点部位设有感烟、感温探测器及手动报警按钮等。火灾报警信号报至中心控制室，再报至室内消防站。</w:t>
      </w:r>
    </w:p>
    <w:p w14:paraId="7043650A">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w:t>
      </w:r>
      <w:r>
        <w:rPr>
          <w:rFonts w:hint="default" w:ascii="Times New Roman" w:hAnsi="Times New Roman" w:cs="Times New Roman"/>
          <w:color w:val="auto"/>
          <w:sz w:val="24"/>
          <w:u w:val="none"/>
          <w:lang w:val="en-US" w:eastAsia="zh-CN"/>
        </w:rPr>
        <w:t>6</w:t>
      </w:r>
      <w:r>
        <w:rPr>
          <w:rFonts w:hint="default" w:ascii="Times New Roman" w:hAnsi="Times New Roman" w:cs="Times New Roman"/>
          <w:color w:val="auto"/>
          <w:sz w:val="24"/>
          <w:u w:val="none"/>
        </w:rPr>
        <w:t>）管理上的防范措施</w:t>
      </w:r>
    </w:p>
    <w:p w14:paraId="57FD47F2">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制定安全、可靠的操作规程和维修规程，以减少操作人员与有害物质直接接触的机会；作业操作人员必须经过严格培训，经过考核后持证上岗。</w:t>
      </w:r>
    </w:p>
    <w:p w14:paraId="2BD5A7BF">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①企业在管理方面有一系列详细的安全管理制度及有效的安全管理组织，确保各种有关的安全管理规定能在各个环节上得到充分落实，并能有所改进与提高。</w:t>
      </w:r>
    </w:p>
    <w:p w14:paraId="44A3BB04">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②在项目投产运行前，就制定了正常、异常或紧急状态下的操作手册和维修手册，并对操作、维修人员进行培训，持证上岗，避免因严重操作失误而造成的事故。</w:t>
      </w:r>
    </w:p>
    <w:p w14:paraId="125C6E46">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③加强对工作人员安全素质方面的教育和训练，包括安全知识、安全技术、安全心理、职业卫生及排险与消防活动等，而且要时常演练与考核。</w:t>
      </w:r>
    </w:p>
    <w:p w14:paraId="6C3B6EF1">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④制定了应急操作规程，在规程中说明了发生事故时应采取的操作步骤，规定抢修进度，限制事故的影响，对重要的仪器设备有完善的检查项目，维护方法；按计划进行定期维护；有专门档案，文件齐全。</w:t>
      </w:r>
    </w:p>
    <w:p w14:paraId="5B8FC54F">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⑤站区内设有醒目的“严禁烟火”标志和防火安全制度。</w:t>
      </w:r>
    </w:p>
    <w:p w14:paraId="5209E5A4">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w:t>
      </w:r>
      <w:r>
        <w:rPr>
          <w:rFonts w:hint="default" w:ascii="Times New Roman" w:hAnsi="Times New Roman" w:cs="Times New Roman"/>
          <w:color w:val="auto"/>
          <w:sz w:val="24"/>
          <w:u w:val="none"/>
          <w:lang w:val="en-US" w:eastAsia="zh-CN"/>
        </w:rPr>
        <w:t>7</w:t>
      </w:r>
      <w:r>
        <w:rPr>
          <w:rFonts w:hint="default" w:ascii="Times New Roman" w:hAnsi="Times New Roman" w:cs="Times New Roman"/>
          <w:color w:val="auto"/>
          <w:sz w:val="24"/>
          <w:u w:val="none"/>
        </w:rPr>
        <w:t>）液化石油气</w:t>
      </w:r>
      <w:r>
        <w:rPr>
          <w:rFonts w:hint="default" w:ascii="Times New Roman" w:hAnsi="Times New Roman" w:cs="Times New Roman"/>
          <w:color w:val="auto"/>
          <w:sz w:val="24"/>
          <w:u w:val="none"/>
          <w:lang w:eastAsia="zh-CN"/>
        </w:rPr>
        <w:t>、</w:t>
      </w:r>
      <w:r>
        <w:rPr>
          <w:rFonts w:hint="default" w:ascii="Times New Roman" w:hAnsi="Times New Roman" w:cs="Times New Roman"/>
          <w:color w:val="auto"/>
          <w:sz w:val="24"/>
          <w:u w:val="none"/>
          <w:lang w:val="en-US" w:eastAsia="zh-CN"/>
        </w:rPr>
        <w:t>丙烷</w:t>
      </w:r>
      <w:r>
        <w:rPr>
          <w:rFonts w:hint="default" w:ascii="Times New Roman" w:hAnsi="Times New Roman" w:cs="Times New Roman"/>
          <w:color w:val="auto"/>
          <w:sz w:val="24"/>
          <w:u w:val="none"/>
        </w:rPr>
        <w:t>运输安全防范措施</w:t>
      </w:r>
    </w:p>
    <w:p w14:paraId="68C8E0A2">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①强化有关危险品运输法规的教育和培训对从事危险品运输的驾驶员和管理人员，严格遵守有关危险品运输安全技术规定的操作规程，学习和掌握国家有关部门颁布实施的相关法规。国务院颁布的《化学危险品安全管理条例》、《汽车危险货物运输规则》（JT3130-88）等。</w:t>
      </w:r>
    </w:p>
    <w:p w14:paraId="3DDCA77F">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②加强危险品运输管理</w:t>
      </w:r>
    </w:p>
    <w:p w14:paraId="3766B282">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A、危险货物运输实行“准运证”、“驾驶证”和“押运员”制度，从事危险货物运输的车辆要使用统一的专用标志，实行定点检测制度。</w:t>
      </w:r>
    </w:p>
    <w:p w14:paraId="6CA1F3D9">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B、在危险品运输途中，司乘人员应严禁吸烟，停车时不准靠近明火或高温场所。驾驶员在运输途中必须集中精力，要注意观察路标，中途不得随意停车。</w:t>
      </w:r>
    </w:p>
    <w:p w14:paraId="0D81C6D2">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C、在发生危险物品泄漏的紧急情况下，应及时报案并说明所有重要的相关事项。</w:t>
      </w:r>
    </w:p>
    <w:p w14:paraId="4670685B">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D、尽量避免在天气不良的状况下运送危险品上路。</w:t>
      </w:r>
    </w:p>
    <w:p w14:paraId="1A808F14">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③运输危险品的车辆必须按规定进行车辆和容器检测，严禁使用检测不合格的车辆和容器、使用报废车辆拼装或自行改装车辆、自行改造容器从事危险货物运输。</w:t>
      </w:r>
    </w:p>
    <w:p w14:paraId="0E0C0FB7">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同时，运输危险品的车辆必须配备相应的安全装置和必要的灭火设备。</w:t>
      </w:r>
    </w:p>
    <w:p w14:paraId="09EA3FDB">
      <w:pPr>
        <w:widowControl w:val="0"/>
        <w:numPr>
          <w:ilvl w:val="2"/>
          <w:numId w:val="3"/>
        </w:numPr>
        <w:tabs>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0000FF"/>
          <w:kern w:val="2"/>
          <w:sz w:val="24"/>
          <w:szCs w:val="22"/>
          <w:lang w:val="en-US" w:eastAsia="zh-CN" w:bidi="ar-SA"/>
        </w:rPr>
      </w:pPr>
      <w:r>
        <w:rPr>
          <w:rFonts w:hint="default" w:ascii="Times New Roman" w:hAnsi="Times New Roman" w:eastAsia="宋体" w:cs="Times New Roman"/>
          <w:b w:val="0"/>
          <w:color w:val="0000FF"/>
          <w:kern w:val="2"/>
          <w:sz w:val="24"/>
          <w:szCs w:val="22"/>
          <w:lang w:val="en-US" w:eastAsia="zh-CN" w:bidi="ar-SA"/>
        </w:rPr>
        <w:t>危险废物暂存间</w:t>
      </w:r>
    </w:p>
    <w:p w14:paraId="68FC35F5">
      <w:pPr>
        <w:pStyle w:val="58"/>
        <w:bidi w:val="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针对存在的风险因素，本次评价制定相应的风险防范措施。具体如下：</w:t>
      </w:r>
    </w:p>
    <w:p w14:paraId="1D9A9838">
      <w:pPr>
        <w:pStyle w:val="58"/>
        <w:keepNext w:val="0"/>
        <w:keepLines w:val="0"/>
        <w:pageBreakBefore w:val="0"/>
        <w:kinsoku/>
        <w:wordWrap/>
        <w:overflowPunct/>
        <w:topLinePunct w:val="0"/>
        <w:autoSpaceDE/>
        <w:autoSpaceDN/>
        <w:bidi w:val="0"/>
        <w:spacing w:before="0"/>
        <w:ind w:leftChars="0" w:right="0"/>
        <w:rPr>
          <w:rFonts w:hint="default" w:ascii="Times New Roman" w:hAnsi="Times New Roman" w:cs="Times New Roman"/>
          <w:color w:val="0000FF"/>
          <w:lang w:val="en-US" w:eastAsia="zh-CN"/>
        </w:rPr>
      </w:pPr>
      <w:r>
        <w:rPr>
          <w:rFonts w:hint="default" w:ascii="Times New Roman" w:hAnsi="Times New Roman" w:cs="Times New Roman"/>
          <w:color w:val="0000FF"/>
          <w:lang w:val="en-US" w:eastAsia="zh-CN"/>
        </w:rPr>
        <w:t>（1）泄漏事故和贮存场所的预防措施</w:t>
      </w:r>
    </w:p>
    <w:p w14:paraId="3665A85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color w:val="0000FF"/>
          <w:sz w:val="24"/>
          <w:szCs w:val="24"/>
          <w:lang w:val="en-US" w:eastAsia="zh-CN" w:bidi="ar-SA"/>
        </w:rPr>
      </w:pPr>
      <w:r>
        <w:rPr>
          <w:rFonts w:hint="default" w:ascii="Times New Roman" w:hAnsi="Times New Roman" w:eastAsia="宋体" w:cs="Times New Roman"/>
          <w:color w:val="0000FF"/>
          <w:sz w:val="24"/>
          <w:szCs w:val="24"/>
          <w:lang w:val="en-US" w:eastAsia="zh-CN" w:bidi="ar-SA"/>
        </w:rPr>
        <w:t>①对操作人员进行教育，严格按操作规程进行操作，严禁违章作业。</w:t>
      </w:r>
    </w:p>
    <w:p w14:paraId="11C4AD3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color w:val="0000FF"/>
          <w:sz w:val="24"/>
          <w:szCs w:val="24"/>
          <w:lang w:val="en-US" w:eastAsia="zh-CN" w:bidi="ar-SA"/>
        </w:rPr>
      </w:pPr>
      <w:r>
        <w:rPr>
          <w:rFonts w:hint="default" w:ascii="Times New Roman" w:hAnsi="Times New Roman" w:eastAsia="宋体" w:cs="Times New Roman"/>
          <w:color w:val="0000FF"/>
          <w:sz w:val="24"/>
          <w:szCs w:val="24"/>
          <w:lang w:val="en-US" w:eastAsia="zh-CN" w:bidi="ar-SA"/>
        </w:rPr>
        <w:t>②危险库设置符合《环境保护图形标志固体废物贮存(处置)场(GB15562.2-1995)的专用标志。</w:t>
      </w:r>
    </w:p>
    <w:p w14:paraId="5E1557E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color w:val="0000FF"/>
          <w:sz w:val="24"/>
          <w:szCs w:val="24"/>
          <w:lang w:val="en-US" w:eastAsia="zh-CN" w:bidi="ar-SA"/>
        </w:rPr>
      </w:pPr>
      <w:r>
        <w:rPr>
          <w:rFonts w:hint="default" w:ascii="Times New Roman" w:hAnsi="Times New Roman" w:eastAsia="宋体" w:cs="Times New Roman"/>
          <w:color w:val="0000FF"/>
          <w:sz w:val="24"/>
          <w:szCs w:val="24"/>
          <w:lang w:val="en-US" w:eastAsia="zh-CN" w:bidi="ar-SA"/>
        </w:rPr>
        <w:t>③危废的贮存容器必须有明显标志，具有耐腐蚀、耐压、密封和不与所贮存的废物发生反应等特性。危险废物分区储存，各类危险废物储存于相对独立的小区，并在各小区之间采用挡墙相隔。</w:t>
      </w:r>
    </w:p>
    <w:p w14:paraId="7BF7638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color w:val="0000FF"/>
          <w:sz w:val="24"/>
          <w:szCs w:val="24"/>
          <w:lang w:val="en-US" w:eastAsia="zh-CN" w:bidi="ar-SA"/>
        </w:rPr>
      </w:pPr>
      <w:r>
        <w:rPr>
          <w:rFonts w:hint="default" w:ascii="Times New Roman" w:hAnsi="Times New Roman" w:eastAsia="宋体" w:cs="Times New Roman"/>
          <w:color w:val="0000FF"/>
          <w:sz w:val="24"/>
          <w:szCs w:val="24"/>
          <w:lang w:val="en-US" w:eastAsia="zh-CN" w:bidi="ar-SA"/>
        </w:rPr>
        <w:t>④危废库设置导流渠、事故收集池。及时清理事故收集池的泄漏液，防止收集池漫溢。</w:t>
      </w:r>
    </w:p>
    <w:p w14:paraId="2AB5D4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color w:val="0000FF"/>
          <w:sz w:val="24"/>
          <w:szCs w:val="24"/>
          <w:lang w:val="en-US" w:eastAsia="zh-CN" w:bidi="ar-SA"/>
        </w:rPr>
      </w:pPr>
      <w:r>
        <w:rPr>
          <w:rFonts w:hint="default" w:ascii="Times New Roman" w:hAnsi="Times New Roman" w:eastAsia="宋体" w:cs="Times New Roman"/>
          <w:color w:val="0000FF"/>
          <w:sz w:val="24"/>
          <w:szCs w:val="24"/>
          <w:lang w:val="en-US" w:eastAsia="zh-CN" w:bidi="ar-SA"/>
        </w:rPr>
        <w:fldChar w:fldCharType="begin"/>
      </w:r>
      <w:r>
        <w:rPr>
          <w:rFonts w:hint="default" w:ascii="Times New Roman" w:hAnsi="Times New Roman" w:eastAsia="宋体" w:cs="Times New Roman"/>
          <w:color w:val="0000FF"/>
          <w:sz w:val="24"/>
          <w:szCs w:val="24"/>
          <w:lang w:val="en-US" w:eastAsia="zh-CN" w:bidi="ar-SA"/>
        </w:rPr>
        <w:instrText xml:space="preserve"> = 5 \* GB3 \* MERGEFORMAT </w:instrText>
      </w:r>
      <w:r>
        <w:rPr>
          <w:rFonts w:hint="default" w:ascii="Times New Roman" w:hAnsi="Times New Roman" w:eastAsia="宋体" w:cs="Times New Roman"/>
          <w:color w:val="0000FF"/>
          <w:sz w:val="24"/>
          <w:szCs w:val="24"/>
          <w:lang w:val="en-US" w:eastAsia="zh-CN" w:bidi="ar-SA"/>
        </w:rPr>
        <w:fldChar w:fldCharType="separate"/>
      </w:r>
      <w:r>
        <w:rPr>
          <w:rFonts w:hint="default" w:ascii="Times New Roman" w:hAnsi="Times New Roman" w:eastAsia="宋体" w:cs="Times New Roman"/>
          <w:color w:val="0000FF"/>
          <w:sz w:val="24"/>
          <w:szCs w:val="24"/>
          <w:lang w:val="en-US" w:eastAsia="zh-CN" w:bidi="ar-SA"/>
        </w:rPr>
        <w:t>⑤</w:t>
      </w:r>
      <w:r>
        <w:rPr>
          <w:rFonts w:hint="default" w:ascii="Times New Roman" w:hAnsi="Times New Roman" w:eastAsia="宋体" w:cs="Times New Roman"/>
          <w:color w:val="0000FF"/>
          <w:sz w:val="24"/>
          <w:szCs w:val="24"/>
          <w:lang w:val="en-US" w:eastAsia="zh-CN" w:bidi="ar-SA"/>
        </w:rPr>
        <w:fldChar w:fldCharType="end"/>
      </w:r>
      <w:r>
        <w:rPr>
          <w:rFonts w:hint="default" w:ascii="Times New Roman" w:hAnsi="Times New Roman" w:eastAsia="宋体" w:cs="Times New Roman"/>
          <w:color w:val="0000FF"/>
          <w:sz w:val="24"/>
          <w:szCs w:val="24"/>
          <w:lang w:val="en-US" w:eastAsia="zh-CN" w:bidi="ar-SA"/>
        </w:rPr>
        <w:t>盛装危险废物的容器选取防倾倒泄漏容器，盛粉末状废物的容器选取防吹散容器。</w:t>
      </w:r>
    </w:p>
    <w:p w14:paraId="6404D5C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color w:val="0000FF"/>
          <w:sz w:val="24"/>
          <w:szCs w:val="24"/>
          <w:lang w:val="en-US" w:eastAsia="zh-CN" w:bidi="ar-SA"/>
        </w:rPr>
      </w:pPr>
      <w:r>
        <w:rPr>
          <w:rFonts w:hint="default" w:ascii="Times New Roman" w:hAnsi="Times New Roman" w:eastAsia="宋体" w:cs="Times New Roman"/>
          <w:color w:val="0000FF"/>
          <w:sz w:val="24"/>
          <w:szCs w:val="24"/>
          <w:lang w:val="en-US" w:eastAsia="zh-CN" w:bidi="ar-SA"/>
        </w:rPr>
        <w:t>⑥经常检查贮存容器的质量，发现问题及时解决。</w:t>
      </w:r>
    </w:p>
    <w:p w14:paraId="56A06B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t>⑦危废库采取严格的防渗处理，仓库四周设置导流渠，并设置事故收集池，以防止泄漏的液态废物流入环境。</w:t>
      </w:r>
    </w:p>
    <w:p w14:paraId="70BA701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textAlignment w:val="auto"/>
        <w:rPr>
          <w:rFonts w:hint="default" w:ascii="Times New Roman" w:hAnsi="Times New Roman" w:eastAsia="宋体" w:cs="Times New Roman"/>
          <w:color w:val="0000FF"/>
          <w:sz w:val="24"/>
          <w:szCs w:val="24"/>
          <w:highlight w:val="none"/>
          <w:lang w:val="en-US" w:eastAsia="zh-CN" w:bidi="ar-SA"/>
        </w:rPr>
      </w:pPr>
      <w:r>
        <w:rPr>
          <w:rFonts w:hint="default" w:ascii="Times New Roman" w:hAnsi="Times New Roman" w:eastAsia="宋体" w:cs="Times New Roman"/>
          <w:color w:val="0000FF"/>
          <w:sz w:val="24"/>
          <w:szCs w:val="24"/>
          <w:lang w:val="en-US" w:eastAsia="zh-CN" w:bidi="ar-SA"/>
        </w:rPr>
        <w:t>（2）泄漏液渗漏对地下水及土壤的污染预防及对策</w:t>
      </w:r>
    </w:p>
    <w:p w14:paraId="114C76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t>防止泄漏液渗漏污染地下水是危险废物贮存仓库污染防治的最重要的问题</w:t>
      </w:r>
      <w:r>
        <w:rPr>
          <w:rFonts w:hint="default" w:ascii="Times New Roman" w:hAnsi="Times New Roman" w:cs="Times New Roman"/>
          <w:color w:val="0000FF"/>
          <w:sz w:val="24"/>
          <w:szCs w:val="24"/>
          <w:lang w:val="en-US" w:eastAsia="zh-CN"/>
        </w:rPr>
        <w:t>，危险废物暂存间采用重点防渗，</w:t>
      </w:r>
      <w:r>
        <w:rPr>
          <w:rFonts w:hint="default" w:ascii="Times New Roman" w:hAnsi="Times New Roman" w:eastAsia="宋体" w:cs="Times New Roman"/>
          <w:b w:val="0"/>
          <w:bCs w:val="0"/>
          <w:color w:val="0000FF"/>
          <w:sz w:val="24"/>
          <w:szCs w:val="24"/>
          <w:lang w:val="en-US" w:eastAsia="zh-CN" w:bidi="ar-SA"/>
        </w:rPr>
        <w:t>渗透系数≤10</w:t>
      </w:r>
      <w:r>
        <w:rPr>
          <w:rFonts w:hint="default" w:ascii="Times New Roman" w:hAnsi="Times New Roman" w:eastAsia="宋体" w:cs="Times New Roman"/>
          <w:b w:val="0"/>
          <w:bCs w:val="0"/>
          <w:color w:val="0000FF"/>
          <w:sz w:val="24"/>
          <w:szCs w:val="24"/>
          <w:vertAlign w:val="superscript"/>
          <w:lang w:val="en-US" w:eastAsia="zh-CN" w:bidi="ar-SA"/>
        </w:rPr>
        <w:t>-10</w:t>
      </w:r>
      <w:r>
        <w:rPr>
          <w:rFonts w:hint="default" w:ascii="Times New Roman" w:hAnsi="Times New Roman" w:eastAsia="宋体" w:cs="Times New Roman"/>
          <w:b w:val="0"/>
          <w:bCs w:val="0"/>
          <w:color w:val="0000FF"/>
          <w:sz w:val="24"/>
          <w:szCs w:val="24"/>
          <w:lang w:val="en-US" w:eastAsia="zh-CN" w:bidi="ar-SA"/>
        </w:rPr>
        <w:t>cm/s，符合《危险废物贮存污染控制标准》(GB18597-2001)要求。施工过程中严格按照要求进行施工，尽量减少防渗层的破损。经常检查危废库的防渗措施，发现破损，及时修复，并对受污染部位的土壤进行清理处置。</w:t>
      </w:r>
    </w:p>
    <w:p w14:paraId="2DF11BD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t>（3）火灾事故预防措施</w:t>
      </w:r>
    </w:p>
    <w:p w14:paraId="16C7FA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t>严禁火源进入厂区，对明火严格控制，明火发生源为火柴、打火机等。汽车等机动车厂区外部水泥路面行驶，须安装阻火器，并安装防火、防爆装置。</w:t>
      </w:r>
    </w:p>
    <w:p w14:paraId="3143AFF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t>（4）危险废物贮存过程中的风险防范措施</w:t>
      </w:r>
    </w:p>
    <w:p w14:paraId="6F9E6F6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t>本项目应针对危险废物的特性、数量，按照《危险废物贮存污染控制标准》(GB18597-2001)要求和《危险废物收集 贮存 运输技术规范》（HJ2025-2012）中要求，做好贮存风险事故防范工作。</w:t>
      </w:r>
    </w:p>
    <w:p w14:paraId="135512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t>①危险废物贮存设施应配备通讯设备、照明设施和消防设施。</w:t>
      </w:r>
    </w:p>
    <w:p w14:paraId="4DFEB6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t>②危废库</w:t>
      </w:r>
      <w:r>
        <w:rPr>
          <w:rFonts w:hint="default" w:ascii="Times New Roman" w:hAnsi="Times New Roman" w:cs="Times New Roman"/>
          <w:color w:val="0000FF"/>
          <w:sz w:val="24"/>
          <w:szCs w:val="24"/>
          <w:lang w:val="en-US" w:eastAsia="zh-CN"/>
        </w:rPr>
        <w:t>地面采用人工防渗层，</w:t>
      </w:r>
      <w:r>
        <w:rPr>
          <w:rFonts w:hint="default" w:ascii="Times New Roman" w:hAnsi="Times New Roman" w:eastAsia="宋体" w:cs="Times New Roman"/>
          <w:b w:val="0"/>
          <w:bCs w:val="0"/>
          <w:color w:val="0000FF"/>
          <w:sz w:val="24"/>
          <w:szCs w:val="24"/>
          <w:lang w:val="en-US" w:eastAsia="zh-CN" w:bidi="ar-SA"/>
        </w:rPr>
        <w:t>渗透系数≤10</w:t>
      </w:r>
      <w:r>
        <w:rPr>
          <w:rFonts w:hint="default" w:ascii="Times New Roman" w:hAnsi="Times New Roman" w:eastAsia="宋体" w:cs="Times New Roman"/>
          <w:b w:val="0"/>
          <w:bCs w:val="0"/>
          <w:color w:val="0000FF"/>
          <w:sz w:val="24"/>
          <w:szCs w:val="24"/>
          <w:vertAlign w:val="superscript"/>
          <w:lang w:val="en-US" w:eastAsia="zh-CN" w:bidi="ar-SA"/>
        </w:rPr>
        <w:t>-10</w:t>
      </w:r>
      <w:r>
        <w:rPr>
          <w:rFonts w:hint="default" w:ascii="Times New Roman" w:hAnsi="Times New Roman" w:eastAsia="宋体" w:cs="Times New Roman"/>
          <w:b w:val="0"/>
          <w:bCs w:val="0"/>
          <w:color w:val="0000FF"/>
          <w:sz w:val="24"/>
          <w:szCs w:val="24"/>
          <w:lang w:val="en-US" w:eastAsia="zh-CN" w:bidi="ar-SA"/>
        </w:rPr>
        <w:t>cm/s；地面与裙脚使用坚固、防渗材料建造，建筑材料必须与危险废物相容，危废库地面必须为耐腐蚀硬化地面，且表面无裂隙，并设有泄漏液体收集装置（事故收集池），防止液体废物意外泄漏造成无组织溢流渗入地下；仓库设计堵截泄漏的裙脚，</w:t>
      </w:r>
      <w:r>
        <w:rPr>
          <w:rFonts w:hint="default" w:ascii="Times New Roman" w:hAnsi="Times New Roman" w:cs="Times New Roman"/>
          <w:color w:val="0000FF"/>
          <w:sz w:val="24"/>
          <w:szCs w:val="24"/>
          <w:lang w:val="en-US" w:eastAsia="zh-CN"/>
        </w:rPr>
        <w:t>裙脚高度为1.2m，采用2mm厚高密度聚乙烯（HDPE）防渗膜，</w:t>
      </w:r>
      <w:r>
        <w:rPr>
          <w:rFonts w:hint="default" w:ascii="Times New Roman" w:hAnsi="Times New Roman" w:eastAsia="宋体" w:cs="Times New Roman"/>
          <w:b w:val="0"/>
          <w:bCs w:val="0"/>
          <w:color w:val="0000FF"/>
          <w:sz w:val="24"/>
          <w:szCs w:val="24"/>
          <w:lang w:val="en-US" w:eastAsia="zh-CN" w:bidi="ar-SA"/>
        </w:rPr>
        <w:t>地面与裙脚所围建的容积不低于堵截最大容器的最大储量或总储量的1/5。</w:t>
      </w:r>
    </w:p>
    <w:p w14:paraId="52B97D4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fldChar w:fldCharType="begin"/>
      </w:r>
      <w:r>
        <w:rPr>
          <w:rFonts w:hint="default" w:ascii="Times New Roman" w:hAnsi="Times New Roman" w:eastAsia="宋体" w:cs="Times New Roman"/>
          <w:b w:val="0"/>
          <w:bCs w:val="0"/>
          <w:color w:val="0000FF"/>
          <w:sz w:val="24"/>
          <w:szCs w:val="24"/>
          <w:lang w:val="en-US" w:eastAsia="zh-CN" w:bidi="ar-SA"/>
        </w:rPr>
        <w:instrText xml:space="preserve"> = 3 \* GB3 \* MERGEFORMAT </w:instrText>
      </w:r>
      <w:r>
        <w:rPr>
          <w:rFonts w:hint="default" w:ascii="Times New Roman" w:hAnsi="Times New Roman" w:eastAsia="宋体" w:cs="Times New Roman"/>
          <w:b w:val="0"/>
          <w:bCs w:val="0"/>
          <w:color w:val="0000FF"/>
          <w:sz w:val="24"/>
          <w:szCs w:val="24"/>
          <w:lang w:val="en-US" w:eastAsia="zh-CN" w:bidi="ar-SA"/>
        </w:rPr>
        <w:fldChar w:fldCharType="separate"/>
      </w:r>
      <w:r>
        <w:rPr>
          <w:rFonts w:hint="default" w:ascii="Times New Roman" w:hAnsi="Times New Roman" w:cs="Times New Roman"/>
          <w:color w:val="0000FF"/>
        </w:rPr>
        <w:t>③</w:t>
      </w:r>
      <w:r>
        <w:rPr>
          <w:rFonts w:hint="default" w:ascii="Times New Roman" w:hAnsi="Times New Roman" w:eastAsia="宋体" w:cs="Times New Roman"/>
          <w:b w:val="0"/>
          <w:bCs w:val="0"/>
          <w:color w:val="0000FF"/>
          <w:sz w:val="24"/>
          <w:szCs w:val="24"/>
          <w:lang w:val="en-US" w:eastAsia="zh-CN" w:bidi="ar-SA"/>
        </w:rPr>
        <w:fldChar w:fldCharType="end"/>
      </w:r>
      <w:r>
        <w:rPr>
          <w:rFonts w:hint="default" w:ascii="Times New Roman" w:hAnsi="Times New Roman" w:eastAsia="宋体" w:cs="Times New Roman"/>
          <w:b w:val="0"/>
          <w:bCs w:val="0"/>
          <w:color w:val="0000FF"/>
          <w:sz w:val="24"/>
          <w:szCs w:val="24"/>
          <w:lang w:val="en-US" w:eastAsia="zh-CN" w:bidi="ar-SA"/>
        </w:rPr>
        <w:t>危废库应阴凉、干燥、通风，避免阳光直射、曝晒，远离热源、电源、火源。按化学品不同类别、性质、危险程度、灭火方法等分区分类贮存，并附上明显标识，性质相抵的禁止同库贮存。</w:t>
      </w:r>
    </w:p>
    <w:p w14:paraId="4835AAE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fldChar w:fldCharType="begin"/>
      </w:r>
      <w:r>
        <w:rPr>
          <w:rFonts w:hint="default" w:ascii="Times New Roman" w:hAnsi="Times New Roman" w:eastAsia="宋体" w:cs="Times New Roman"/>
          <w:b w:val="0"/>
          <w:bCs w:val="0"/>
          <w:color w:val="0000FF"/>
          <w:sz w:val="24"/>
          <w:szCs w:val="24"/>
          <w:lang w:val="en-US" w:eastAsia="zh-CN" w:bidi="ar-SA"/>
        </w:rPr>
        <w:instrText xml:space="preserve"> = 4 \* GB3 \* MERGEFORMAT </w:instrText>
      </w:r>
      <w:r>
        <w:rPr>
          <w:rFonts w:hint="default" w:ascii="Times New Roman" w:hAnsi="Times New Roman" w:eastAsia="宋体" w:cs="Times New Roman"/>
          <w:b w:val="0"/>
          <w:bCs w:val="0"/>
          <w:color w:val="0000FF"/>
          <w:sz w:val="24"/>
          <w:szCs w:val="24"/>
          <w:lang w:val="en-US" w:eastAsia="zh-CN" w:bidi="ar-SA"/>
        </w:rPr>
        <w:fldChar w:fldCharType="separate"/>
      </w:r>
      <w:r>
        <w:rPr>
          <w:rFonts w:hint="default" w:ascii="Times New Roman" w:hAnsi="Times New Roman" w:cs="Times New Roman"/>
          <w:color w:val="0000FF"/>
        </w:rPr>
        <w:t>④</w:t>
      </w:r>
      <w:r>
        <w:rPr>
          <w:rFonts w:hint="default" w:ascii="Times New Roman" w:hAnsi="Times New Roman" w:eastAsia="宋体" w:cs="Times New Roman"/>
          <w:b w:val="0"/>
          <w:bCs w:val="0"/>
          <w:color w:val="0000FF"/>
          <w:sz w:val="24"/>
          <w:szCs w:val="24"/>
          <w:lang w:val="en-US" w:eastAsia="zh-CN" w:bidi="ar-SA"/>
        </w:rPr>
        <w:fldChar w:fldCharType="end"/>
      </w:r>
      <w:r>
        <w:rPr>
          <w:rFonts w:hint="default" w:ascii="Times New Roman" w:hAnsi="Times New Roman" w:eastAsia="宋体" w:cs="Times New Roman"/>
          <w:b w:val="0"/>
          <w:bCs w:val="0"/>
          <w:color w:val="0000FF"/>
          <w:sz w:val="24"/>
          <w:szCs w:val="24"/>
          <w:lang w:val="en-US" w:eastAsia="zh-CN" w:bidi="ar-SA"/>
        </w:rPr>
        <w:t>危废库地面、门窗应经常打扫，保护清洁；危废库内的杂物、易燃物应及时清理，导流渠保持畅通。</w:t>
      </w:r>
    </w:p>
    <w:p w14:paraId="050795D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fldChar w:fldCharType="begin"/>
      </w:r>
      <w:r>
        <w:rPr>
          <w:rFonts w:hint="default" w:ascii="Times New Roman" w:hAnsi="Times New Roman" w:eastAsia="宋体" w:cs="Times New Roman"/>
          <w:b w:val="0"/>
          <w:bCs w:val="0"/>
          <w:color w:val="0000FF"/>
          <w:sz w:val="24"/>
          <w:szCs w:val="24"/>
          <w:lang w:val="en-US" w:eastAsia="zh-CN" w:bidi="ar-SA"/>
        </w:rPr>
        <w:instrText xml:space="preserve"> = 6 \* GB3 \* MERGEFORMAT </w:instrText>
      </w:r>
      <w:r>
        <w:rPr>
          <w:rFonts w:hint="default" w:ascii="Times New Roman" w:hAnsi="Times New Roman" w:eastAsia="宋体" w:cs="Times New Roman"/>
          <w:b w:val="0"/>
          <w:bCs w:val="0"/>
          <w:color w:val="0000FF"/>
          <w:sz w:val="24"/>
          <w:szCs w:val="24"/>
          <w:lang w:val="en-US" w:eastAsia="zh-CN" w:bidi="ar-SA"/>
        </w:rPr>
        <w:fldChar w:fldCharType="separate"/>
      </w:r>
      <w:r>
        <w:rPr>
          <w:rFonts w:hint="default" w:ascii="Times New Roman" w:hAnsi="Times New Roman" w:cs="Times New Roman"/>
          <w:color w:val="0000FF"/>
        </w:rPr>
        <w:t>⑥</w:t>
      </w:r>
      <w:r>
        <w:rPr>
          <w:rFonts w:hint="default" w:ascii="Times New Roman" w:hAnsi="Times New Roman" w:eastAsia="宋体" w:cs="Times New Roman"/>
          <w:b w:val="0"/>
          <w:bCs w:val="0"/>
          <w:color w:val="0000FF"/>
          <w:sz w:val="24"/>
          <w:szCs w:val="24"/>
          <w:lang w:val="en-US" w:eastAsia="zh-CN" w:bidi="ar-SA"/>
        </w:rPr>
        <w:fldChar w:fldCharType="end"/>
      </w:r>
      <w:r>
        <w:rPr>
          <w:rFonts w:hint="default" w:ascii="Times New Roman" w:hAnsi="Times New Roman" w:eastAsia="宋体" w:cs="Times New Roman"/>
          <w:b w:val="0"/>
          <w:bCs w:val="0"/>
          <w:color w:val="0000FF"/>
          <w:sz w:val="24"/>
          <w:szCs w:val="24"/>
          <w:lang w:val="en-US" w:eastAsia="zh-CN" w:bidi="ar-SA"/>
        </w:rPr>
        <w:t>贮存危险废物时应按危险废物的种类和特性进行分区贮存，每个贮存区域之间设置挡墙间隔，并应设置防雨、防火、防雷、防扬尘装置。</w:t>
      </w:r>
    </w:p>
    <w:p w14:paraId="52D52E2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sz w:val="24"/>
          <w:szCs w:val="24"/>
          <w:lang w:val="en-US" w:eastAsia="zh-CN" w:bidi="ar-SA"/>
        </w:rPr>
      </w:pPr>
      <w:r>
        <w:rPr>
          <w:rFonts w:hint="default" w:ascii="Times New Roman" w:hAnsi="Times New Roman" w:eastAsia="宋体" w:cs="Times New Roman"/>
          <w:b w:val="0"/>
          <w:bCs w:val="0"/>
          <w:color w:val="0000FF"/>
          <w:sz w:val="24"/>
          <w:szCs w:val="24"/>
          <w:lang w:val="en-US" w:eastAsia="zh-CN" w:bidi="ar-SA"/>
        </w:rPr>
        <w:fldChar w:fldCharType="begin"/>
      </w:r>
      <w:r>
        <w:rPr>
          <w:rFonts w:hint="default" w:ascii="Times New Roman" w:hAnsi="Times New Roman" w:eastAsia="宋体" w:cs="Times New Roman"/>
          <w:b w:val="0"/>
          <w:bCs w:val="0"/>
          <w:color w:val="0000FF"/>
          <w:sz w:val="24"/>
          <w:szCs w:val="24"/>
          <w:lang w:val="en-US" w:eastAsia="zh-CN" w:bidi="ar-SA"/>
        </w:rPr>
        <w:instrText xml:space="preserve"> = 7 \* GB3 \* MERGEFORMAT </w:instrText>
      </w:r>
      <w:r>
        <w:rPr>
          <w:rFonts w:hint="default" w:ascii="Times New Roman" w:hAnsi="Times New Roman" w:eastAsia="宋体" w:cs="Times New Roman"/>
          <w:b w:val="0"/>
          <w:bCs w:val="0"/>
          <w:color w:val="0000FF"/>
          <w:sz w:val="24"/>
          <w:szCs w:val="24"/>
          <w:lang w:val="en-US" w:eastAsia="zh-CN" w:bidi="ar-SA"/>
        </w:rPr>
        <w:fldChar w:fldCharType="separate"/>
      </w:r>
      <w:r>
        <w:rPr>
          <w:rFonts w:hint="default" w:ascii="Times New Roman" w:hAnsi="Times New Roman" w:cs="Times New Roman"/>
          <w:color w:val="0000FF"/>
        </w:rPr>
        <w:t>⑦</w:t>
      </w:r>
      <w:r>
        <w:rPr>
          <w:rFonts w:hint="default" w:ascii="Times New Roman" w:hAnsi="Times New Roman" w:eastAsia="宋体" w:cs="Times New Roman"/>
          <w:b w:val="0"/>
          <w:bCs w:val="0"/>
          <w:color w:val="0000FF"/>
          <w:sz w:val="24"/>
          <w:szCs w:val="24"/>
          <w:lang w:val="en-US" w:eastAsia="zh-CN" w:bidi="ar-SA"/>
        </w:rPr>
        <w:fldChar w:fldCharType="end"/>
      </w:r>
      <w:r>
        <w:rPr>
          <w:rFonts w:hint="default" w:ascii="Times New Roman" w:hAnsi="Times New Roman" w:eastAsia="宋体" w:cs="Times New Roman"/>
          <w:b w:val="0"/>
          <w:bCs w:val="0"/>
          <w:color w:val="0000FF"/>
          <w:sz w:val="24"/>
          <w:szCs w:val="24"/>
          <w:lang w:val="en-US" w:eastAsia="zh-CN" w:bidi="ar-SA"/>
        </w:rPr>
        <w:t>危险废物贮存单位应建立危险废物贮存的台帐制度，危险废物出入库交接应按要求做好记录。</w:t>
      </w:r>
    </w:p>
    <w:p w14:paraId="195DF5B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FF"/>
          <w:kern w:val="2"/>
          <w:sz w:val="24"/>
          <w:szCs w:val="24"/>
          <w:lang w:val="en-US" w:eastAsia="zh-CN"/>
        </w:rPr>
      </w:pPr>
      <w:r>
        <w:rPr>
          <w:rFonts w:hint="default" w:ascii="Times New Roman" w:hAnsi="Times New Roman" w:eastAsia="宋体" w:cs="Times New Roman"/>
          <w:b w:val="0"/>
          <w:bCs w:val="0"/>
          <w:color w:val="0000FF"/>
          <w:sz w:val="24"/>
          <w:szCs w:val="24"/>
          <w:lang w:val="en-US" w:eastAsia="zh-CN" w:bidi="ar-SA"/>
        </w:rPr>
        <w:fldChar w:fldCharType="begin"/>
      </w:r>
      <w:r>
        <w:rPr>
          <w:rFonts w:hint="default" w:ascii="Times New Roman" w:hAnsi="Times New Roman" w:eastAsia="宋体" w:cs="Times New Roman"/>
          <w:b w:val="0"/>
          <w:bCs w:val="0"/>
          <w:color w:val="0000FF"/>
          <w:sz w:val="24"/>
          <w:szCs w:val="24"/>
          <w:lang w:val="en-US" w:eastAsia="zh-CN" w:bidi="ar-SA"/>
        </w:rPr>
        <w:instrText xml:space="preserve"> = 8 \* GB3 \* MERGEFORMAT </w:instrText>
      </w:r>
      <w:r>
        <w:rPr>
          <w:rFonts w:hint="default" w:ascii="Times New Roman" w:hAnsi="Times New Roman" w:eastAsia="宋体" w:cs="Times New Roman"/>
          <w:b w:val="0"/>
          <w:bCs w:val="0"/>
          <w:color w:val="0000FF"/>
          <w:sz w:val="24"/>
          <w:szCs w:val="24"/>
          <w:lang w:val="en-US" w:eastAsia="zh-CN" w:bidi="ar-SA"/>
        </w:rPr>
        <w:fldChar w:fldCharType="separate"/>
      </w:r>
      <w:r>
        <w:rPr>
          <w:rFonts w:hint="default" w:ascii="Times New Roman" w:hAnsi="Times New Roman" w:cs="Times New Roman"/>
          <w:color w:val="0000FF"/>
        </w:rPr>
        <w:t>⑧</w:t>
      </w:r>
      <w:r>
        <w:rPr>
          <w:rFonts w:hint="default" w:ascii="Times New Roman" w:hAnsi="Times New Roman" w:eastAsia="宋体" w:cs="Times New Roman"/>
          <w:b w:val="0"/>
          <w:bCs w:val="0"/>
          <w:color w:val="0000FF"/>
          <w:sz w:val="24"/>
          <w:szCs w:val="24"/>
          <w:lang w:val="en-US" w:eastAsia="zh-CN" w:bidi="ar-SA"/>
        </w:rPr>
        <w:fldChar w:fldCharType="end"/>
      </w:r>
      <w:r>
        <w:rPr>
          <w:rFonts w:hint="default" w:ascii="Times New Roman" w:hAnsi="Times New Roman" w:eastAsia="宋体" w:cs="Times New Roman"/>
          <w:b w:val="0"/>
          <w:bCs w:val="0"/>
          <w:color w:val="0000FF"/>
          <w:sz w:val="24"/>
          <w:szCs w:val="24"/>
          <w:lang w:val="en-US" w:eastAsia="zh-CN" w:bidi="ar-SA"/>
        </w:rPr>
        <w:t>危险废物贮存设施应根据贮存的废物种类和特性按照 GB18597附录 A 设置标志</w:t>
      </w:r>
      <w:r>
        <w:rPr>
          <w:rFonts w:hint="default" w:ascii="Times New Roman" w:hAnsi="Times New Roman" w:eastAsia="宋体" w:cs="Times New Roman"/>
          <w:b w:val="0"/>
          <w:bCs w:val="0"/>
          <w:color w:val="0000FF"/>
          <w:kern w:val="2"/>
          <w:sz w:val="24"/>
          <w:szCs w:val="24"/>
          <w:lang w:val="en-US" w:eastAsia="zh-CN"/>
        </w:rPr>
        <w:t>。</w:t>
      </w:r>
    </w:p>
    <w:p w14:paraId="73F4A04E">
      <w:pPr>
        <w:widowControl w:val="0"/>
        <w:numPr>
          <w:ilvl w:val="2"/>
          <w:numId w:val="3"/>
        </w:numPr>
        <w:tabs>
          <w:tab w:val="left" w:pos="987"/>
          <w:tab w:val="left" w:pos="1086"/>
          <w:tab w:val="left" w:pos="1260"/>
        </w:tabs>
        <w:bidi w:val="0"/>
        <w:snapToGrid w:val="0"/>
        <w:spacing w:before="50" w:beforeLines="50" w:after="50" w:afterLines="50" w:line="360" w:lineRule="auto"/>
        <w:jc w:val="both"/>
        <w:outlineLvl w:val="2"/>
        <w:rPr>
          <w:rFonts w:hint="default" w:ascii="Times New Roman" w:hAnsi="Times New Roman" w:eastAsia="宋体" w:cs="Times New Roman"/>
          <w:b w:val="0"/>
          <w:color w:val="auto"/>
          <w:kern w:val="2"/>
          <w:sz w:val="24"/>
          <w:szCs w:val="22"/>
          <w:lang w:val="en-US" w:eastAsia="zh-CN" w:bidi="ar-SA"/>
        </w:rPr>
      </w:pPr>
      <w:r>
        <w:rPr>
          <w:rFonts w:hint="default" w:ascii="Times New Roman" w:hAnsi="Times New Roman" w:eastAsia="宋体" w:cs="Times New Roman"/>
          <w:b w:val="0"/>
          <w:color w:val="auto"/>
          <w:kern w:val="2"/>
          <w:sz w:val="24"/>
          <w:szCs w:val="22"/>
          <w:lang w:val="en-US" w:eastAsia="zh-CN" w:bidi="ar-SA"/>
        </w:rPr>
        <w:t>火灾、爆炸事故防范措施</w:t>
      </w:r>
    </w:p>
    <w:p w14:paraId="3E81F5AB">
      <w:pPr>
        <w:pStyle w:val="44"/>
        <w:rPr>
          <w:rFonts w:hint="default" w:ascii="Times New Roman" w:hAnsi="Times New Roman" w:cs="Times New Roman"/>
          <w:lang w:val="en-US" w:eastAsia="zh-CN"/>
        </w:rPr>
      </w:pPr>
      <w:r>
        <w:rPr>
          <w:rFonts w:hint="default" w:ascii="Times New Roman" w:hAnsi="Times New Roman" w:cs="Times New Roman"/>
          <w:lang w:val="en-US" w:eastAsia="zh-CN"/>
        </w:rPr>
        <w:t>（1）物料贮运要求</w:t>
      </w:r>
    </w:p>
    <w:p w14:paraId="796455D5">
      <w:pPr>
        <w:pStyle w:val="44"/>
        <w:rPr>
          <w:rFonts w:hint="default" w:ascii="Times New Roman" w:hAnsi="Times New Roman" w:cs="Times New Roman"/>
          <w:lang w:val="en-US" w:eastAsia="zh-CN"/>
        </w:rPr>
      </w:pPr>
      <w:r>
        <w:rPr>
          <w:rFonts w:hint="default" w:ascii="Times New Roman" w:hAnsi="Times New Roman" w:cs="Times New Roman"/>
          <w:lang w:val="en-US" w:eastAsia="zh-CN"/>
        </w:rPr>
        <w:t>1）物料分类储存，储存场所、储罐、钢瓶应远离热源与火种，不可与易燃物公共贮存。</w:t>
      </w:r>
    </w:p>
    <w:p w14:paraId="761B8C54">
      <w:pPr>
        <w:pStyle w:val="44"/>
        <w:rPr>
          <w:rFonts w:hint="default" w:ascii="Times New Roman" w:hAnsi="Times New Roman" w:cs="Times New Roman"/>
          <w:lang w:val="en-US" w:eastAsia="zh-CN"/>
        </w:rPr>
      </w:pPr>
      <w:r>
        <w:rPr>
          <w:rFonts w:hint="default" w:ascii="Times New Roman" w:hAnsi="Times New Roman" w:cs="Times New Roman"/>
          <w:lang w:val="en-US" w:eastAsia="zh-CN"/>
        </w:rPr>
        <w:t>2）冲击或撞击有可能引起火灾爆炸的物料搬运时要轻拿轻放，避免碰撞和撞击。</w:t>
      </w:r>
    </w:p>
    <w:p w14:paraId="7BBF917D">
      <w:pPr>
        <w:pStyle w:val="44"/>
        <w:rPr>
          <w:rFonts w:hint="default" w:ascii="Times New Roman" w:hAnsi="Times New Roman" w:cs="Times New Roman"/>
          <w:lang w:val="en-US" w:eastAsia="zh-CN"/>
        </w:rPr>
      </w:pPr>
      <w:r>
        <w:rPr>
          <w:rFonts w:hint="default" w:ascii="Times New Roman" w:hAnsi="Times New Roman" w:cs="Times New Roman"/>
          <w:lang w:val="en-US" w:eastAsia="zh-CN"/>
        </w:rPr>
        <w:t>（2）火源的管理</w:t>
      </w:r>
    </w:p>
    <w:p w14:paraId="2D6DF94B">
      <w:pPr>
        <w:pStyle w:val="44"/>
        <w:rPr>
          <w:rFonts w:hint="default" w:ascii="Times New Roman" w:hAnsi="Times New Roman" w:cs="Times New Roman"/>
          <w:lang w:val="en-US" w:eastAsia="zh-CN"/>
        </w:rPr>
      </w:pPr>
      <w:r>
        <w:rPr>
          <w:rFonts w:hint="default" w:ascii="Times New Roman" w:hAnsi="Times New Roman" w:cs="Times New Roman"/>
          <w:lang w:val="en-US" w:eastAsia="zh-CN"/>
        </w:rPr>
        <w:t>1）控制明火。</w:t>
      </w:r>
    </w:p>
    <w:p w14:paraId="3274DF11">
      <w:pPr>
        <w:pStyle w:val="44"/>
        <w:rPr>
          <w:rFonts w:hint="default" w:ascii="Times New Roman" w:hAnsi="Times New Roman" w:cs="Times New Roman"/>
          <w:lang w:val="en-US" w:eastAsia="zh-CN"/>
        </w:rPr>
      </w:pPr>
      <w:r>
        <w:rPr>
          <w:rFonts w:hint="default" w:ascii="Times New Roman" w:hAnsi="Times New Roman" w:cs="Times New Roman"/>
          <w:lang w:val="en-US" w:eastAsia="zh-CN"/>
        </w:rPr>
        <w:t>2）设备维修检查，需进行维修焊接，应经安全部门确认、准许，并有记录 在案，有监管人员在场方可进行施工。</w:t>
      </w:r>
    </w:p>
    <w:p w14:paraId="52F6FC82">
      <w:pPr>
        <w:pStyle w:val="44"/>
        <w:rPr>
          <w:rFonts w:hint="default" w:ascii="Times New Roman" w:hAnsi="Times New Roman" w:cs="Times New Roman"/>
          <w:lang w:val="en-US" w:eastAsia="zh-CN"/>
        </w:rPr>
      </w:pPr>
      <w:r>
        <w:rPr>
          <w:rFonts w:hint="default" w:ascii="Times New Roman" w:hAnsi="Times New Roman" w:cs="Times New Roman"/>
          <w:lang w:val="en-US" w:eastAsia="zh-CN"/>
        </w:rPr>
        <w:t>3）储罐与明火、散发火花地点及周围构筑物之间的距离应满足规范要求。</w:t>
      </w:r>
    </w:p>
    <w:p w14:paraId="0C49D22C">
      <w:pPr>
        <w:pStyle w:val="44"/>
        <w:rPr>
          <w:rFonts w:hint="default" w:ascii="Times New Roman" w:hAnsi="Times New Roman" w:cs="Times New Roman"/>
          <w:lang w:val="en-US" w:eastAsia="zh-CN"/>
        </w:rPr>
      </w:pPr>
      <w:r>
        <w:rPr>
          <w:rFonts w:hint="default" w:ascii="Times New Roman" w:hAnsi="Times New Roman" w:cs="Times New Roman"/>
          <w:lang w:val="en-US" w:eastAsia="zh-CN"/>
        </w:rPr>
        <w:t>（3）火灾的控制</w:t>
      </w:r>
    </w:p>
    <w:p w14:paraId="29CBE1C7">
      <w:pPr>
        <w:pStyle w:val="44"/>
        <w:rPr>
          <w:rFonts w:hint="default" w:ascii="Times New Roman" w:hAnsi="Times New Roman" w:cs="Times New Roman"/>
          <w:lang w:val="en-US" w:eastAsia="zh-CN"/>
        </w:rPr>
      </w:pPr>
      <w:r>
        <w:rPr>
          <w:rFonts w:hint="default" w:ascii="Times New Roman" w:hAnsi="Times New Roman" w:cs="Times New Roman"/>
          <w:lang w:val="en-US" w:eastAsia="zh-CN"/>
        </w:rPr>
        <w:t>1）严格按防火、防爆设计规范的要求进行设计，按规范设置消防系统，配 置相应的灭火装置和设施。</w:t>
      </w:r>
    </w:p>
    <w:p w14:paraId="61EDCC8F">
      <w:pPr>
        <w:pStyle w:val="44"/>
        <w:rPr>
          <w:rFonts w:hint="default" w:ascii="Times New Roman" w:hAnsi="Times New Roman" w:cs="Times New Roman"/>
          <w:lang w:val="en-US" w:eastAsia="zh-CN"/>
        </w:rPr>
      </w:pPr>
      <w:r>
        <w:rPr>
          <w:rFonts w:hint="default" w:ascii="Times New Roman" w:hAnsi="Times New Roman" w:cs="Times New Roman"/>
          <w:lang w:val="en-US" w:eastAsia="zh-CN"/>
        </w:rPr>
        <w:t>2）储罐区地面应采用不会产生火花的材料，其技术要求应符合现行的国家 标准《地面与楼面工程施工及验收规范》 GB1209  的规定。</w:t>
      </w:r>
    </w:p>
    <w:p w14:paraId="20CA929E">
      <w:pPr>
        <w:pStyle w:val="44"/>
        <w:rPr>
          <w:rFonts w:hint="default" w:ascii="Times New Roman" w:hAnsi="Times New Roman" w:cs="Times New Roman"/>
          <w:lang w:val="en-US" w:eastAsia="zh-CN"/>
        </w:rPr>
      </w:pPr>
      <w:r>
        <w:rPr>
          <w:rFonts w:hint="default" w:ascii="Times New Roman" w:hAnsi="Times New Roman" w:cs="Times New Roman"/>
          <w:lang w:val="en-US" w:eastAsia="zh-CN"/>
        </w:rPr>
        <w:t>3）夏季，储罐设淋水降温措施并应正常运转。</w:t>
      </w:r>
    </w:p>
    <w:p w14:paraId="4CBA44D6">
      <w:pPr>
        <w:pStyle w:val="44"/>
        <w:rPr>
          <w:rFonts w:hint="default" w:ascii="Times New Roman" w:hAnsi="Times New Roman" w:cs="Times New Roman"/>
          <w:lang w:val="en-US" w:eastAsia="zh-CN"/>
        </w:rPr>
      </w:pPr>
      <w:r>
        <w:rPr>
          <w:rFonts w:hint="default" w:ascii="Times New Roman" w:hAnsi="Times New Roman" w:cs="Times New Roman"/>
          <w:lang w:val="en-US" w:eastAsia="zh-CN"/>
        </w:rPr>
        <w:t>4）按《爆炸和火灾危险环境电力装置设计规范》选用电器设备，并采取静 电接地措施。在较高建、构筑物上设避雷装置。</w:t>
      </w:r>
    </w:p>
    <w:p w14:paraId="1ABA14B4">
      <w:pPr>
        <w:pStyle w:val="44"/>
        <w:rPr>
          <w:rFonts w:hint="default" w:ascii="Times New Roman" w:hAnsi="Times New Roman" w:cs="Times New Roman"/>
          <w:lang w:val="en-US" w:eastAsia="zh-CN"/>
        </w:rPr>
      </w:pPr>
      <w:r>
        <w:rPr>
          <w:rFonts w:hint="default" w:ascii="Times New Roman" w:hAnsi="Times New Roman" w:cs="Times New Roman"/>
          <w:lang w:val="en-US" w:eastAsia="zh-CN"/>
        </w:rPr>
        <w:t>（4）设置火灾报警系统</w:t>
      </w:r>
    </w:p>
    <w:p w14:paraId="140A6809">
      <w:pPr>
        <w:pStyle w:val="44"/>
        <w:rPr>
          <w:rFonts w:hint="default" w:ascii="Times New Roman" w:hAnsi="Times New Roman" w:cs="Times New Roman"/>
          <w:lang w:val="en-US" w:eastAsia="zh-CN"/>
        </w:rPr>
      </w:pPr>
      <w:r>
        <w:rPr>
          <w:rFonts w:hint="default" w:ascii="Times New Roman" w:hAnsi="Times New Roman" w:cs="Times New Roman"/>
          <w:lang w:val="en-US" w:eastAsia="zh-CN"/>
        </w:rPr>
        <w:t>由火灾报警控制器、火灾探测器、手动报警按钮等组成，以利于自动预警和及时组织灭火扑救。</w:t>
      </w:r>
    </w:p>
    <w:p w14:paraId="37A858D7">
      <w:pPr>
        <w:widowControl w:val="0"/>
        <w:numPr>
          <w:ilvl w:val="1"/>
          <w:numId w:val="3"/>
        </w:numPr>
        <w:tabs>
          <w:tab w:val="left" w:pos="1086"/>
        </w:tabs>
        <w:bidi w:val="0"/>
        <w:snapToGrid w:val="0"/>
        <w:spacing w:before="50" w:beforeLines="50" w:after="50" w:afterLines="50" w:line="360" w:lineRule="auto"/>
        <w:jc w:val="both"/>
        <w:outlineLvl w:val="1"/>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风险应急预案</w:t>
      </w:r>
    </w:p>
    <w:p w14:paraId="20D0A729">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应急预案是针对具体设备、设施、场所和环境，为降低事故造成的人身、财产的损失与环境破坏，就事故发生后的应急救援机构和人员，应急救援的设备、设施、条件和环境，行动的步骤和纲领，控制事故发展的方法和程序等，预先做出的科学而有效的计划和安排。</w:t>
      </w:r>
    </w:p>
    <w:p w14:paraId="45254834">
      <w:pPr>
        <w:spacing w:line="360" w:lineRule="auto"/>
        <w:ind w:firstLine="480" w:firstLineChars="200"/>
        <w:rPr>
          <w:rFonts w:hint="default" w:ascii="Times New Roman" w:hAnsi="Times New Roman" w:cs="Times New Roman"/>
          <w:color w:val="auto"/>
          <w:sz w:val="24"/>
          <w:u w:val="none"/>
        </w:rPr>
      </w:pPr>
      <w:r>
        <w:rPr>
          <w:rFonts w:hint="default" w:ascii="Times New Roman" w:hAnsi="Times New Roman" w:cs="Times New Roman"/>
          <w:color w:val="auto"/>
          <w:sz w:val="24"/>
          <w:u w:val="none"/>
        </w:rPr>
        <w:t>建设项目在生产过程和运输过程将产生潜在的危害，如果安全措施水平高，则事故的概率必然会降低，但不会为零。为使环境风险减小到最低程度，必须加强劳动安全管理，制定完善、有效的安全措施，尽可能降低事故发生概率。一旦发生事故，需要采取应急措施，控制和减少事故危害。而有毒有害物质泄漏至周围环境，则可能危害环境需要实施社会救援，因此建设单位需要制定相应的应急预案。根据《建设项目环境风险评价技术导则》（HJ169-2018）要求结合企业实际情况，编制的《应急预案》应包含以下内容。</w:t>
      </w:r>
    </w:p>
    <w:p w14:paraId="6B854473">
      <w:pPr>
        <w:spacing w:line="360" w:lineRule="auto"/>
        <w:jc w:val="center"/>
        <w:rPr>
          <w:rFonts w:hint="default" w:ascii="Times New Roman" w:hAnsi="Times New Roman" w:cs="Times New Roman"/>
          <w:b/>
          <w:bCs/>
          <w:color w:val="auto"/>
          <w:sz w:val="21"/>
          <w:szCs w:val="21"/>
          <w:u w:val="none"/>
        </w:rPr>
      </w:pPr>
      <w:r>
        <w:rPr>
          <w:rFonts w:hint="default" w:ascii="Times New Roman" w:hAnsi="Times New Roman" w:cs="Times New Roman"/>
          <w:b/>
          <w:bCs/>
          <w:color w:val="auto"/>
          <w:sz w:val="21"/>
          <w:szCs w:val="21"/>
          <w:u w:val="none"/>
        </w:rPr>
        <w:t>表</w:t>
      </w:r>
      <w:r>
        <w:rPr>
          <w:rFonts w:hint="default" w:ascii="Times New Roman" w:hAnsi="Times New Roman" w:cs="Times New Roman"/>
          <w:b/>
          <w:bCs/>
          <w:color w:val="auto"/>
          <w:sz w:val="21"/>
          <w:szCs w:val="21"/>
          <w:u w:val="none"/>
          <w:lang w:val="en-US" w:eastAsia="zh-CN"/>
        </w:rPr>
        <w:t xml:space="preserve">5.2-1 </w:t>
      </w:r>
      <w:r>
        <w:rPr>
          <w:rFonts w:hint="default" w:ascii="Times New Roman" w:hAnsi="Times New Roman" w:cs="Times New Roman"/>
          <w:b/>
          <w:bCs/>
          <w:color w:val="auto"/>
          <w:sz w:val="21"/>
          <w:szCs w:val="21"/>
          <w:u w:val="none"/>
        </w:rPr>
        <w:t xml:space="preserve">  突发环境事故应急预案</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1417"/>
        <w:gridCol w:w="6437"/>
      </w:tblGrid>
      <w:tr w14:paraId="401A3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3CDE2028">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序号</w:t>
            </w:r>
          </w:p>
        </w:tc>
        <w:tc>
          <w:tcPr>
            <w:tcW w:w="1417" w:type="dxa"/>
            <w:noWrap w:val="0"/>
            <w:vAlign w:val="center"/>
          </w:tcPr>
          <w:p w14:paraId="72F5D456">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项目</w:t>
            </w:r>
          </w:p>
        </w:tc>
        <w:tc>
          <w:tcPr>
            <w:tcW w:w="6437" w:type="dxa"/>
            <w:noWrap w:val="0"/>
            <w:vAlign w:val="center"/>
          </w:tcPr>
          <w:p w14:paraId="31EDC5AF">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内容及要求</w:t>
            </w:r>
          </w:p>
        </w:tc>
      </w:tr>
      <w:tr w14:paraId="36837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3839CC63">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w:t>
            </w:r>
          </w:p>
        </w:tc>
        <w:tc>
          <w:tcPr>
            <w:tcW w:w="1417" w:type="dxa"/>
            <w:noWrap w:val="0"/>
            <w:vAlign w:val="center"/>
          </w:tcPr>
          <w:p w14:paraId="6CD52E9E">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编制说明</w:t>
            </w:r>
          </w:p>
        </w:tc>
        <w:tc>
          <w:tcPr>
            <w:tcW w:w="6437" w:type="dxa"/>
            <w:noWrap w:val="0"/>
            <w:vAlign w:val="center"/>
          </w:tcPr>
          <w:p w14:paraId="1F9D983D">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按照《企业事业单位突发环境事件应急预案备案管理办法（试行）》（环发[2015]4号）的要求，编制《突发环境事件应急预案编制说明》，主要内容包括：《预案》编制背景、《预案》编制过程、预案重点内容、预案征求意见情况、《预案》评审情况。</w:t>
            </w:r>
          </w:p>
        </w:tc>
      </w:tr>
      <w:tr w14:paraId="7B536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0748ECC3">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2</w:t>
            </w:r>
          </w:p>
        </w:tc>
        <w:tc>
          <w:tcPr>
            <w:tcW w:w="1417" w:type="dxa"/>
            <w:noWrap w:val="0"/>
            <w:vAlign w:val="center"/>
          </w:tcPr>
          <w:p w14:paraId="0799FCC7">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总则</w:t>
            </w:r>
          </w:p>
        </w:tc>
        <w:tc>
          <w:tcPr>
            <w:tcW w:w="6437" w:type="dxa"/>
            <w:noWrap w:val="0"/>
            <w:vAlign w:val="center"/>
          </w:tcPr>
          <w:p w14:paraId="373C56EC">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1、编制目的：明确预案编制的目的、要达到的目标和作用等；</w:t>
            </w:r>
          </w:p>
          <w:p w14:paraId="76B6CCE7">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2、编制依据：明确预案编制所依据的国家法律法规、规章制度，部门文件，有关行业技术规范标准，以及企业关于应急工作的有关制度和管理办法等；3、适用范围：规定应急预案适用的对象、范围，以及环境污染事件的类型、级别等；</w:t>
            </w:r>
          </w:p>
          <w:p w14:paraId="538E5B3D">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4、工作原则：明确应急工作应遵循预防为主、减少危害，统一领导、分级负责，企业自救、属地管理，整合资源、联动处置等原则。</w:t>
            </w:r>
          </w:p>
        </w:tc>
      </w:tr>
      <w:tr w14:paraId="4636A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3BE1DF40">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3</w:t>
            </w:r>
          </w:p>
        </w:tc>
        <w:tc>
          <w:tcPr>
            <w:tcW w:w="1417" w:type="dxa"/>
            <w:noWrap w:val="0"/>
            <w:vAlign w:val="center"/>
          </w:tcPr>
          <w:p w14:paraId="2161F3E0">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企业基本情况</w:t>
            </w:r>
          </w:p>
        </w:tc>
        <w:tc>
          <w:tcPr>
            <w:tcW w:w="6437" w:type="dxa"/>
            <w:noWrap w:val="0"/>
            <w:vAlign w:val="center"/>
          </w:tcPr>
          <w:p w14:paraId="52B54C0F">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1、单位基本情况；</w:t>
            </w:r>
          </w:p>
          <w:p w14:paraId="688E6EF8">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2、生产基本情况；</w:t>
            </w:r>
          </w:p>
          <w:p w14:paraId="6955300E">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3、危险品和危险废物的基本情况；</w:t>
            </w:r>
          </w:p>
          <w:p w14:paraId="0FBB3DEF">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4、周边环境状况及环境保护目标情况。</w:t>
            </w:r>
          </w:p>
        </w:tc>
      </w:tr>
      <w:tr w14:paraId="0809F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524E20B3">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4</w:t>
            </w:r>
          </w:p>
        </w:tc>
        <w:tc>
          <w:tcPr>
            <w:tcW w:w="1417" w:type="dxa"/>
            <w:noWrap w:val="0"/>
            <w:vAlign w:val="center"/>
          </w:tcPr>
          <w:p w14:paraId="7E11274F">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环境风险源辨识与风险评估</w:t>
            </w:r>
          </w:p>
        </w:tc>
        <w:tc>
          <w:tcPr>
            <w:tcW w:w="6437" w:type="dxa"/>
            <w:noWrap w:val="0"/>
            <w:vAlign w:val="center"/>
          </w:tcPr>
          <w:p w14:paraId="0F3BE46C">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按照《关于印发《企业突发环境事件风险评估指南（试行）》的通知》（环办[2014]34号）的要求，编制《突发环境事件风险评估报告》，内容主要包括：环境风险源辨识：对公司生产区域、储存区进行环境风险分析，明确存在的环境风险源；</w:t>
            </w:r>
          </w:p>
          <w:p w14:paraId="640595F4">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2、环境风险评估：从生产工艺、安全生产控制、环境风险防控措施、环评及审查意见落实情况、废水排放去向等方面对公司的生产工艺与环境风险控制水平进行评估，确定环境风险等级。</w:t>
            </w:r>
          </w:p>
        </w:tc>
      </w:tr>
      <w:tr w14:paraId="3D929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2ADFBE11">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5</w:t>
            </w:r>
          </w:p>
        </w:tc>
        <w:tc>
          <w:tcPr>
            <w:tcW w:w="1417" w:type="dxa"/>
            <w:noWrap w:val="0"/>
            <w:vAlign w:val="center"/>
          </w:tcPr>
          <w:p w14:paraId="37D25BE5">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组织机构和职责</w:t>
            </w:r>
          </w:p>
        </w:tc>
        <w:tc>
          <w:tcPr>
            <w:tcW w:w="6437" w:type="dxa"/>
            <w:noWrap w:val="0"/>
            <w:vAlign w:val="center"/>
          </w:tcPr>
          <w:p w14:paraId="1EF41CC6">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由应急领导小组、应急指挥中心、办事机构和工作机构、应急工作主要部门、应急工作支持部门、信息组、专家组、现场应急指挥部等构成。</w:t>
            </w:r>
          </w:p>
        </w:tc>
      </w:tr>
      <w:tr w14:paraId="2A636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3E5B3076">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6</w:t>
            </w:r>
          </w:p>
        </w:tc>
        <w:tc>
          <w:tcPr>
            <w:tcW w:w="1417" w:type="dxa"/>
            <w:noWrap w:val="0"/>
            <w:vAlign w:val="center"/>
          </w:tcPr>
          <w:p w14:paraId="5C1DFF1A">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应急能力建设</w:t>
            </w:r>
          </w:p>
        </w:tc>
        <w:tc>
          <w:tcPr>
            <w:tcW w:w="6437" w:type="dxa"/>
            <w:noWrap w:val="0"/>
            <w:vAlign w:val="center"/>
          </w:tcPr>
          <w:p w14:paraId="539CB435">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按照《企业事业单位突发环境事件应急预案备案管理办法（试行）》（环发[2015]4号）的要求，编制《应急资源调查报告》，主要内容包括：</w:t>
            </w:r>
          </w:p>
          <w:p w14:paraId="4697D69E">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1、应急处置队伍：包括通讯联络队、抢险抢修队、医疗救护队、应急消防队、治安队、物资供应队和应急环境监测队等。</w:t>
            </w:r>
          </w:p>
          <w:p w14:paraId="068C5CF6">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2、应急设施：包括医疗救护仪器、药品、个人防护装备器材、消防设施、堵漏器材、应急监测仪器设备和应急交通工具等。</w:t>
            </w:r>
          </w:p>
          <w:p w14:paraId="3E44B4DC">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3、应急物资：处理泄漏物、消解和吸收污染物的物资。</w:t>
            </w:r>
          </w:p>
        </w:tc>
      </w:tr>
      <w:tr w14:paraId="75B48B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0F35755D">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7</w:t>
            </w:r>
          </w:p>
        </w:tc>
        <w:tc>
          <w:tcPr>
            <w:tcW w:w="1417" w:type="dxa"/>
            <w:noWrap w:val="0"/>
            <w:vAlign w:val="center"/>
          </w:tcPr>
          <w:p w14:paraId="23624B16">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预警与信息报送</w:t>
            </w:r>
          </w:p>
        </w:tc>
        <w:tc>
          <w:tcPr>
            <w:tcW w:w="6437" w:type="dxa"/>
            <w:noWrap w:val="0"/>
            <w:vAlign w:val="center"/>
          </w:tcPr>
          <w:p w14:paraId="3A3E551E">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报警、通讯联络方式信息报告与处置。</w:t>
            </w:r>
          </w:p>
        </w:tc>
      </w:tr>
      <w:tr w14:paraId="75056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0EBEE93D">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8</w:t>
            </w:r>
          </w:p>
        </w:tc>
        <w:tc>
          <w:tcPr>
            <w:tcW w:w="1417" w:type="dxa"/>
            <w:noWrap w:val="0"/>
            <w:vAlign w:val="center"/>
          </w:tcPr>
          <w:p w14:paraId="1D53B875">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应急响应和措施</w:t>
            </w:r>
          </w:p>
        </w:tc>
        <w:tc>
          <w:tcPr>
            <w:tcW w:w="6437" w:type="dxa"/>
            <w:noWrap w:val="0"/>
            <w:vAlign w:val="center"/>
          </w:tcPr>
          <w:p w14:paraId="0EA82945">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分级响应机制；现场应急措施；应急设施（备）及应急物资的启用程序；抢险、处置及控制措施；人员紧急撤离和疏散；大气环境突发环境事件的应急措施；水环境突发环境事件的应急措施；应急监测；应急终止。</w:t>
            </w:r>
          </w:p>
        </w:tc>
      </w:tr>
      <w:tr w14:paraId="64352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138564D7">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9</w:t>
            </w:r>
          </w:p>
        </w:tc>
        <w:tc>
          <w:tcPr>
            <w:tcW w:w="1417" w:type="dxa"/>
            <w:noWrap w:val="0"/>
            <w:vAlign w:val="center"/>
          </w:tcPr>
          <w:p w14:paraId="2421ED31">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后期处置</w:t>
            </w:r>
          </w:p>
        </w:tc>
        <w:tc>
          <w:tcPr>
            <w:tcW w:w="6437" w:type="dxa"/>
            <w:noWrap w:val="0"/>
            <w:vAlign w:val="center"/>
          </w:tcPr>
          <w:p w14:paraId="5A2364CF">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现场恢复；环境恢复；善后赔偿。</w:t>
            </w:r>
          </w:p>
        </w:tc>
      </w:tr>
      <w:tr w14:paraId="18DDD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16EA3E58">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10</w:t>
            </w:r>
          </w:p>
        </w:tc>
        <w:tc>
          <w:tcPr>
            <w:tcW w:w="1417" w:type="dxa"/>
            <w:noWrap w:val="0"/>
            <w:vAlign w:val="center"/>
          </w:tcPr>
          <w:p w14:paraId="1D644D25">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保障措施</w:t>
            </w:r>
          </w:p>
        </w:tc>
        <w:tc>
          <w:tcPr>
            <w:tcW w:w="6437" w:type="dxa"/>
            <w:noWrap w:val="0"/>
            <w:vAlign w:val="center"/>
          </w:tcPr>
          <w:p w14:paraId="43999644">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通信与信息保障；应急队伍保障；应急物资装备保障；经费及其他保障。</w:t>
            </w:r>
          </w:p>
        </w:tc>
      </w:tr>
      <w:tr w14:paraId="6845F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35FBF6D9">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11</w:t>
            </w:r>
          </w:p>
        </w:tc>
        <w:tc>
          <w:tcPr>
            <w:tcW w:w="1417" w:type="dxa"/>
            <w:noWrap w:val="0"/>
            <w:vAlign w:val="center"/>
          </w:tcPr>
          <w:p w14:paraId="34CDBE52">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培训与演练</w:t>
            </w:r>
          </w:p>
        </w:tc>
        <w:tc>
          <w:tcPr>
            <w:tcW w:w="6437" w:type="dxa"/>
            <w:noWrap w:val="0"/>
            <w:vAlign w:val="center"/>
          </w:tcPr>
          <w:p w14:paraId="3F17438E">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应急计划制定后，平时安排人员培训与演练。</w:t>
            </w:r>
          </w:p>
        </w:tc>
      </w:tr>
      <w:tr w14:paraId="2D29E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0C6DFA6E">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12</w:t>
            </w:r>
          </w:p>
        </w:tc>
        <w:tc>
          <w:tcPr>
            <w:tcW w:w="1417" w:type="dxa"/>
            <w:noWrap w:val="0"/>
            <w:vAlign w:val="center"/>
          </w:tcPr>
          <w:p w14:paraId="2CAB5C30">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奖惩</w:t>
            </w:r>
          </w:p>
        </w:tc>
        <w:tc>
          <w:tcPr>
            <w:tcW w:w="6437" w:type="dxa"/>
            <w:noWrap w:val="0"/>
            <w:vAlign w:val="center"/>
          </w:tcPr>
          <w:p w14:paraId="38480D61">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明确突发环境事件应急处置工作中奖励和处罚的条件和内容。</w:t>
            </w:r>
          </w:p>
        </w:tc>
      </w:tr>
      <w:tr w14:paraId="5AC32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7BC317AC">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13</w:t>
            </w:r>
          </w:p>
        </w:tc>
        <w:tc>
          <w:tcPr>
            <w:tcW w:w="1417" w:type="dxa"/>
            <w:noWrap w:val="0"/>
            <w:vAlign w:val="center"/>
          </w:tcPr>
          <w:p w14:paraId="08BD9CA9">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评审、发布和更新</w:t>
            </w:r>
          </w:p>
        </w:tc>
        <w:tc>
          <w:tcPr>
            <w:tcW w:w="6437" w:type="dxa"/>
            <w:noWrap w:val="0"/>
            <w:vAlign w:val="center"/>
          </w:tcPr>
          <w:p w14:paraId="27CBAC63">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明确预案评审、发布和更新要求：内部评审；外部评审；发布的时间、抄送的部门、企业、社区等。</w:t>
            </w:r>
          </w:p>
        </w:tc>
      </w:tr>
      <w:tr w14:paraId="7E75C2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59DA953E">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14</w:t>
            </w:r>
          </w:p>
        </w:tc>
        <w:tc>
          <w:tcPr>
            <w:tcW w:w="1417" w:type="dxa"/>
            <w:noWrap w:val="0"/>
            <w:vAlign w:val="center"/>
          </w:tcPr>
          <w:p w14:paraId="33346E41">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实施和生效时间</w:t>
            </w:r>
          </w:p>
        </w:tc>
        <w:tc>
          <w:tcPr>
            <w:tcW w:w="6437" w:type="dxa"/>
            <w:noWrap w:val="0"/>
            <w:vAlign w:val="center"/>
          </w:tcPr>
          <w:p w14:paraId="4FFA2B95">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列出预案实施和生效的具体时间。</w:t>
            </w:r>
          </w:p>
        </w:tc>
      </w:tr>
      <w:tr w14:paraId="6F73A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8" w:type="dxa"/>
            <w:noWrap w:val="0"/>
            <w:vAlign w:val="center"/>
          </w:tcPr>
          <w:p w14:paraId="46C13C8F">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15</w:t>
            </w:r>
          </w:p>
        </w:tc>
        <w:tc>
          <w:tcPr>
            <w:tcW w:w="1417" w:type="dxa"/>
            <w:noWrap w:val="0"/>
            <w:vAlign w:val="center"/>
          </w:tcPr>
          <w:p w14:paraId="36699F5E">
            <w:pPr>
              <w:pStyle w:val="102"/>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附件</w:t>
            </w:r>
          </w:p>
        </w:tc>
        <w:tc>
          <w:tcPr>
            <w:tcW w:w="6437" w:type="dxa"/>
            <w:noWrap w:val="0"/>
            <w:vAlign w:val="center"/>
          </w:tcPr>
          <w:p w14:paraId="2E23C39E">
            <w:pPr>
              <w:pStyle w:val="102"/>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环境影响评价文件；危险废物登记文件；应急处置组织机构名单；组织应急处置有关人员联系电话；外部救援单位联系电话；政府有关部门联系电话；区域位置及周围环境敏感点分布图；本单位及周边重大危险源分布图；应急设施（备）平面布置图。</w:t>
            </w:r>
          </w:p>
        </w:tc>
      </w:tr>
    </w:tbl>
    <w:p w14:paraId="09CBA134">
      <w:pPr>
        <w:pStyle w:val="79"/>
        <w:tabs>
          <w:tab w:val="left" w:pos="840"/>
        </w:tabs>
        <w:bidi w:val="0"/>
        <w:rPr>
          <w:rFonts w:hint="default" w:ascii="Times New Roman" w:hAnsi="Times New Roman" w:cs="Times New Roman"/>
          <w:color w:val="auto"/>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p>
    <w:p w14:paraId="39F66F45">
      <w:pPr>
        <w:keepNext w:val="0"/>
        <w:keepLines w:val="0"/>
        <w:pageBreakBefore w:val="0"/>
        <w:widowControl w:val="0"/>
        <w:numPr>
          <w:ilvl w:val="0"/>
          <w:numId w:val="3"/>
        </w:numPr>
        <w:tabs>
          <w:tab w:val="left" w:pos="942"/>
        </w:tabs>
        <w:kinsoku/>
        <w:wordWrap/>
        <w:overflowPunct/>
        <w:topLinePunct w:val="0"/>
        <w:autoSpaceDE/>
        <w:autoSpaceDN/>
        <w:bidi w:val="0"/>
        <w:adjustRightInd/>
        <w:snapToGrid w:val="0"/>
        <w:spacing w:before="50" w:beforeLines="50" w:after="50" w:afterLines="50" w:line="360" w:lineRule="auto"/>
        <w:ind w:left="941" w:leftChars="0" w:hanging="431" w:firstLineChars="0"/>
        <w:jc w:val="both"/>
        <w:textAlignment w:val="auto"/>
        <w:outlineLvl w:val="0"/>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 xml:space="preserve"> 风险评价结论</w:t>
      </w:r>
    </w:p>
    <w:p w14:paraId="15B5EE74">
      <w:pPr>
        <w:pStyle w:val="58"/>
        <w:bidi w:val="0"/>
        <w:rPr>
          <w:rFonts w:hint="default" w:ascii="Times New Roman" w:hAnsi="Times New Roman" w:cs="Times New Roman"/>
          <w:color w:val="auto"/>
          <w:highlight w:val="none"/>
        </w:rPr>
        <w:sectPr>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风险单元主要为LPG灌装站</w:t>
      </w:r>
      <w:r>
        <w:rPr>
          <w:rFonts w:hint="eastAsia" w:ascii="Times New Roman" w:hAnsi="Times New Roman" w:cs="Times New Roman"/>
          <w:color w:val="auto"/>
          <w:highlight w:val="none"/>
          <w:lang w:val="en-US" w:eastAsia="zh-CN"/>
        </w:rPr>
        <w:t>（罐区）</w:t>
      </w:r>
      <w:r>
        <w:rPr>
          <w:rFonts w:hint="default" w:ascii="Times New Roman" w:hAnsi="Times New Roman" w:cs="Times New Roman"/>
          <w:color w:val="auto"/>
          <w:highlight w:val="none"/>
          <w:lang w:val="en-US" w:eastAsia="zh-CN"/>
        </w:rPr>
        <w:t>、丙烷灌装站</w:t>
      </w:r>
      <w:r>
        <w:rPr>
          <w:rFonts w:hint="eastAsia" w:ascii="Times New Roman" w:hAnsi="Times New Roman" w:cs="Times New Roman"/>
          <w:color w:val="auto"/>
          <w:highlight w:val="none"/>
          <w:lang w:val="en-US" w:eastAsia="zh-CN"/>
        </w:rPr>
        <w:t>（罐区）</w:t>
      </w:r>
      <w:r>
        <w:rPr>
          <w:rFonts w:hint="default" w:ascii="Times New Roman" w:hAnsi="Times New Roman" w:cs="Times New Roman"/>
          <w:color w:val="auto"/>
          <w:highlight w:val="none"/>
          <w:lang w:val="en-US" w:eastAsia="zh-CN"/>
        </w:rPr>
        <w:t>、危险废物暂存间，主要风险物质为液化石油气、丙烷、</w:t>
      </w:r>
      <w:r>
        <w:rPr>
          <w:rFonts w:hint="eastAsia" w:ascii="Times New Roman" w:hAnsi="Times New Roman" w:cs="Times New Roman"/>
          <w:color w:val="auto"/>
          <w:highlight w:val="none"/>
          <w:lang w:val="en-US" w:eastAsia="zh-CN"/>
        </w:rPr>
        <w:t>LPG</w:t>
      </w:r>
      <w:r>
        <w:rPr>
          <w:rFonts w:hint="default" w:ascii="Times New Roman" w:hAnsi="Times New Roman" w:cs="Times New Roman"/>
          <w:color w:val="auto"/>
          <w:highlight w:val="none"/>
          <w:lang w:val="en-US" w:eastAsia="zh-CN"/>
        </w:rPr>
        <w:t>残液、废润滑油等，风险物质通过大气沉降、垂直入渗的方式进入外环境，对环境造成影响</w:t>
      </w:r>
      <w:r>
        <w:rPr>
          <w:rFonts w:hint="default" w:ascii="Times New Roman" w:hAnsi="Times New Roman" w:cs="Times New Roman"/>
          <w:color w:val="auto"/>
          <w:highlight w:val="none"/>
        </w:rPr>
        <w:t>，因此，项目应经常检查、维修，杜绝事故发生，同时企业应制定事故应急措施，做到在发生事故时能迅速做出处理措施，确保站区和周边人民生命安全。做好各项风险应急预案，严格落实各项应急措施。本项目发生泄漏、火灾和爆炸的概率很小，因此，在各项措施落实到位的情况下，该项目建设是可行的。</w:t>
      </w:r>
    </w:p>
    <w:p w14:paraId="4EA7951B">
      <w:pPr>
        <w:keepNext w:val="0"/>
        <w:keepLines w:val="0"/>
        <w:pageBreakBefore w:val="0"/>
        <w:widowControl w:val="0"/>
        <w:numPr>
          <w:ilvl w:val="0"/>
          <w:numId w:val="3"/>
        </w:numPr>
        <w:tabs>
          <w:tab w:val="left" w:pos="942"/>
        </w:tabs>
        <w:kinsoku/>
        <w:wordWrap/>
        <w:overflowPunct/>
        <w:topLinePunct w:val="0"/>
        <w:autoSpaceDE/>
        <w:autoSpaceDN/>
        <w:bidi w:val="0"/>
        <w:adjustRightInd/>
        <w:snapToGrid w:val="0"/>
        <w:spacing w:before="50" w:beforeLines="50" w:after="50" w:afterLines="50" w:line="360" w:lineRule="auto"/>
        <w:ind w:left="941" w:leftChars="0" w:hanging="431" w:firstLineChars="0"/>
        <w:jc w:val="both"/>
        <w:textAlignment w:val="auto"/>
        <w:outlineLvl w:val="0"/>
        <w:rPr>
          <w:rFonts w:hint="default" w:ascii="Times New Roman" w:hAnsi="Times New Roman" w:eastAsia="黑体" w:cs="Times New Roman"/>
          <w:b/>
          <w:color w:val="auto"/>
          <w:kern w:val="2"/>
          <w:sz w:val="28"/>
          <w:szCs w:val="24"/>
          <w:lang w:val="en-US" w:eastAsia="zh-CN" w:bidi="ar-SA"/>
        </w:rPr>
      </w:pPr>
      <w:r>
        <w:rPr>
          <w:rFonts w:hint="default" w:ascii="Times New Roman" w:hAnsi="Times New Roman" w:eastAsia="黑体" w:cs="Times New Roman"/>
          <w:b/>
          <w:color w:val="auto"/>
          <w:kern w:val="2"/>
          <w:sz w:val="28"/>
          <w:szCs w:val="24"/>
          <w:lang w:val="en-US" w:eastAsia="zh-CN" w:bidi="ar-SA"/>
        </w:rPr>
        <w:t>风险自查表</w:t>
      </w:r>
    </w:p>
    <w:p w14:paraId="1295C4F5">
      <w:pPr>
        <w:pStyle w:val="58"/>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项目环境风险评价自查表见表7.1-1。</w:t>
      </w:r>
    </w:p>
    <w:p w14:paraId="11ACFEAA">
      <w:pPr>
        <w:pStyle w:val="58"/>
        <w:bidi w:val="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表7.1-1  环境风险评价自查表</w:t>
      </w:r>
    </w:p>
    <w:tbl>
      <w:tblPr>
        <w:tblStyle w:val="3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6"/>
        <w:gridCol w:w="1174"/>
        <w:gridCol w:w="1032"/>
        <w:gridCol w:w="978"/>
        <w:gridCol w:w="291"/>
        <w:gridCol w:w="687"/>
        <w:gridCol w:w="1"/>
        <w:gridCol w:w="463"/>
        <w:gridCol w:w="514"/>
        <w:gridCol w:w="636"/>
        <w:gridCol w:w="38"/>
        <w:gridCol w:w="304"/>
        <w:gridCol w:w="2"/>
        <w:gridCol w:w="58"/>
        <w:gridCol w:w="866"/>
        <w:gridCol w:w="52"/>
        <w:gridCol w:w="983"/>
      </w:tblGrid>
      <w:tr w14:paraId="78576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pct"/>
            <w:gridSpan w:val="2"/>
            <w:noWrap w:val="0"/>
            <w:vAlign w:val="center"/>
          </w:tcPr>
          <w:p w14:paraId="3EAD30C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446" w:firstLineChars="200"/>
              <w:jc w:val="center"/>
              <w:textAlignment w:val="baseline"/>
              <w:rPr>
                <w:rFonts w:hint="default" w:ascii="Times New Roman" w:hAnsi="Times New Roman" w:eastAsia="宋体" w:cs="Times New Roman"/>
                <w:b/>
                <w:bCs/>
                <w:color w:val="auto"/>
                <w:spacing w:val="6"/>
                <w:kern w:val="0"/>
                <w:sz w:val="21"/>
                <w:szCs w:val="21"/>
                <w:lang w:val="en-US" w:eastAsia="zh-CN" w:bidi="ar-SA"/>
              </w:rPr>
            </w:pPr>
            <w:r>
              <w:rPr>
                <w:rFonts w:hint="default" w:ascii="Times New Roman" w:hAnsi="Times New Roman" w:eastAsia="宋体" w:cs="Times New Roman"/>
                <w:b/>
                <w:bCs/>
                <w:color w:val="auto"/>
                <w:spacing w:val="6"/>
                <w:kern w:val="0"/>
                <w:sz w:val="21"/>
                <w:szCs w:val="21"/>
                <w:lang w:val="en-US" w:eastAsia="zh-CN" w:bidi="ar-SA"/>
              </w:rPr>
              <w:t>工作内容</w:t>
            </w:r>
          </w:p>
        </w:tc>
        <w:tc>
          <w:tcPr>
            <w:tcW w:w="3851" w:type="pct"/>
            <w:gridSpan w:val="15"/>
            <w:noWrap w:val="0"/>
            <w:vAlign w:val="center"/>
          </w:tcPr>
          <w:p w14:paraId="65B0267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446" w:firstLineChars="200"/>
              <w:jc w:val="center"/>
              <w:textAlignment w:val="baseline"/>
              <w:rPr>
                <w:rFonts w:hint="default" w:ascii="Times New Roman" w:hAnsi="Times New Roman" w:eastAsia="宋体" w:cs="Times New Roman"/>
                <w:b/>
                <w:bCs/>
                <w:color w:val="auto"/>
                <w:spacing w:val="6"/>
                <w:kern w:val="0"/>
                <w:sz w:val="21"/>
                <w:szCs w:val="21"/>
                <w:lang w:val="en-US" w:eastAsia="zh-CN" w:bidi="ar-SA"/>
              </w:rPr>
            </w:pPr>
            <w:r>
              <w:rPr>
                <w:rFonts w:hint="default" w:ascii="Times New Roman" w:hAnsi="Times New Roman" w:eastAsia="宋体" w:cs="Times New Roman"/>
                <w:b/>
                <w:bCs/>
                <w:color w:val="auto"/>
                <w:spacing w:val="6"/>
                <w:kern w:val="0"/>
                <w:sz w:val="21"/>
                <w:szCs w:val="21"/>
                <w:lang w:val="en-US" w:eastAsia="zh-CN" w:bidi="ar-SA"/>
              </w:rPr>
              <w:t>完成情况</w:t>
            </w:r>
          </w:p>
        </w:tc>
      </w:tr>
      <w:tr w14:paraId="7AD7F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494" w:type="pct"/>
            <w:vMerge w:val="restart"/>
            <w:noWrap w:val="0"/>
            <w:vAlign w:val="center"/>
          </w:tcPr>
          <w:p w14:paraId="7290D2E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风</w:t>
            </w:r>
          </w:p>
          <w:p w14:paraId="18EF5692">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险</w:t>
            </w:r>
          </w:p>
          <w:p w14:paraId="08EBBBFF">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调</w:t>
            </w:r>
          </w:p>
          <w:p w14:paraId="73DD6D5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查</w:t>
            </w:r>
          </w:p>
        </w:tc>
        <w:tc>
          <w:tcPr>
            <w:tcW w:w="654" w:type="pct"/>
            <w:vMerge w:val="restart"/>
            <w:noWrap w:val="0"/>
            <w:vAlign w:val="center"/>
          </w:tcPr>
          <w:p w14:paraId="2B9B3B19">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危险物质</w:t>
            </w:r>
          </w:p>
        </w:tc>
        <w:tc>
          <w:tcPr>
            <w:tcW w:w="575" w:type="pct"/>
            <w:noWrap w:val="0"/>
            <w:vAlign w:val="center"/>
          </w:tcPr>
          <w:p w14:paraId="3D19ABB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名称</w:t>
            </w:r>
          </w:p>
        </w:tc>
        <w:tc>
          <w:tcPr>
            <w:tcW w:w="545" w:type="pct"/>
            <w:noWrap w:val="0"/>
            <w:vAlign w:val="center"/>
          </w:tcPr>
          <w:p w14:paraId="1AD524AB">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液化石油气</w:t>
            </w:r>
          </w:p>
        </w:tc>
        <w:tc>
          <w:tcPr>
            <w:tcW w:w="545" w:type="pct"/>
            <w:gridSpan w:val="2"/>
            <w:noWrap w:val="0"/>
            <w:vAlign w:val="center"/>
          </w:tcPr>
          <w:p w14:paraId="68A478A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丙烷</w:t>
            </w:r>
          </w:p>
        </w:tc>
        <w:tc>
          <w:tcPr>
            <w:tcW w:w="545" w:type="pct"/>
            <w:gridSpan w:val="3"/>
            <w:noWrap w:val="0"/>
            <w:vAlign w:val="center"/>
          </w:tcPr>
          <w:p w14:paraId="14C73209">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LPG残液</w:t>
            </w:r>
          </w:p>
        </w:tc>
        <w:tc>
          <w:tcPr>
            <w:tcW w:w="545" w:type="pct"/>
            <w:gridSpan w:val="3"/>
            <w:noWrap w:val="0"/>
            <w:vAlign w:val="center"/>
          </w:tcPr>
          <w:p w14:paraId="681CDE52">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增效剂</w:t>
            </w:r>
          </w:p>
        </w:tc>
        <w:tc>
          <w:tcPr>
            <w:tcW w:w="545" w:type="pct"/>
            <w:gridSpan w:val="4"/>
            <w:noWrap w:val="0"/>
            <w:vAlign w:val="center"/>
          </w:tcPr>
          <w:p w14:paraId="6AD4918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废</w:t>
            </w:r>
            <w:r>
              <w:rPr>
                <w:rFonts w:hint="eastAsia" w:cs="Times New Roman"/>
                <w:color w:val="auto"/>
                <w:spacing w:val="6"/>
                <w:kern w:val="0"/>
                <w:sz w:val="21"/>
                <w:szCs w:val="21"/>
                <w:lang w:val="en-US" w:eastAsia="zh-CN" w:bidi="ar-SA"/>
              </w:rPr>
              <w:t>矿物</w:t>
            </w:r>
            <w:r>
              <w:rPr>
                <w:rFonts w:hint="default" w:ascii="Times New Roman" w:hAnsi="Times New Roman" w:eastAsia="宋体" w:cs="Times New Roman"/>
                <w:color w:val="auto"/>
                <w:spacing w:val="6"/>
                <w:kern w:val="0"/>
                <w:sz w:val="21"/>
                <w:szCs w:val="21"/>
                <w:lang w:val="en-US" w:eastAsia="zh-CN" w:bidi="ar-SA"/>
              </w:rPr>
              <w:t>油</w:t>
            </w:r>
          </w:p>
        </w:tc>
        <w:tc>
          <w:tcPr>
            <w:tcW w:w="548" w:type="pct"/>
            <w:shd w:val="clear" w:color="auto" w:fill="auto"/>
            <w:noWrap w:val="0"/>
            <w:vAlign w:val="center"/>
          </w:tcPr>
          <w:p w14:paraId="16664EC0">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cs="Times New Roman"/>
                <w:color w:val="auto"/>
                <w:spacing w:val="6"/>
                <w:kern w:val="0"/>
                <w:sz w:val="21"/>
                <w:szCs w:val="21"/>
                <w:lang w:val="en-US" w:eastAsia="zh-CN" w:bidi="ar-SA"/>
              </w:rPr>
            </w:pPr>
            <w:r>
              <w:rPr>
                <w:rFonts w:hint="default" w:ascii="Times New Roman" w:hAnsi="Times New Roman" w:cs="Times New Roman"/>
                <w:color w:val="auto"/>
                <w:spacing w:val="6"/>
                <w:kern w:val="0"/>
                <w:sz w:val="21"/>
                <w:szCs w:val="21"/>
                <w:lang w:val="en-US" w:eastAsia="zh-CN" w:bidi="ar-SA"/>
              </w:rPr>
              <w:t>环己酮</w:t>
            </w:r>
          </w:p>
        </w:tc>
      </w:tr>
      <w:tr w14:paraId="41595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044418B5">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1E39003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575" w:type="pct"/>
            <w:noWrap w:val="0"/>
            <w:vAlign w:val="center"/>
          </w:tcPr>
          <w:p w14:paraId="469AE59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存在总量/t</w:t>
            </w:r>
          </w:p>
        </w:tc>
        <w:tc>
          <w:tcPr>
            <w:tcW w:w="545" w:type="pct"/>
            <w:noWrap w:val="0"/>
            <w:vAlign w:val="center"/>
          </w:tcPr>
          <w:p w14:paraId="0A9DBAAF">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cs="Times New Roman"/>
                <w:color w:val="auto"/>
                <w:sz w:val="21"/>
                <w:szCs w:val="21"/>
                <w:u w:val="none"/>
                <w:lang w:val="en-US" w:eastAsia="zh-CN"/>
              </w:rPr>
              <w:t>46.4</w:t>
            </w:r>
          </w:p>
        </w:tc>
        <w:tc>
          <w:tcPr>
            <w:tcW w:w="545" w:type="pct"/>
            <w:gridSpan w:val="2"/>
            <w:noWrap w:val="0"/>
            <w:vAlign w:val="center"/>
          </w:tcPr>
          <w:p w14:paraId="342B8DA9">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40.56</w:t>
            </w:r>
          </w:p>
        </w:tc>
        <w:tc>
          <w:tcPr>
            <w:tcW w:w="545" w:type="pct"/>
            <w:gridSpan w:val="3"/>
            <w:noWrap w:val="0"/>
            <w:vAlign w:val="center"/>
          </w:tcPr>
          <w:p w14:paraId="2385308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eastAsia" w:cs="Times New Roman"/>
                <w:color w:val="auto"/>
                <w:spacing w:val="6"/>
                <w:kern w:val="0"/>
                <w:sz w:val="21"/>
                <w:szCs w:val="21"/>
                <w:lang w:val="en-US" w:eastAsia="zh-CN" w:bidi="ar-SA"/>
              </w:rPr>
              <w:t>0.23</w:t>
            </w:r>
          </w:p>
        </w:tc>
        <w:tc>
          <w:tcPr>
            <w:tcW w:w="545" w:type="pct"/>
            <w:gridSpan w:val="3"/>
            <w:noWrap w:val="0"/>
            <w:vAlign w:val="center"/>
          </w:tcPr>
          <w:p w14:paraId="5DCE5AC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cs="Times New Roman"/>
                <w:color w:val="auto"/>
                <w:sz w:val="21"/>
                <w:szCs w:val="21"/>
                <w:u w:val="none"/>
                <w:lang w:val="en-US" w:eastAsia="zh-CN"/>
              </w:rPr>
              <w:t>0.125</w:t>
            </w:r>
          </w:p>
        </w:tc>
        <w:tc>
          <w:tcPr>
            <w:tcW w:w="545" w:type="pct"/>
            <w:gridSpan w:val="4"/>
            <w:noWrap w:val="0"/>
            <w:vAlign w:val="center"/>
          </w:tcPr>
          <w:p w14:paraId="2E873339">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0.1</w:t>
            </w:r>
          </w:p>
        </w:tc>
        <w:tc>
          <w:tcPr>
            <w:tcW w:w="548" w:type="pct"/>
            <w:shd w:val="clear" w:color="auto" w:fill="auto"/>
            <w:noWrap w:val="0"/>
            <w:vAlign w:val="center"/>
          </w:tcPr>
          <w:p w14:paraId="0C41A5D5">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cs="Times New Roman"/>
                <w:color w:val="auto"/>
                <w:spacing w:val="6"/>
                <w:kern w:val="0"/>
                <w:sz w:val="21"/>
                <w:szCs w:val="21"/>
                <w:lang w:val="en-US" w:eastAsia="zh-CN" w:bidi="ar-SA"/>
              </w:rPr>
            </w:pPr>
            <w:r>
              <w:rPr>
                <w:rFonts w:hint="default" w:ascii="Times New Roman" w:hAnsi="Times New Roman" w:cs="Times New Roman"/>
                <w:color w:val="auto"/>
                <w:spacing w:val="6"/>
                <w:kern w:val="0"/>
                <w:sz w:val="21"/>
                <w:szCs w:val="21"/>
                <w:lang w:val="en-US" w:eastAsia="zh-CN" w:bidi="ar-SA"/>
              </w:rPr>
              <w:t>0.00</w:t>
            </w:r>
            <w:r>
              <w:rPr>
                <w:rFonts w:hint="eastAsia" w:cs="Times New Roman"/>
                <w:color w:val="auto"/>
                <w:spacing w:val="6"/>
                <w:kern w:val="0"/>
                <w:sz w:val="21"/>
                <w:szCs w:val="21"/>
                <w:lang w:val="en-US" w:eastAsia="zh-CN" w:bidi="ar-SA"/>
              </w:rPr>
              <w:t>7</w:t>
            </w:r>
          </w:p>
        </w:tc>
      </w:tr>
      <w:tr w14:paraId="481C4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2D9C0C8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restart"/>
            <w:noWrap w:val="0"/>
            <w:vAlign w:val="center"/>
          </w:tcPr>
          <w:p w14:paraId="6AC04CA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环境敏感性</w:t>
            </w:r>
          </w:p>
        </w:tc>
        <w:tc>
          <w:tcPr>
            <w:tcW w:w="575" w:type="pct"/>
            <w:vMerge w:val="restart"/>
            <w:noWrap w:val="0"/>
            <w:vAlign w:val="center"/>
          </w:tcPr>
          <w:p w14:paraId="1682BCA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大气</w:t>
            </w:r>
          </w:p>
        </w:tc>
        <w:tc>
          <w:tcPr>
            <w:tcW w:w="1349" w:type="pct"/>
            <w:gridSpan w:val="5"/>
            <w:tcBorders>
              <w:right w:val="single" w:color="000000" w:sz="4" w:space="0"/>
            </w:tcBorders>
            <w:noWrap w:val="0"/>
            <w:vAlign w:val="center"/>
          </w:tcPr>
          <w:p w14:paraId="3E7448C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500 m 范围内人口数</w:t>
            </w:r>
            <w:r>
              <w:rPr>
                <w:rFonts w:hint="default" w:ascii="Times New Roman" w:hAnsi="Times New Roman" w:eastAsia="宋体" w:cs="Times New Roman"/>
                <w:color w:val="auto"/>
                <w:spacing w:val="6"/>
                <w:kern w:val="0"/>
                <w:sz w:val="21"/>
                <w:szCs w:val="21"/>
                <w:u w:val="single"/>
                <w:lang w:val="en-US" w:eastAsia="zh-CN" w:bidi="ar-SA"/>
              </w:rPr>
              <w:t xml:space="preserve"> /</w:t>
            </w:r>
            <w:r>
              <w:rPr>
                <w:rFonts w:hint="default" w:ascii="Times New Roman" w:hAnsi="Times New Roman" w:eastAsia="宋体" w:cs="Times New Roman"/>
                <w:color w:val="auto"/>
                <w:spacing w:val="6"/>
                <w:kern w:val="0"/>
                <w:sz w:val="21"/>
                <w:szCs w:val="21"/>
                <w:lang w:val="en-US" w:eastAsia="zh-CN" w:bidi="ar-SA"/>
              </w:rPr>
              <w:t>人</w:t>
            </w:r>
          </w:p>
        </w:tc>
        <w:tc>
          <w:tcPr>
            <w:tcW w:w="1925" w:type="pct"/>
            <w:gridSpan w:val="9"/>
            <w:tcBorders>
              <w:left w:val="single" w:color="000000" w:sz="4" w:space="0"/>
            </w:tcBorders>
            <w:noWrap w:val="0"/>
            <w:vAlign w:val="center"/>
          </w:tcPr>
          <w:p w14:paraId="70089E4A">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5 km 范围内人口数</w:t>
            </w:r>
            <w:r>
              <w:rPr>
                <w:rFonts w:hint="eastAsia" w:cs="Times New Roman"/>
                <w:color w:val="auto"/>
                <w:spacing w:val="6"/>
                <w:kern w:val="0"/>
                <w:sz w:val="21"/>
                <w:szCs w:val="21"/>
                <w:lang w:val="en-US" w:eastAsia="zh-CN" w:bidi="ar-SA"/>
              </w:rPr>
              <w:t>5434</w:t>
            </w:r>
            <w:r>
              <w:rPr>
                <w:rFonts w:hint="default" w:ascii="Times New Roman" w:hAnsi="Times New Roman" w:eastAsia="宋体" w:cs="Times New Roman"/>
                <w:color w:val="auto"/>
                <w:spacing w:val="6"/>
                <w:kern w:val="0"/>
                <w:sz w:val="21"/>
                <w:szCs w:val="21"/>
                <w:lang w:val="en-US" w:eastAsia="zh-CN" w:bidi="ar-SA"/>
              </w:rPr>
              <w:t>人</w:t>
            </w:r>
          </w:p>
        </w:tc>
      </w:tr>
      <w:tr w14:paraId="69BE8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1F8A844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0A53943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575" w:type="pct"/>
            <w:vMerge w:val="continue"/>
            <w:noWrap w:val="0"/>
            <w:vAlign w:val="center"/>
          </w:tcPr>
          <w:p w14:paraId="2C0D919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3275" w:type="pct"/>
            <w:gridSpan w:val="14"/>
            <w:noWrap w:val="0"/>
            <w:vAlign w:val="center"/>
          </w:tcPr>
          <w:p w14:paraId="4FB32DF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每公里管段周边 200 m 范围内人口数（最大）   人</w:t>
            </w:r>
          </w:p>
        </w:tc>
      </w:tr>
      <w:tr w14:paraId="421F2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26F9A2C5">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2BDF6DBB">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575" w:type="pct"/>
            <w:vMerge w:val="restart"/>
            <w:noWrap w:val="0"/>
            <w:vAlign w:val="center"/>
          </w:tcPr>
          <w:p w14:paraId="746CDD45">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地表水</w:t>
            </w:r>
          </w:p>
        </w:tc>
        <w:tc>
          <w:tcPr>
            <w:tcW w:w="1349" w:type="pct"/>
            <w:gridSpan w:val="5"/>
            <w:noWrap w:val="0"/>
            <w:vAlign w:val="center"/>
          </w:tcPr>
          <w:p w14:paraId="1DC8126A">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地表水功能敏感性</w:t>
            </w:r>
          </w:p>
        </w:tc>
        <w:tc>
          <w:tcPr>
            <w:tcW w:w="662" w:type="pct"/>
            <w:gridSpan w:val="3"/>
            <w:noWrap w:val="0"/>
            <w:vAlign w:val="center"/>
          </w:tcPr>
          <w:p w14:paraId="0231EBA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F1 □</w:t>
            </w:r>
          </w:p>
        </w:tc>
        <w:tc>
          <w:tcPr>
            <w:tcW w:w="686" w:type="pct"/>
            <w:gridSpan w:val="4"/>
            <w:noWrap w:val="0"/>
            <w:vAlign w:val="center"/>
          </w:tcPr>
          <w:p w14:paraId="45F42A2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F2 □</w:t>
            </w:r>
          </w:p>
        </w:tc>
        <w:tc>
          <w:tcPr>
            <w:tcW w:w="577" w:type="pct"/>
            <w:gridSpan w:val="2"/>
            <w:noWrap w:val="0"/>
            <w:vAlign w:val="center"/>
          </w:tcPr>
          <w:p w14:paraId="3A9894C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F3 </w:t>
            </w:r>
            <w:r>
              <w:rPr>
                <w:rFonts w:hint="default" w:ascii="Times New Roman" w:hAnsi="Times New Roman" w:eastAsia="宋体" w:cs="Times New Roman"/>
                <w:color w:val="auto"/>
                <w:spacing w:val="6"/>
                <w:kern w:val="0"/>
                <w:sz w:val="21"/>
                <w:szCs w:val="21"/>
                <w:lang w:val="en-US" w:eastAsia="zh-CN" w:bidi="ar-SA"/>
              </w:rPr>
              <w:sym w:font="Wingdings 2" w:char="0052"/>
            </w:r>
          </w:p>
        </w:tc>
      </w:tr>
      <w:tr w14:paraId="2E30F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3D7879B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4E4A22C0">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575" w:type="pct"/>
            <w:vMerge w:val="continue"/>
            <w:noWrap w:val="0"/>
            <w:vAlign w:val="center"/>
          </w:tcPr>
          <w:p w14:paraId="7C914E9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1349" w:type="pct"/>
            <w:gridSpan w:val="5"/>
            <w:noWrap w:val="0"/>
            <w:vAlign w:val="center"/>
          </w:tcPr>
          <w:p w14:paraId="0EAC5F1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环境敏感目标分级</w:t>
            </w:r>
          </w:p>
        </w:tc>
        <w:tc>
          <w:tcPr>
            <w:tcW w:w="662" w:type="pct"/>
            <w:gridSpan w:val="3"/>
            <w:noWrap w:val="0"/>
            <w:vAlign w:val="center"/>
          </w:tcPr>
          <w:p w14:paraId="5119698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S1 □</w:t>
            </w:r>
          </w:p>
        </w:tc>
        <w:tc>
          <w:tcPr>
            <w:tcW w:w="686" w:type="pct"/>
            <w:gridSpan w:val="4"/>
            <w:noWrap w:val="0"/>
            <w:vAlign w:val="center"/>
          </w:tcPr>
          <w:p w14:paraId="33552135">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S2 □</w:t>
            </w:r>
          </w:p>
        </w:tc>
        <w:tc>
          <w:tcPr>
            <w:tcW w:w="577" w:type="pct"/>
            <w:gridSpan w:val="2"/>
            <w:noWrap w:val="0"/>
            <w:vAlign w:val="center"/>
          </w:tcPr>
          <w:p w14:paraId="6C82AA00">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S3 </w:t>
            </w:r>
            <w:r>
              <w:rPr>
                <w:rFonts w:hint="default" w:ascii="Times New Roman" w:hAnsi="Times New Roman" w:eastAsia="宋体" w:cs="Times New Roman"/>
                <w:color w:val="auto"/>
                <w:spacing w:val="6"/>
                <w:kern w:val="0"/>
                <w:sz w:val="21"/>
                <w:szCs w:val="21"/>
                <w:lang w:val="en-US" w:eastAsia="zh-CN" w:bidi="ar-SA"/>
              </w:rPr>
              <w:sym w:font="Wingdings 2" w:char="0052"/>
            </w:r>
          </w:p>
        </w:tc>
      </w:tr>
      <w:tr w14:paraId="3A7DE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400564C2">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7F38FAC9">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575" w:type="pct"/>
            <w:vMerge w:val="restart"/>
            <w:noWrap w:val="0"/>
            <w:vAlign w:val="center"/>
          </w:tcPr>
          <w:p w14:paraId="0A9B88D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地下水</w:t>
            </w:r>
          </w:p>
        </w:tc>
        <w:tc>
          <w:tcPr>
            <w:tcW w:w="1349" w:type="pct"/>
            <w:gridSpan w:val="5"/>
            <w:noWrap w:val="0"/>
            <w:vAlign w:val="center"/>
          </w:tcPr>
          <w:p w14:paraId="5BBC9695">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地下水功能敏感性</w:t>
            </w:r>
          </w:p>
        </w:tc>
        <w:tc>
          <w:tcPr>
            <w:tcW w:w="662" w:type="pct"/>
            <w:gridSpan w:val="3"/>
            <w:noWrap w:val="0"/>
            <w:vAlign w:val="center"/>
          </w:tcPr>
          <w:p w14:paraId="11A3CE6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G1 </w:t>
            </w:r>
            <w:r>
              <w:rPr>
                <w:rFonts w:hint="default" w:ascii="Times New Roman" w:hAnsi="Times New Roman" w:eastAsia="宋体" w:cs="Times New Roman"/>
                <w:color w:val="auto"/>
                <w:spacing w:val="6"/>
                <w:kern w:val="0"/>
                <w:sz w:val="21"/>
                <w:szCs w:val="21"/>
                <w:lang w:val="en-US" w:eastAsia="zh-CN" w:bidi="ar-SA"/>
              </w:rPr>
              <w:sym w:font="Wingdings 2" w:char="00A3"/>
            </w:r>
          </w:p>
        </w:tc>
        <w:tc>
          <w:tcPr>
            <w:tcW w:w="686" w:type="pct"/>
            <w:gridSpan w:val="4"/>
            <w:noWrap w:val="0"/>
            <w:vAlign w:val="center"/>
          </w:tcPr>
          <w:p w14:paraId="1F54837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G2 □</w:t>
            </w:r>
          </w:p>
        </w:tc>
        <w:tc>
          <w:tcPr>
            <w:tcW w:w="577" w:type="pct"/>
            <w:gridSpan w:val="2"/>
            <w:noWrap w:val="0"/>
            <w:vAlign w:val="center"/>
          </w:tcPr>
          <w:p w14:paraId="1D03DEC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G3 </w:t>
            </w:r>
            <w:r>
              <w:rPr>
                <w:rFonts w:hint="default" w:ascii="Times New Roman" w:hAnsi="Times New Roman" w:eastAsia="宋体" w:cs="Times New Roman"/>
                <w:color w:val="auto"/>
                <w:spacing w:val="6"/>
                <w:kern w:val="0"/>
                <w:sz w:val="21"/>
                <w:szCs w:val="21"/>
                <w:lang w:val="en-US" w:eastAsia="zh-CN" w:bidi="ar-SA"/>
              </w:rPr>
              <w:sym w:font="Wingdings 2" w:char="0052"/>
            </w:r>
          </w:p>
        </w:tc>
      </w:tr>
      <w:tr w14:paraId="0C89C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5B740D0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3FA5237B">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575" w:type="pct"/>
            <w:vMerge w:val="continue"/>
            <w:noWrap w:val="0"/>
            <w:vAlign w:val="center"/>
          </w:tcPr>
          <w:p w14:paraId="0FF60BD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1349" w:type="pct"/>
            <w:gridSpan w:val="5"/>
            <w:noWrap w:val="0"/>
            <w:vAlign w:val="center"/>
          </w:tcPr>
          <w:p w14:paraId="5A9F8FD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包气带防污性能</w:t>
            </w:r>
          </w:p>
        </w:tc>
        <w:tc>
          <w:tcPr>
            <w:tcW w:w="662" w:type="pct"/>
            <w:gridSpan w:val="3"/>
            <w:noWrap w:val="0"/>
            <w:vAlign w:val="center"/>
          </w:tcPr>
          <w:p w14:paraId="529E1FD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D1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686" w:type="pct"/>
            <w:gridSpan w:val="4"/>
            <w:noWrap w:val="0"/>
            <w:vAlign w:val="center"/>
          </w:tcPr>
          <w:p w14:paraId="5A40294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D2 □</w:t>
            </w:r>
          </w:p>
        </w:tc>
        <w:tc>
          <w:tcPr>
            <w:tcW w:w="577" w:type="pct"/>
            <w:gridSpan w:val="2"/>
            <w:noWrap w:val="0"/>
            <w:vAlign w:val="center"/>
          </w:tcPr>
          <w:p w14:paraId="01C8EC02">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D3 □</w:t>
            </w:r>
          </w:p>
        </w:tc>
      </w:tr>
      <w:tr w14:paraId="2C558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4" w:type="pct"/>
            <w:vMerge w:val="restart"/>
            <w:noWrap w:val="0"/>
            <w:vAlign w:val="center"/>
          </w:tcPr>
          <w:p w14:paraId="2751C2C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物质及工艺系统危险性</w:t>
            </w:r>
          </w:p>
        </w:tc>
        <w:tc>
          <w:tcPr>
            <w:tcW w:w="654" w:type="pct"/>
            <w:noWrap w:val="0"/>
            <w:vAlign w:val="center"/>
          </w:tcPr>
          <w:p w14:paraId="37BB5B4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Q 值</w:t>
            </w:r>
          </w:p>
        </w:tc>
        <w:tc>
          <w:tcPr>
            <w:tcW w:w="575" w:type="pct"/>
            <w:noWrap w:val="0"/>
            <w:vAlign w:val="center"/>
          </w:tcPr>
          <w:p w14:paraId="09DF0B7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Q＜1 </w:t>
            </w:r>
            <w:r>
              <w:rPr>
                <w:rFonts w:hint="default" w:ascii="Times New Roman" w:hAnsi="Times New Roman" w:eastAsia="宋体" w:cs="Times New Roman"/>
                <w:color w:val="auto"/>
                <w:spacing w:val="6"/>
                <w:kern w:val="0"/>
                <w:sz w:val="21"/>
                <w:szCs w:val="21"/>
                <w:lang w:val="en-US" w:eastAsia="zh-CN" w:bidi="ar-SA"/>
              </w:rPr>
              <w:sym w:font="Wingdings 2" w:char="00A3"/>
            </w:r>
          </w:p>
        </w:tc>
        <w:tc>
          <w:tcPr>
            <w:tcW w:w="1349" w:type="pct"/>
            <w:gridSpan w:val="5"/>
            <w:noWrap w:val="0"/>
            <w:vAlign w:val="center"/>
          </w:tcPr>
          <w:p w14:paraId="4910D975">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1≤Q＜10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865" w:type="pct"/>
            <w:gridSpan w:val="6"/>
            <w:noWrap w:val="0"/>
            <w:vAlign w:val="center"/>
          </w:tcPr>
          <w:p w14:paraId="1AF0FE7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10≤Q＜100 </w:t>
            </w:r>
            <w:r>
              <w:rPr>
                <w:rFonts w:hint="default" w:ascii="Times New Roman" w:hAnsi="Times New Roman" w:eastAsia="宋体" w:cs="Times New Roman"/>
                <w:color w:val="auto"/>
                <w:spacing w:val="6"/>
                <w:kern w:val="0"/>
                <w:sz w:val="21"/>
                <w:szCs w:val="21"/>
                <w:lang w:val="en-US" w:eastAsia="zh-CN" w:bidi="ar-SA"/>
              </w:rPr>
              <w:sym w:font="Wingdings 2" w:char="00A3"/>
            </w:r>
          </w:p>
        </w:tc>
        <w:tc>
          <w:tcPr>
            <w:tcW w:w="1060" w:type="pct"/>
            <w:gridSpan w:val="3"/>
            <w:noWrap w:val="0"/>
            <w:vAlign w:val="center"/>
          </w:tcPr>
          <w:p w14:paraId="33331F1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Q＞100 □</w:t>
            </w:r>
          </w:p>
        </w:tc>
      </w:tr>
      <w:tr w14:paraId="21684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494" w:type="pct"/>
            <w:vMerge w:val="continue"/>
            <w:noWrap w:val="0"/>
            <w:vAlign w:val="center"/>
          </w:tcPr>
          <w:p w14:paraId="51AFA2C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noWrap w:val="0"/>
            <w:vAlign w:val="center"/>
          </w:tcPr>
          <w:p w14:paraId="1F9941C2">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M 值</w:t>
            </w:r>
          </w:p>
        </w:tc>
        <w:tc>
          <w:tcPr>
            <w:tcW w:w="575" w:type="pct"/>
            <w:noWrap w:val="0"/>
            <w:vAlign w:val="center"/>
          </w:tcPr>
          <w:p w14:paraId="31EFA53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M1 □</w:t>
            </w:r>
          </w:p>
        </w:tc>
        <w:tc>
          <w:tcPr>
            <w:tcW w:w="1349" w:type="pct"/>
            <w:gridSpan w:val="5"/>
            <w:noWrap w:val="0"/>
            <w:vAlign w:val="center"/>
          </w:tcPr>
          <w:p w14:paraId="47856A5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M2 </w:t>
            </w:r>
            <w:r>
              <w:rPr>
                <w:rFonts w:hint="eastAsia" w:cs="Times New Roman"/>
                <w:color w:val="auto"/>
                <w:spacing w:val="6"/>
                <w:kern w:val="0"/>
                <w:sz w:val="21"/>
                <w:szCs w:val="21"/>
                <w:lang w:val="en-US" w:eastAsia="zh-CN" w:bidi="ar-SA"/>
              </w:rPr>
              <w:t>☑</w:t>
            </w:r>
          </w:p>
        </w:tc>
        <w:tc>
          <w:tcPr>
            <w:tcW w:w="865" w:type="pct"/>
            <w:gridSpan w:val="6"/>
            <w:noWrap w:val="0"/>
            <w:vAlign w:val="center"/>
          </w:tcPr>
          <w:p w14:paraId="6F1BF11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M3 </w:t>
            </w:r>
            <w:r>
              <w:rPr>
                <w:rFonts w:hint="default" w:ascii="Times New Roman" w:hAnsi="Times New Roman" w:eastAsia="宋体" w:cs="Times New Roman"/>
                <w:color w:val="auto"/>
                <w:spacing w:val="6"/>
                <w:kern w:val="0"/>
                <w:sz w:val="21"/>
                <w:szCs w:val="21"/>
                <w:lang w:val="en-US" w:eastAsia="zh-CN" w:bidi="ar-SA"/>
              </w:rPr>
              <w:sym w:font="Wingdings 2" w:char="00A3"/>
            </w:r>
          </w:p>
        </w:tc>
        <w:tc>
          <w:tcPr>
            <w:tcW w:w="1060" w:type="pct"/>
            <w:gridSpan w:val="3"/>
            <w:noWrap w:val="0"/>
            <w:vAlign w:val="center"/>
          </w:tcPr>
          <w:p w14:paraId="06767B8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M4 </w:t>
            </w:r>
            <w:r>
              <w:rPr>
                <w:rFonts w:hint="default" w:ascii="Times New Roman" w:hAnsi="Times New Roman" w:eastAsia="宋体" w:cs="Times New Roman"/>
                <w:color w:val="auto"/>
                <w:spacing w:val="6"/>
                <w:kern w:val="0"/>
                <w:sz w:val="21"/>
                <w:szCs w:val="21"/>
                <w:lang w:val="en-US" w:eastAsia="zh-CN" w:bidi="ar-SA"/>
              </w:rPr>
              <w:sym w:font="Wingdings 2" w:char="00A3"/>
            </w:r>
          </w:p>
        </w:tc>
      </w:tr>
      <w:tr w14:paraId="3A5AD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55CB889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noWrap w:val="0"/>
            <w:vAlign w:val="center"/>
          </w:tcPr>
          <w:p w14:paraId="3395B05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P 值</w:t>
            </w:r>
          </w:p>
        </w:tc>
        <w:tc>
          <w:tcPr>
            <w:tcW w:w="575" w:type="pct"/>
            <w:noWrap w:val="0"/>
            <w:vAlign w:val="center"/>
          </w:tcPr>
          <w:p w14:paraId="03C0F8C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P1 □</w:t>
            </w:r>
          </w:p>
        </w:tc>
        <w:tc>
          <w:tcPr>
            <w:tcW w:w="1349" w:type="pct"/>
            <w:gridSpan w:val="5"/>
            <w:noWrap w:val="0"/>
            <w:vAlign w:val="center"/>
          </w:tcPr>
          <w:p w14:paraId="5D39D12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P2 </w:t>
            </w:r>
            <w:r>
              <w:rPr>
                <w:rFonts w:hint="eastAsia" w:cs="Times New Roman"/>
                <w:color w:val="auto"/>
                <w:spacing w:val="6"/>
                <w:kern w:val="0"/>
                <w:sz w:val="21"/>
                <w:szCs w:val="21"/>
                <w:lang w:val="en-US" w:eastAsia="zh-CN" w:bidi="ar-SA"/>
              </w:rPr>
              <w:t>□</w:t>
            </w:r>
          </w:p>
        </w:tc>
        <w:tc>
          <w:tcPr>
            <w:tcW w:w="865" w:type="pct"/>
            <w:gridSpan w:val="6"/>
            <w:noWrap w:val="0"/>
            <w:vAlign w:val="center"/>
          </w:tcPr>
          <w:p w14:paraId="7ADB77E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P3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1060" w:type="pct"/>
            <w:gridSpan w:val="3"/>
            <w:noWrap w:val="0"/>
            <w:vAlign w:val="center"/>
          </w:tcPr>
          <w:p w14:paraId="71196D8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P4 </w:t>
            </w:r>
            <w:r>
              <w:rPr>
                <w:rFonts w:hint="default" w:ascii="Times New Roman" w:hAnsi="Times New Roman" w:eastAsia="宋体" w:cs="Times New Roman"/>
                <w:color w:val="auto"/>
                <w:spacing w:val="6"/>
                <w:kern w:val="0"/>
                <w:sz w:val="21"/>
                <w:szCs w:val="21"/>
                <w:lang w:val="en-US" w:eastAsia="zh-CN" w:bidi="ar-SA"/>
              </w:rPr>
              <w:sym w:font="Wingdings 2" w:char="00A3"/>
            </w:r>
          </w:p>
        </w:tc>
      </w:tr>
      <w:tr w14:paraId="2A06D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restart"/>
            <w:noWrap w:val="0"/>
            <w:vAlign w:val="center"/>
          </w:tcPr>
          <w:p w14:paraId="372E4E0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环境敏感程度</w:t>
            </w:r>
          </w:p>
        </w:tc>
        <w:tc>
          <w:tcPr>
            <w:tcW w:w="654" w:type="pct"/>
            <w:noWrap w:val="0"/>
            <w:vAlign w:val="center"/>
          </w:tcPr>
          <w:p w14:paraId="68C0D8A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大气</w:t>
            </w:r>
          </w:p>
        </w:tc>
        <w:tc>
          <w:tcPr>
            <w:tcW w:w="575" w:type="pct"/>
            <w:noWrap w:val="0"/>
            <w:vAlign w:val="center"/>
          </w:tcPr>
          <w:p w14:paraId="1290EAA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E1 □</w:t>
            </w:r>
          </w:p>
        </w:tc>
        <w:tc>
          <w:tcPr>
            <w:tcW w:w="1349" w:type="pct"/>
            <w:gridSpan w:val="5"/>
            <w:noWrap w:val="0"/>
            <w:vAlign w:val="center"/>
          </w:tcPr>
          <w:p w14:paraId="0FE24EA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E2 □</w:t>
            </w:r>
          </w:p>
        </w:tc>
        <w:tc>
          <w:tcPr>
            <w:tcW w:w="1925" w:type="pct"/>
            <w:gridSpan w:val="9"/>
            <w:noWrap w:val="0"/>
            <w:vAlign w:val="center"/>
          </w:tcPr>
          <w:p w14:paraId="3F64AA3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E3 </w:t>
            </w:r>
            <w:r>
              <w:rPr>
                <w:rFonts w:hint="default" w:ascii="Times New Roman" w:hAnsi="Times New Roman" w:eastAsia="宋体" w:cs="Times New Roman"/>
                <w:color w:val="auto"/>
                <w:spacing w:val="6"/>
                <w:kern w:val="0"/>
                <w:sz w:val="21"/>
                <w:szCs w:val="21"/>
                <w:lang w:val="en-US" w:eastAsia="zh-CN" w:bidi="ar-SA"/>
              </w:rPr>
              <w:sym w:font="Wingdings 2" w:char="0052"/>
            </w:r>
          </w:p>
        </w:tc>
      </w:tr>
      <w:tr w14:paraId="356E46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4" w:type="pct"/>
            <w:vMerge w:val="continue"/>
            <w:noWrap w:val="0"/>
            <w:vAlign w:val="center"/>
          </w:tcPr>
          <w:p w14:paraId="5165856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noWrap w:val="0"/>
            <w:vAlign w:val="center"/>
          </w:tcPr>
          <w:p w14:paraId="623CC5EF">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地表水</w:t>
            </w:r>
          </w:p>
        </w:tc>
        <w:tc>
          <w:tcPr>
            <w:tcW w:w="575" w:type="pct"/>
            <w:noWrap w:val="0"/>
            <w:vAlign w:val="center"/>
          </w:tcPr>
          <w:p w14:paraId="36FEC46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E1 □</w:t>
            </w:r>
          </w:p>
        </w:tc>
        <w:tc>
          <w:tcPr>
            <w:tcW w:w="1349" w:type="pct"/>
            <w:gridSpan w:val="5"/>
            <w:noWrap w:val="0"/>
            <w:vAlign w:val="center"/>
          </w:tcPr>
          <w:p w14:paraId="0507052B">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E2 □</w:t>
            </w:r>
          </w:p>
        </w:tc>
        <w:tc>
          <w:tcPr>
            <w:tcW w:w="1925" w:type="pct"/>
            <w:gridSpan w:val="9"/>
            <w:noWrap w:val="0"/>
            <w:vAlign w:val="center"/>
          </w:tcPr>
          <w:p w14:paraId="573C455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E3 </w:t>
            </w:r>
            <w:r>
              <w:rPr>
                <w:rFonts w:hint="default" w:ascii="Times New Roman" w:hAnsi="Times New Roman" w:eastAsia="宋体" w:cs="Times New Roman"/>
                <w:color w:val="auto"/>
                <w:spacing w:val="6"/>
                <w:kern w:val="0"/>
                <w:sz w:val="21"/>
                <w:szCs w:val="21"/>
                <w:lang w:val="en-US" w:eastAsia="zh-CN" w:bidi="ar-SA"/>
              </w:rPr>
              <w:sym w:font="Wingdings 2" w:char="0052"/>
            </w:r>
          </w:p>
        </w:tc>
      </w:tr>
      <w:tr w14:paraId="3CD3A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51F21250">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noWrap w:val="0"/>
            <w:vAlign w:val="center"/>
          </w:tcPr>
          <w:p w14:paraId="6615F47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地下水</w:t>
            </w:r>
          </w:p>
        </w:tc>
        <w:tc>
          <w:tcPr>
            <w:tcW w:w="575" w:type="pct"/>
            <w:noWrap w:val="0"/>
            <w:vAlign w:val="center"/>
          </w:tcPr>
          <w:p w14:paraId="6D44D80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E1 □</w:t>
            </w:r>
          </w:p>
        </w:tc>
        <w:tc>
          <w:tcPr>
            <w:tcW w:w="1349" w:type="pct"/>
            <w:gridSpan w:val="5"/>
            <w:noWrap w:val="0"/>
            <w:vAlign w:val="center"/>
          </w:tcPr>
          <w:p w14:paraId="678BABD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E2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1925" w:type="pct"/>
            <w:gridSpan w:val="9"/>
            <w:noWrap w:val="0"/>
            <w:vAlign w:val="center"/>
          </w:tcPr>
          <w:p w14:paraId="3DD215A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E3 □</w:t>
            </w:r>
          </w:p>
        </w:tc>
      </w:tr>
      <w:tr w14:paraId="3257E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494" w:type="pct"/>
            <w:noWrap w:val="0"/>
            <w:vAlign w:val="center"/>
          </w:tcPr>
          <w:p w14:paraId="5790B6F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环境风险潜势</w:t>
            </w:r>
          </w:p>
        </w:tc>
        <w:tc>
          <w:tcPr>
            <w:tcW w:w="654" w:type="pct"/>
            <w:noWrap w:val="0"/>
            <w:vAlign w:val="center"/>
          </w:tcPr>
          <w:p w14:paraId="2ABEBBF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Ⅳ + □</w:t>
            </w:r>
          </w:p>
        </w:tc>
        <w:tc>
          <w:tcPr>
            <w:tcW w:w="575" w:type="pct"/>
            <w:noWrap w:val="0"/>
            <w:vAlign w:val="center"/>
          </w:tcPr>
          <w:p w14:paraId="6E07EEB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Ⅳ □</w:t>
            </w:r>
          </w:p>
        </w:tc>
        <w:tc>
          <w:tcPr>
            <w:tcW w:w="1349" w:type="pct"/>
            <w:gridSpan w:val="5"/>
            <w:noWrap w:val="0"/>
            <w:vAlign w:val="center"/>
          </w:tcPr>
          <w:p w14:paraId="47B933E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Ⅲ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865" w:type="pct"/>
            <w:gridSpan w:val="6"/>
            <w:noWrap w:val="0"/>
            <w:vAlign w:val="center"/>
          </w:tcPr>
          <w:p w14:paraId="3ACB98B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Ⅱ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1060" w:type="pct"/>
            <w:gridSpan w:val="3"/>
            <w:noWrap w:val="0"/>
            <w:vAlign w:val="center"/>
          </w:tcPr>
          <w:p w14:paraId="5C93415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I </w:t>
            </w:r>
            <w:r>
              <w:rPr>
                <w:rFonts w:hint="default" w:ascii="Times New Roman" w:hAnsi="Times New Roman" w:eastAsia="宋体" w:cs="Times New Roman"/>
                <w:color w:val="auto"/>
                <w:spacing w:val="6"/>
                <w:kern w:val="0"/>
                <w:sz w:val="21"/>
                <w:szCs w:val="21"/>
                <w:lang w:val="en-US" w:eastAsia="zh-CN" w:bidi="ar-SA"/>
              </w:rPr>
              <w:sym w:font="Wingdings 2" w:char="00A3"/>
            </w:r>
          </w:p>
        </w:tc>
      </w:tr>
      <w:tr w14:paraId="5AA6E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noWrap w:val="0"/>
            <w:vAlign w:val="center"/>
          </w:tcPr>
          <w:p w14:paraId="3802B47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评价等级</w:t>
            </w:r>
          </w:p>
        </w:tc>
        <w:tc>
          <w:tcPr>
            <w:tcW w:w="654" w:type="pct"/>
            <w:noWrap w:val="0"/>
            <w:vAlign w:val="center"/>
          </w:tcPr>
          <w:p w14:paraId="00428F0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一级 □</w:t>
            </w:r>
          </w:p>
        </w:tc>
        <w:tc>
          <w:tcPr>
            <w:tcW w:w="575" w:type="pct"/>
            <w:noWrap w:val="0"/>
            <w:vAlign w:val="center"/>
          </w:tcPr>
          <w:p w14:paraId="30886D0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二级 </w:t>
            </w:r>
            <w:r>
              <w:rPr>
                <w:rFonts w:hint="eastAsia" w:cs="Times New Roman"/>
                <w:color w:val="auto"/>
                <w:spacing w:val="6"/>
                <w:kern w:val="0"/>
                <w:sz w:val="21"/>
                <w:szCs w:val="21"/>
                <w:lang w:val="en-US" w:eastAsia="zh-CN" w:bidi="ar-SA"/>
              </w:rPr>
              <w:t>☑</w:t>
            </w:r>
          </w:p>
        </w:tc>
        <w:tc>
          <w:tcPr>
            <w:tcW w:w="1349" w:type="pct"/>
            <w:gridSpan w:val="5"/>
            <w:noWrap w:val="0"/>
            <w:vAlign w:val="center"/>
          </w:tcPr>
          <w:p w14:paraId="5720253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三级 </w:t>
            </w:r>
            <w:r>
              <w:rPr>
                <w:rFonts w:hint="default" w:ascii="Times New Roman" w:hAnsi="Times New Roman" w:eastAsia="宋体" w:cs="Times New Roman"/>
                <w:color w:val="auto"/>
                <w:spacing w:val="6"/>
                <w:kern w:val="0"/>
                <w:sz w:val="21"/>
                <w:szCs w:val="21"/>
                <w:lang w:val="en-US" w:eastAsia="zh-CN" w:bidi="ar-SA"/>
              </w:rPr>
              <w:sym w:font="Wingdings 2" w:char="00A3"/>
            </w:r>
          </w:p>
        </w:tc>
        <w:tc>
          <w:tcPr>
            <w:tcW w:w="1925" w:type="pct"/>
            <w:gridSpan w:val="9"/>
            <w:noWrap w:val="0"/>
            <w:vAlign w:val="center"/>
          </w:tcPr>
          <w:p w14:paraId="639E857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简单分析 </w:t>
            </w:r>
            <w:r>
              <w:rPr>
                <w:rFonts w:hint="default" w:ascii="Times New Roman" w:hAnsi="Times New Roman" w:eastAsia="宋体" w:cs="Times New Roman"/>
                <w:color w:val="auto"/>
                <w:spacing w:val="6"/>
                <w:kern w:val="0"/>
                <w:sz w:val="21"/>
                <w:szCs w:val="21"/>
                <w:lang w:val="en-US" w:eastAsia="zh-CN" w:bidi="ar-SA"/>
              </w:rPr>
              <w:sym w:font="Wingdings 2" w:char="00A3"/>
            </w:r>
          </w:p>
        </w:tc>
      </w:tr>
      <w:tr w14:paraId="20119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restart"/>
            <w:noWrap w:val="0"/>
            <w:vAlign w:val="center"/>
          </w:tcPr>
          <w:p w14:paraId="0653BF5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风险识</w:t>
            </w:r>
          </w:p>
          <w:p w14:paraId="3C8853FF">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别</w:t>
            </w:r>
          </w:p>
        </w:tc>
        <w:tc>
          <w:tcPr>
            <w:tcW w:w="654" w:type="pct"/>
            <w:noWrap w:val="0"/>
            <w:vAlign w:val="center"/>
          </w:tcPr>
          <w:p w14:paraId="2058FE7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物质危险性</w:t>
            </w:r>
          </w:p>
        </w:tc>
        <w:tc>
          <w:tcPr>
            <w:tcW w:w="1925" w:type="pct"/>
            <w:gridSpan w:val="6"/>
            <w:noWrap w:val="0"/>
            <w:vAlign w:val="center"/>
          </w:tcPr>
          <w:p w14:paraId="70BFE8F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有毒有害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1925" w:type="pct"/>
            <w:gridSpan w:val="9"/>
            <w:noWrap w:val="0"/>
            <w:vAlign w:val="center"/>
          </w:tcPr>
          <w:p w14:paraId="384B582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易燃易爆 </w:t>
            </w:r>
            <w:r>
              <w:rPr>
                <w:rFonts w:hint="default" w:ascii="Times New Roman" w:hAnsi="Times New Roman" w:eastAsia="宋体" w:cs="Times New Roman"/>
                <w:color w:val="auto"/>
                <w:spacing w:val="6"/>
                <w:kern w:val="0"/>
                <w:sz w:val="21"/>
                <w:szCs w:val="21"/>
                <w:lang w:val="en-US" w:eastAsia="zh-CN" w:bidi="ar-SA"/>
              </w:rPr>
              <w:sym w:font="Wingdings 2" w:char="0052"/>
            </w:r>
          </w:p>
        </w:tc>
      </w:tr>
      <w:tr w14:paraId="1124C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00E7C92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noWrap w:val="0"/>
            <w:vAlign w:val="center"/>
          </w:tcPr>
          <w:p w14:paraId="56EF8882">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环境风险类型</w:t>
            </w:r>
          </w:p>
        </w:tc>
        <w:tc>
          <w:tcPr>
            <w:tcW w:w="1925" w:type="pct"/>
            <w:gridSpan w:val="6"/>
            <w:noWrap w:val="0"/>
            <w:vAlign w:val="center"/>
          </w:tcPr>
          <w:p w14:paraId="70C9AFB5">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泄漏 </w:t>
            </w:r>
            <w:r>
              <w:rPr>
                <w:rFonts w:hint="default" w:ascii="Times New Roman" w:hAnsi="Times New Roman" w:eastAsia="宋体" w:cs="Times New Roman"/>
                <w:color w:val="auto"/>
                <w:spacing w:val="6"/>
                <w:kern w:val="0"/>
                <w:sz w:val="21"/>
                <w:szCs w:val="21"/>
                <w:lang w:val="en-US" w:eastAsia="zh-CN" w:bidi="ar-SA"/>
              </w:rPr>
              <w:sym w:font="Wingdings 2" w:char="0052"/>
            </w:r>
          </w:p>
          <w:p w14:paraId="206793B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1925" w:type="pct"/>
            <w:gridSpan w:val="9"/>
            <w:noWrap w:val="0"/>
            <w:vAlign w:val="center"/>
          </w:tcPr>
          <w:p w14:paraId="0369983A">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火灾、爆炸引发伴生/次生污染物排放 </w:t>
            </w:r>
            <w:r>
              <w:rPr>
                <w:rFonts w:hint="default" w:ascii="Times New Roman" w:hAnsi="Times New Roman" w:eastAsia="宋体" w:cs="Times New Roman"/>
                <w:color w:val="auto"/>
                <w:spacing w:val="6"/>
                <w:kern w:val="0"/>
                <w:sz w:val="21"/>
                <w:szCs w:val="21"/>
                <w:lang w:val="en-US" w:eastAsia="zh-CN" w:bidi="ar-SA"/>
              </w:rPr>
              <w:sym w:font="Wingdings 2" w:char="0052"/>
            </w:r>
          </w:p>
        </w:tc>
      </w:tr>
      <w:tr w14:paraId="3AEF4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7B9BFAC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noWrap w:val="0"/>
            <w:vAlign w:val="center"/>
          </w:tcPr>
          <w:p w14:paraId="2F748B5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影响途径</w:t>
            </w:r>
          </w:p>
        </w:tc>
        <w:tc>
          <w:tcPr>
            <w:tcW w:w="1283" w:type="pct"/>
            <w:gridSpan w:val="3"/>
            <w:noWrap w:val="0"/>
            <w:vAlign w:val="center"/>
          </w:tcPr>
          <w:p w14:paraId="4397D16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大气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1283" w:type="pct"/>
            <w:gridSpan w:val="5"/>
            <w:noWrap w:val="0"/>
            <w:vAlign w:val="center"/>
          </w:tcPr>
          <w:p w14:paraId="039D5FE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地表水 □</w:t>
            </w:r>
          </w:p>
        </w:tc>
        <w:tc>
          <w:tcPr>
            <w:tcW w:w="1284" w:type="pct"/>
            <w:gridSpan w:val="7"/>
            <w:noWrap w:val="0"/>
            <w:vAlign w:val="center"/>
          </w:tcPr>
          <w:p w14:paraId="1A0AE6C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地下水 </w:t>
            </w:r>
            <w:r>
              <w:rPr>
                <w:rFonts w:hint="default" w:ascii="Times New Roman" w:hAnsi="Times New Roman" w:eastAsia="宋体" w:cs="Times New Roman"/>
                <w:color w:val="auto"/>
                <w:spacing w:val="6"/>
                <w:kern w:val="0"/>
                <w:sz w:val="21"/>
                <w:szCs w:val="21"/>
                <w:lang w:val="en-US" w:eastAsia="zh-CN" w:bidi="ar-SA"/>
              </w:rPr>
              <w:sym w:font="Wingdings 2" w:char="0052"/>
            </w:r>
          </w:p>
        </w:tc>
      </w:tr>
      <w:tr w14:paraId="03ED9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94" w:type="pct"/>
            <w:noWrap w:val="0"/>
            <w:vAlign w:val="center"/>
          </w:tcPr>
          <w:p w14:paraId="181299E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事故情形分析</w:t>
            </w:r>
          </w:p>
        </w:tc>
        <w:tc>
          <w:tcPr>
            <w:tcW w:w="654" w:type="pct"/>
            <w:noWrap w:val="0"/>
            <w:vAlign w:val="center"/>
          </w:tcPr>
          <w:p w14:paraId="12B37A6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源强设定方法</w:t>
            </w:r>
          </w:p>
        </w:tc>
        <w:tc>
          <w:tcPr>
            <w:tcW w:w="1283" w:type="pct"/>
            <w:gridSpan w:val="3"/>
            <w:noWrap w:val="0"/>
            <w:vAlign w:val="center"/>
          </w:tcPr>
          <w:p w14:paraId="789AC899">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经验估算法</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1283" w:type="pct"/>
            <w:gridSpan w:val="5"/>
            <w:noWrap w:val="0"/>
            <w:vAlign w:val="center"/>
          </w:tcPr>
          <w:p w14:paraId="1D22432B">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计算法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1284" w:type="pct"/>
            <w:gridSpan w:val="7"/>
            <w:noWrap w:val="0"/>
            <w:vAlign w:val="center"/>
          </w:tcPr>
          <w:p w14:paraId="57860570">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其他估算法 □</w:t>
            </w:r>
          </w:p>
        </w:tc>
      </w:tr>
      <w:tr w14:paraId="55E5E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restart"/>
            <w:noWrap w:val="0"/>
            <w:vAlign w:val="center"/>
          </w:tcPr>
          <w:p w14:paraId="7509543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风险</w:t>
            </w:r>
          </w:p>
          <w:p w14:paraId="25A263D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预测</w:t>
            </w:r>
          </w:p>
          <w:p w14:paraId="0FAC81A0">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与评</w:t>
            </w:r>
          </w:p>
          <w:p w14:paraId="069C7D14">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价</w:t>
            </w:r>
          </w:p>
        </w:tc>
        <w:tc>
          <w:tcPr>
            <w:tcW w:w="654" w:type="pct"/>
            <w:vMerge w:val="restart"/>
            <w:noWrap w:val="0"/>
            <w:vAlign w:val="center"/>
          </w:tcPr>
          <w:p w14:paraId="67874D53">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大气</w:t>
            </w:r>
          </w:p>
        </w:tc>
        <w:tc>
          <w:tcPr>
            <w:tcW w:w="575" w:type="pct"/>
            <w:noWrap w:val="0"/>
            <w:vAlign w:val="center"/>
          </w:tcPr>
          <w:p w14:paraId="6766430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预测模型</w:t>
            </w:r>
          </w:p>
        </w:tc>
        <w:tc>
          <w:tcPr>
            <w:tcW w:w="1091" w:type="pct"/>
            <w:gridSpan w:val="4"/>
            <w:noWrap w:val="0"/>
            <w:vAlign w:val="center"/>
          </w:tcPr>
          <w:p w14:paraId="1C7FE88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SLAB □</w:t>
            </w:r>
          </w:p>
        </w:tc>
        <w:tc>
          <w:tcPr>
            <w:tcW w:w="1091" w:type="pct"/>
            <w:gridSpan w:val="6"/>
            <w:noWrap w:val="0"/>
            <w:vAlign w:val="center"/>
          </w:tcPr>
          <w:p w14:paraId="529325CB">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 xml:space="preserve">AFTOX </w:t>
            </w:r>
            <w:r>
              <w:rPr>
                <w:rFonts w:hint="default" w:ascii="Times New Roman" w:hAnsi="Times New Roman" w:eastAsia="宋体" w:cs="Times New Roman"/>
                <w:color w:val="auto"/>
                <w:spacing w:val="6"/>
                <w:kern w:val="0"/>
                <w:sz w:val="21"/>
                <w:szCs w:val="21"/>
                <w:lang w:val="en-US" w:eastAsia="zh-CN" w:bidi="ar-SA"/>
              </w:rPr>
              <w:sym w:font="Wingdings 2" w:char="0052"/>
            </w:r>
          </w:p>
        </w:tc>
        <w:tc>
          <w:tcPr>
            <w:tcW w:w="1092" w:type="pct"/>
            <w:gridSpan w:val="4"/>
            <w:noWrap w:val="0"/>
            <w:vAlign w:val="center"/>
          </w:tcPr>
          <w:p w14:paraId="71D9E9F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其他 □</w:t>
            </w:r>
          </w:p>
        </w:tc>
      </w:tr>
      <w:tr w14:paraId="15055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494" w:type="pct"/>
            <w:vMerge w:val="continue"/>
            <w:noWrap w:val="0"/>
            <w:vAlign w:val="center"/>
          </w:tcPr>
          <w:p w14:paraId="0311083D">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5748445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575" w:type="pct"/>
            <w:vMerge w:val="restart"/>
            <w:noWrap w:val="0"/>
            <w:vAlign w:val="center"/>
          </w:tcPr>
          <w:p w14:paraId="4436126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预测结果</w:t>
            </w:r>
          </w:p>
        </w:tc>
        <w:tc>
          <w:tcPr>
            <w:tcW w:w="3275" w:type="pct"/>
            <w:gridSpan w:val="14"/>
            <w:noWrap w:val="0"/>
            <w:vAlign w:val="center"/>
          </w:tcPr>
          <w:p w14:paraId="137C635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大气毒性终点浓度-1 最大影响范围</w:t>
            </w:r>
            <w:r>
              <w:rPr>
                <w:rFonts w:hint="eastAsia" w:cs="Times New Roman"/>
                <w:color w:val="auto"/>
                <w:spacing w:val="6"/>
                <w:kern w:val="0"/>
                <w:sz w:val="21"/>
                <w:szCs w:val="21"/>
                <w:lang w:val="en-US" w:eastAsia="zh-CN" w:bidi="ar-SA"/>
              </w:rPr>
              <w:t>0</w:t>
            </w:r>
            <w:r>
              <w:rPr>
                <w:rFonts w:hint="default" w:ascii="Times New Roman" w:hAnsi="Times New Roman" w:eastAsia="宋体" w:cs="Times New Roman"/>
                <w:color w:val="auto"/>
                <w:spacing w:val="6"/>
                <w:kern w:val="0"/>
                <w:sz w:val="21"/>
                <w:szCs w:val="21"/>
                <w:lang w:val="en-US" w:eastAsia="zh-CN" w:bidi="ar-SA"/>
              </w:rPr>
              <w:t>m</w:t>
            </w:r>
          </w:p>
        </w:tc>
      </w:tr>
      <w:tr w14:paraId="6456D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1CBB72D9">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5A7A057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575" w:type="pct"/>
            <w:vMerge w:val="continue"/>
            <w:noWrap w:val="0"/>
            <w:vAlign w:val="center"/>
          </w:tcPr>
          <w:p w14:paraId="37BC1CC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3275" w:type="pct"/>
            <w:gridSpan w:val="14"/>
            <w:noWrap w:val="0"/>
            <w:vAlign w:val="center"/>
          </w:tcPr>
          <w:p w14:paraId="2FDC00DF">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大气毒性终点浓度-2 最大影响范围0m</w:t>
            </w:r>
          </w:p>
        </w:tc>
      </w:tr>
      <w:tr w14:paraId="74928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494" w:type="pct"/>
            <w:vMerge w:val="continue"/>
            <w:noWrap w:val="0"/>
            <w:vAlign w:val="center"/>
          </w:tcPr>
          <w:p w14:paraId="34750F3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noWrap w:val="0"/>
            <w:vAlign w:val="center"/>
          </w:tcPr>
          <w:p w14:paraId="20616A7C">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地表水</w:t>
            </w:r>
          </w:p>
        </w:tc>
        <w:tc>
          <w:tcPr>
            <w:tcW w:w="3851" w:type="pct"/>
            <w:gridSpan w:val="15"/>
            <w:noWrap w:val="0"/>
            <w:vAlign w:val="center"/>
          </w:tcPr>
          <w:p w14:paraId="4D2175D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最近环境敏感目标    ，到达时间    h</w:t>
            </w:r>
          </w:p>
        </w:tc>
      </w:tr>
      <w:tr w14:paraId="2C794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1330DC72">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restart"/>
            <w:noWrap w:val="0"/>
            <w:vAlign w:val="center"/>
          </w:tcPr>
          <w:p w14:paraId="74DA3FD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地下水</w:t>
            </w:r>
          </w:p>
        </w:tc>
        <w:tc>
          <w:tcPr>
            <w:tcW w:w="3851" w:type="pct"/>
            <w:gridSpan w:val="15"/>
            <w:noWrap w:val="0"/>
            <w:vAlign w:val="center"/>
          </w:tcPr>
          <w:p w14:paraId="3668A861">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下游厂区边界到达时间    d</w:t>
            </w:r>
          </w:p>
        </w:tc>
      </w:tr>
      <w:tr w14:paraId="47E97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 w:type="pct"/>
            <w:vMerge w:val="continue"/>
            <w:noWrap w:val="0"/>
            <w:vAlign w:val="center"/>
          </w:tcPr>
          <w:p w14:paraId="60C31372">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654" w:type="pct"/>
            <w:vMerge w:val="continue"/>
            <w:noWrap w:val="0"/>
            <w:vAlign w:val="center"/>
          </w:tcPr>
          <w:p w14:paraId="614616C8">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p>
        </w:tc>
        <w:tc>
          <w:tcPr>
            <w:tcW w:w="3851" w:type="pct"/>
            <w:gridSpan w:val="15"/>
            <w:noWrap w:val="0"/>
            <w:vAlign w:val="center"/>
          </w:tcPr>
          <w:p w14:paraId="5FAD216B">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最近环境敏感目标 无   ，到达时间d</w:t>
            </w:r>
          </w:p>
        </w:tc>
      </w:tr>
      <w:tr w14:paraId="1FD65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pct"/>
            <w:gridSpan w:val="2"/>
            <w:noWrap w:val="0"/>
            <w:vAlign w:val="center"/>
          </w:tcPr>
          <w:p w14:paraId="7CE2B367">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重点风险防范措施</w:t>
            </w:r>
          </w:p>
        </w:tc>
        <w:tc>
          <w:tcPr>
            <w:tcW w:w="3851" w:type="pct"/>
            <w:gridSpan w:val="15"/>
            <w:noWrap w:val="0"/>
            <w:vAlign w:val="center"/>
          </w:tcPr>
          <w:p w14:paraId="7C945FC1">
            <w:pPr>
              <w:widowControl w:val="0"/>
              <w:pBdr>
                <w:top w:val="none" w:color="auto" w:sz="0" w:space="0"/>
                <w:left w:val="none" w:color="auto" w:sz="0" w:space="0"/>
                <w:bottom w:val="none" w:color="auto" w:sz="0" w:space="0"/>
                <w:right w:val="none" w:color="auto" w:sz="0" w:space="0"/>
              </w:pBdr>
              <w:spacing w:after="0" w:line="240" w:lineRule="auto"/>
              <w:ind w:left="0" w:leftChars="0" w:firstLine="0" w:firstLineChars="0"/>
              <w:jc w:val="both"/>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灌装站：</w:t>
            </w:r>
          </w:p>
          <w:p w14:paraId="5827B09D">
            <w:pPr>
              <w:widowControl w:val="0"/>
              <w:pBdr>
                <w:top w:val="none" w:color="auto" w:sz="0" w:space="0"/>
                <w:left w:val="none" w:color="auto" w:sz="0" w:space="0"/>
                <w:bottom w:val="none" w:color="auto" w:sz="0" w:space="0"/>
                <w:right w:val="none" w:color="auto" w:sz="0" w:space="0"/>
              </w:pBdr>
              <w:spacing w:after="0" w:line="240" w:lineRule="auto"/>
              <w:ind w:left="0" w:leftChars="0" w:firstLine="0" w:firstLineChars="0"/>
              <w:jc w:val="both"/>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①液化石油气、丙烷储罐设计与制造应符合国家现行标准；</w:t>
            </w:r>
          </w:p>
          <w:p w14:paraId="67718A86">
            <w:pPr>
              <w:widowControl w:val="0"/>
              <w:pBdr>
                <w:top w:val="none" w:color="auto" w:sz="0" w:space="0"/>
                <w:left w:val="none" w:color="auto" w:sz="0" w:space="0"/>
                <w:bottom w:val="none" w:color="auto" w:sz="0" w:space="0"/>
                <w:right w:val="none" w:color="auto" w:sz="0" w:space="0"/>
              </w:pBdr>
              <w:spacing w:after="0" w:line="240" w:lineRule="auto"/>
              <w:ind w:left="0" w:leftChars="0" w:firstLine="0" w:firstLineChars="0"/>
              <w:jc w:val="both"/>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②总图布置时，充分考虑具有火灾和爆炸危险性的建筑物的安全布局；</w:t>
            </w:r>
          </w:p>
          <w:p w14:paraId="28AF1D70">
            <w:pPr>
              <w:widowControl w:val="0"/>
              <w:pBdr>
                <w:top w:val="none" w:color="auto" w:sz="0" w:space="0"/>
                <w:left w:val="none" w:color="auto" w:sz="0" w:space="0"/>
                <w:bottom w:val="none" w:color="auto" w:sz="0" w:space="0"/>
                <w:right w:val="none" w:color="auto" w:sz="0" w:space="0"/>
              </w:pBdr>
              <w:spacing w:after="0" w:line="240" w:lineRule="auto"/>
              <w:ind w:left="0" w:leftChars="0" w:firstLine="0" w:firstLineChars="0"/>
              <w:jc w:val="both"/>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③液化石油气、丙烷其火灾危险性分别为甲类，工艺装置的设计严格按照相关规程进行；</w:t>
            </w:r>
          </w:p>
          <w:p w14:paraId="1FBC363A">
            <w:pPr>
              <w:widowControl w:val="0"/>
              <w:pBdr>
                <w:top w:val="none" w:color="auto" w:sz="0" w:space="0"/>
                <w:left w:val="none" w:color="auto" w:sz="0" w:space="0"/>
                <w:bottom w:val="none" w:color="auto" w:sz="0" w:space="0"/>
                <w:right w:val="none" w:color="auto" w:sz="0" w:space="0"/>
              </w:pBdr>
              <w:spacing w:after="0" w:line="240" w:lineRule="auto"/>
              <w:ind w:left="0" w:leftChars="0" w:firstLine="0" w:firstLineChars="0"/>
              <w:jc w:val="both"/>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④卸车过程、运输过程采用安全防范措施；</w:t>
            </w:r>
          </w:p>
          <w:p w14:paraId="2370773E">
            <w:pPr>
              <w:widowControl w:val="0"/>
              <w:pBdr>
                <w:top w:val="none" w:color="auto" w:sz="0" w:space="0"/>
                <w:left w:val="none" w:color="auto" w:sz="0" w:space="0"/>
                <w:bottom w:val="none" w:color="auto" w:sz="0" w:space="0"/>
                <w:right w:val="none" w:color="auto" w:sz="0" w:space="0"/>
              </w:pBdr>
              <w:spacing w:after="0" w:line="240" w:lineRule="auto"/>
              <w:ind w:left="0" w:leftChars="0" w:firstLine="0" w:firstLineChars="0"/>
              <w:jc w:val="both"/>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⑤自动控制系统及火灾报警系统；</w:t>
            </w:r>
          </w:p>
          <w:p w14:paraId="3C24E05B">
            <w:pPr>
              <w:widowControl w:val="0"/>
              <w:pBdr>
                <w:top w:val="none" w:color="auto" w:sz="0" w:space="0"/>
                <w:left w:val="none" w:color="auto" w:sz="0" w:space="0"/>
                <w:bottom w:val="none" w:color="auto" w:sz="0" w:space="0"/>
                <w:right w:val="none" w:color="auto" w:sz="0" w:space="0"/>
              </w:pBdr>
              <w:spacing w:after="0" w:line="240" w:lineRule="auto"/>
              <w:ind w:left="0" w:leftChars="0" w:firstLine="0" w:firstLineChars="0"/>
              <w:jc w:val="both"/>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t>危险废物暂存间：</w:t>
            </w:r>
          </w:p>
          <w:p w14:paraId="413B4C5B">
            <w:pPr>
              <w:widowControl w:val="0"/>
              <w:pBdr>
                <w:top w:val="none" w:color="auto" w:sz="0" w:space="0"/>
                <w:left w:val="none" w:color="auto" w:sz="0" w:space="0"/>
                <w:bottom w:val="none" w:color="auto" w:sz="0" w:space="0"/>
                <w:right w:val="none" w:color="auto" w:sz="0" w:space="0"/>
              </w:pBdr>
              <w:spacing w:after="0" w:line="240" w:lineRule="auto"/>
              <w:ind w:left="0" w:leftChars="0" w:firstLine="0" w:firstLineChars="0"/>
              <w:jc w:val="both"/>
              <w:rPr>
                <w:rFonts w:hint="default" w:ascii="Times New Roman" w:hAnsi="Times New Roman" w:eastAsia="宋体" w:cs="Times New Roman"/>
                <w:color w:val="auto"/>
                <w:kern w:val="0"/>
                <w:sz w:val="21"/>
                <w:szCs w:val="20"/>
                <w:lang w:val="en-US" w:eastAsia="zh-CN" w:bidi="ar-SA"/>
              </w:rPr>
            </w:pPr>
            <w:r>
              <w:rPr>
                <w:rFonts w:hint="default" w:ascii="Times New Roman" w:hAnsi="Times New Roman" w:eastAsia="宋体" w:cs="Times New Roman"/>
                <w:color w:val="auto"/>
                <w:kern w:val="0"/>
                <w:sz w:val="21"/>
                <w:szCs w:val="20"/>
                <w:lang w:val="en-US" w:eastAsia="zh-CN" w:bidi="ar-SA"/>
              </w:rPr>
              <w:fldChar w:fldCharType="begin"/>
            </w:r>
            <w:r>
              <w:rPr>
                <w:rFonts w:hint="default" w:ascii="Times New Roman" w:hAnsi="Times New Roman" w:eastAsia="宋体" w:cs="Times New Roman"/>
                <w:color w:val="auto"/>
                <w:kern w:val="0"/>
                <w:sz w:val="21"/>
                <w:szCs w:val="20"/>
                <w:lang w:val="en-US" w:eastAsia="zh-CN" w:bidi="ar-SA"/>
              </w:rPr>
              <w:instrText xml:space="preserve"> = 1 \* GB3 \* MERGEFORMAT </w:instrText>
            </w:r>
            <w:r>
              <w:rPr>
                <w:rFonts w:hint="default" w:ascii="Times New Roman" w:hAnsi="Times New Roman" w:eastAsia="宋体" w:cs="Times New Roman"/>
                <w:color w:val="auto"/>
                <w:kern w:val="0"/>
                <w:sz w:val="21"/>
                <w:szCs w:val="20"/>
                <w:lang w:val="en-US" w:eastAsia="zh-CN" w:bidi="ar-SA"/>
              </w:rPr>
              <w:fldChar w:fldCharType="separate"/>
            </w:r>
            <w:r>
              <w:rPr>
                <w:rFonts w:hint="default" w:ascii="Times New Roman" w:hAnsi="Times New Roman" w:eastAsia="宋体" w:cs="Times New Roman"/>
                <w:color w:val="auto"/>
                <w:kern w:val="0"/>
                <w:sz w:val="21"/>
                <w:szCs w:val="20"/>
                <w:lang w:val="en-US" w:eastAsia="zh-CN" w:bidi="ar-SA"/>
              </w:rPr>
              <w:t>①</w:t>
            </w:r>
            <w:r>
              <w:rPr>
                <w:rFonts w:hint="default" w:ascii="Times New Roman" w:hAnsi="Times New Roman" w:eastAsia="宋体" w:cs="Times New Roman"/>
                <w:color w:val="auto"/>
                <w:kern w:val="0"/>
                <w:sz w:val="21"/>
                <w:szCs w:val="20"/>
                <w:lang w:val="en-US" w:eastAsia="zh-CN" w:bidi="ar-SA"/>
              </w:rPr>
              <w:fldChar w:fldCharType="end"/>
            </w:r>
            <w:r>
              <w:rPr>
                <w:rFonts w:hint="default" w:ascii="Times New Roman" w:hAnsi="Times New Roman" w:eastAsia="宋体" w:cs="Times New Roman"/>
                <w:color w:val="auto"/>
                <w:kern w:val="0"/>
                <w:sz w:val="21"/>
                <w:szCs w:val="20"/>
                <w:lang w:val="en-US" w:eastAsia="zh-CN" w:bidi="ar-SA"/>
              </w:rPr>
              <w:t>危险废物暂存间采用重点防渗，防渗层渗透系数≤10</w:t>
            </w:r>
            <w:r>
              <w:rPr>
                <w:rFonts w:hint="default" w:ascii="Times New Roman" w:hAnsi="Times New Roman" w:eastAsia="宋体" w:cs="Times New Roman"/>
                <w:color w:val="auto"/>
                <w:kern w:val="0"/>
                <w:sz w:val="21"/>
                <w:szCs w:val="20"/>
                <w:vertAlign w:val="superscript"/>
                <w:lang w:val="en-US" w:eastAsia="zh-CN" w:bidi="ar-SA"/>
              </w:rPr>
              <w:t>-10</w:t>
            </w:r>
            <w:r>
              <w:rPr>
                <w:rFonts w:hint="default" w:ascii="Times New Roman" w:hAnsi="Times New Roman" w:eastAsia="宋体" w:cs="Times New Roman"/>
                <w:color w:val="auto"/>
                <w:kern w:val="0"/>
                <w:sz w:val="21"/>
                <w:szCs w:val="20"/>
                <w:lang w:val="en-US" w:eastAsia="zh-CN" w:bidi="ar-SA"/>
              </w:rPr>
              <w:t>cm/s，防止渗漏进入地下水和土壤；</w:t>
            </w:r>
          </w:p>
          <w:p w14:paraId="267D4294">
            <w:pPr>
              <w:spacing w:line="240" w:lineRule="auto"/>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kern w:val="2"/>
                <w:sz w:val="21"/>
                <w:szCs w:val="24"/>
                <w:lang w:val="en-US" w:eastAsia="zh-CN"/>
              </w:rPr>
              <w:fldChar w:fldCharType="begin"/>
            </w:r>
            <w:r>
              <w:rPr>
                <w:rFonts w:hint="default" w:ascii="Times New Roman" w:hAnsi="Times New Roman" w:eastAsia="宋体" w:cs="Times New Roman"/>
                <w:color w:val="auto"/>
                <w:kern w:val="2"/>
                <w:sz w:val="21"/>
                <w:szCs w:val="24"/>
                <w:lang w:val="en-US" w:eastAsia="zh-CN"/>
              </w:rPr>
              <w:instrText xml:space="preserve"> = 2 \* GB3 \* MERGEFORMAT </w:instrText>
            </w:r>
            <w:r>
              <w:rPr>
                <w:rFonts w:hint="default" w:ascii="Times New Roman" w:hAnsi="Times New Roman" w:eastAsia="宋体" w:cs="Times New Roman"/>
                <w:color w:val="auto"/>
                <w:kern w:val="2"/>
                <w:sz w:val="21"/>
                <w:szCs w:val="24"/>
                <w:lang w:val="en-US" w:eastAsia="zh-CN"/>
              </w:rPr>
              <w:fldChar w:fldCharType="separate"/>
            </w:r>
            <w:r>
              <w:rPr>
                <w:rFonts w:hint="default" w:ascii="Times New Roman" w:hAnsi="Times New Roman" w:eastAsia="宋体" w:cs="Times New Roman"/>
                <w:color w:val="auto"/>
                <w:kern w:val="2"/>
                <w:sz w:val="21"/>
                <w:szCs w:val="24"/>
              </w:rPr>
              <w:t>②</w:t>
            </w:r>
            <w:r>
              <w:rPr>
                <w:rFonts w:hint="default" w:ascii="Times New Roman" w:hAnsi="Times New Roman" w:eastAsia="宋体" w:cs="Times New Roman"/>
                <w:color w:val="auto"/>
                <w:kern w:val="2"/>
                <w:sz w:val="21"/>
                <w:szCs w:val="24"/>
                <w:lang w:val="en-US" w:eastAsia="zh-CN"/>
              </w:rPr>
              <w:fldChar w:fldCharType="end"/>
            </w:r>
            <w:r>
              <w:rPr>
                <w:rFonts w:hint="default" w:ascii="Times New Roman" w:hAnsi="Times New Roman" w:eastAsia="宋体" w:cs="Times New Roman"/>
                <w:color w:val="auto"/>
                <w:kern w:val="2"/>
                <w:sz w:val="21"/>
                <w:szCs w:val="24"/>
                <w:lang w:val="en-US" w:eastAsia="zh-CN"/>
              </w:rPr>
              <w:t>危险废物暂存间设置报警系统和视频监控系统同时定期安排人员检查危废库可以有效防止火灾事故的发生；</w:t>
            </w:r>
          </w:p>
        </w:tc>
      </w:tr>
      <w:tr w14:paraId="5F2F7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48" w:type="pct"/>
            <w:gridSpan w:val="2"/>
            <w:noWrap w:val="0"/>
            <w:vAlign w:val="center"/>
          </w:tcPr>
          <w:p w14:paraId="268802DE">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评价结论与建议</w:t>
            </w:r>
          </w:p>
        </w:tc>
        <w:tc>
          <w:tcPr>
            <w:tcW w:w="3851" w:type="pct"/>
            <w:gridSpan w:val="15"/>
            <w:noWrap w:val="0"/>
            <w:vAlign w:val="center"/>
          </w:tcPr>
          <w:p w14:paraId="76658866">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环境影响可接受</w:t>
            </w:r>
          </w:p>
        </w:tc>
      </w:tr>
      <w:tr w14:paraId="19A92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17"/>
            <w:noWrap w:val="0"/>
            <w:vAlign w:val="center"/>
          </w:tcPr>
          <w:p w14:paraId="0EAE4340">
            <w:pPr>
              <w:pageBreakBefore w:val="0"/>
              <w:widowControl w:val="0"/>
              <w:tabs>
                <w:tab w:val="left" w:pos="780"/>
                <w:tab w:val="left" w:pos="1077"/>
                <w:tab w:val="left" w:pos="3419"/>
              </w:tabs>
              <w:kinsoku/>
              <w:bidi w:val="0"/>
              <w:adjustRightInd w:val="0"/>
              <w:snapToGrid w:val="0"/>
              <w:spacing w:before="0" w:after="0" w:afterAutospacing="0" w:line="260" w:lineRule="exact"/>
              <w:ind w:left="0" w:leftChars="0" w:right="0" w:rightChars="0" w:firstLine="0" w:firstLineChars="0"/>
              <w:jc w:val="center"/>
              <w:textAlignment w:val="baseline"/>
              <w:rPr>
                <w:rFonts w:hint="default" w:ascii="Times New Roman" w:hAnsi="Times New Roman" w:eastAsia="宋体" w:cs="Times New Roman"/>
                <w:color w:val="auto"/>
                <w:spacing w:val="6"/>
                <w:kern w:val="0"/>
                <w:sz w:val="21"/>
                <w:szCs w:val="21"/>
                <w:lang w:val="en-US" w:eastAsia="zh-CN" w:bidi="ar-SA"/>
              </w:rPr>
            </w:pPr>
            <w:r>
              <w:rPr>
                <w:rFonts w:hint="default" w:ascii="Times New Roman" w:hAnsi="Times New Roman" w:eastAsia="宋体" w:cs="Times New Roman"/>
                <w:color w:val="auto"/>
                <w:spacing w:val="6"/>
                <w:kern w:val="0"/>
                <w:sz w:val="21"/>
                <w:szCs w:val="21"/>
                <w:lang w:val="en-US" w:eastAsia="zh-CN" w:bidi="ar-SA"/>
              </w:rPr>
              <w:t>注：“□”为勾选项，“ ”为填写项。</w:t>
            </w:r>
          </w:p>
        </w:tc>
      </w:tr>
    </w:tbl>
    <w:p w14:paraId="1D39D2CE">
      <w:pPr>
        <w:pStyle w:val="79"/>
        <w:numPr>
          <w:ilvl w:val="0"/>
          <w:numId w:val="0"/>
        </w:numPr>
        <w:tabs>
          <w:tab w:val="left" w:pos="840"/>
        </w:tabs>
        <w:bidi w:val="0"/>
        <w:ind w:left="510" w:leftChars="0"/>
        <w:rPr>
          <w:rFonts w:hint="default" w:ascii="Times New Roman" w:hAnsi="Times New Roman" w:cs="Times New Roman"/>
          <w:color w:val="auto"/>
          <w:lang w:val="en-US" w:eastAsia="zh-CN"/>
        </w:rPr>
      </w:pPr>
    </w:p>
    <w:p w14:paraId="420F3159">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4"/>
          <w:lang w:val="en-US" w:eastAsia="zh-CN" w:bidi="ar-SA"/>
        </w:rPr>
        <w:sectPr>
          <w:pgSz w:w="11906" w:h="16838"/>
          <w:pgMar w:top="1440" w:right="1576" w:bottom="1440" w:left="1576" w:header="851" w:footer="850" w:gutter="0"/>
          <w:pgBorders w:offsetFrom="page">
            <w:top w:val="none" w:sz="0" w:space="0"/>
            <w:left w:val="none" w:sz="0" w:space="0"/>
            <w:bottom w:val="none" w:sz="0" w:space="0"/>
            <w:right w:val="none" w:sz="0" w:space="0"/>
          </w:pgBorders>
          <w:pgNumType w:fmt="decimal"/>
          <w:cols w:space="720" w:num="1"/>
          <w:rtlGutter w:val="0"/>
          <w:docGrid w:linePitch="312" w:charSpace="0"/>
        </w:sectPr>
      </w:pPr>
    </w:p>
    <w:p w14:paraId="441E3836">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52"/>
          <w:szCs w:val="52"/>
          <w:lang w:val="en-US" w:eastAsia="zh-CN"/>
        </w:rPr>
      </w:pPr>
    </w:p>
    <w:p w14:paraId="0011DDF0">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52"/>
          <w:szCs w:val="52"/>
          <w:lang w:val="en-US" w:eastAsia="zh-CN"/>
        </w:rPr>
      </w:pPr>
    </w:p>
    <w:p w14:paraId="00445EE7">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52"/>
          <w:szCs w:val="52"/>
          <w:lang w:val="en-US" w:eastAsia="zh-CN"/>
        </w:rPr>
      </w:pPr>
    </w:p>
    <w:p w14:paraId="4C661217">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52"/>
          <w:szCs w:val="52"/>
          <w:lang w:val="en-US" w:eastAsia="zh-CN"/>
        </w:rPr>
      </w:pPr>
    </w:p>
    <w:p w14:paraId="39EE46CA">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52"/>
          <w:szCs w:val="52"/>
          <w:lang w:val="en-US" w:eastAsia="zh-CN"/>
        </w:rPr>
      </w:pPr>
    </w:p>
    <w:p w14:paraId="34DD5F97">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52"/>
          <w:szCs w:val="52"/>
          <w:lang w:val="en-US" w:eastAsia="zh-CN"/>
        </w:rPr>
      </w:pPr>
      <w:r>
        <w:rPr>
          <w:rFonts w:hint="default" w:ascii="Times New Roman" w:hAnsi="Times New Roman" w:cs="Times New Roman"/>
          <w:b/>
          <w:bCs/>
          <w:sz w:val="52"/>
          <w:szCs w:val="52"/>
          <w:lang w:val="en-US" w:eastAsia="zh-CN"/>
        </w:rPr>
        <w:t>民用燃气和工业丙烷以及新型高性能切割气体生产项目环境影响报告表</w:t>
      </w:r>
    </w:p>
    <w:p w14:paraId="69D5230C">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24"/>
          <w:szCs w:val="24"/>
          <w:lang w:val="en-US" w:eastAsia="zh-CN"/>
        </w:rPr>
      </w:pPr>
    </w:p>
    <w:p w14:paraId="21D396A6">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24"/>
          <w:szCs w:val="24"/>
          <w:lang w:val="en-US" w:eastAsia="zh-CN"/>
        </w:rPr>
      </w:pPr>
    </w:p>
    <w:p w14:paraId="233AD933">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24"/>
          <w:szCs w:val="24"/>
          <w:lang w:val="en-US" w:eastAsia="zh-CN"/>
        </w:rPr>
      </w:pPr>
    </w:p>
    <w:p w14:paraId="5A88B987">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24"/>
          <w:szCs w:val="24"/>
          <w:lang w:val="en-US" w:eastAsia="zh-CN"/>
        </w:rPr>
      </w:pPr>
    </w:p>
    <w:p w14:paraId="1DFEC63B">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112"/>
          <w:szCs w:val="112"/>
          <w:lang w:val="en-US" w:eastAsia="zh-CN"/>
        </w:rPr>
      </w:pPr>
    </w:p>
    <w:p w14:paraId="1AE029EA">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outlineLvl w:val="0"/>
        <w:rPr>
          <w:rFonts w:hint="default" w:ascii="Times New Roman" w:hAnsi="Times New Roman" w:eastAsia="宋体" w:cs="Times New Roman"/>
          <w:b/>
          <w:bCs/>
          <w:sz w:val="60"/>
          <w:szCs w:val="60"/>
          <w:lang w:val="en-US" w:eastAsia="zh-CN"/>
        </w:rPr>
        <w:sectPr>
          <w:headerReference r:id="rId15" w:type="default"/>
          <w:footerReference r:id="rId16" w:type="default"/>
          <w:pgSz w:w="11906" w:h="16838"/>
          <w:pgMar w:top="1440" w:right="1576" w:bottom="1440" w:left="1576" w:header="851" w:footer="850" w:gutter="0"/>
          <w:pgBorders w:offsetFrom="page">
            <w:top w:val="none" w:sz="0" w:space="0"/>
            <w:left w:val="none" w:sz="0" w:space="0"/>
            <w:bottom w:val="none" w:sz="0" w:space="0"/>
            <w:right w:val="none" w:sz="0" w:space="0"/>
          </w:pgBorders>
          <w:pgNumType w:fmt="decimal"/>
          <w:cols w:space="720" w:num="1"/>
          <w:rtlGutter w:val="0"/>
          <w:docGrid w:linePitch="312" w:charSpace="0"/>
        </w:sectPr>
      </w:pPr>
      <w:r>
        <w:rPr>
          <w:rFonts w:hint="default" w:ascii="Times New Roman" w:hAnsi="Times New Roman" w:cs="Times New Roman"/>
          <w:b/>
          <w:bCs/>
          <w:sz w:val="60"/>
          <w:szCs w:val="60"/>
          <w:lang w:val="en-US" w:eastAsia="zh-CN"/>
        </w:rPr>
        <w:t>附</w:t>
      </w:r>
      <w:r>
        <w:rPr>
          <w:rFonts w:hint="default" w:ascii="Times New Roman" w:hAnsi="Times New Roman" w:eastAsia="宋体" w:cs="Times New Roman"/>
          <w:b/>
          <w:bCs/>
          <w:sz w:val="60"/>
          <w:szCs w:val="60"/>
          <w:lang w:val="en-US" w:eastAsia="zh-CN"/>
        </w:rPr>
        <w:t>件</w:t>
      </w:r>
      <w:r>
        <w:rPr>
          <w:rFonts w:hint="eastAsia" w:cs="Times New Roman"/>
          <w:b/>
          <w:bCs/>
          <w:sz w:val="60"/>
          <w:szCs w:val="60"/>
          <w:lang w:val="en-US" w:eastAsia="zh-CN"/>
        </w:rPr>
        <w:t>、附图</w:t>
      </w:r>
    </w:p>
    <w:p w14:paraId="356C8F49">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sz w:val="60"/>
          <w:szCs w:val="60"/>
          <w:lang w:val="en-US" w:eastAsia="zh-CN"/>
        </w:rPr>
        <w:sectPr>
          <w:footerReference r:id="rId17" w:type="default"/>
          <w:pgSz w:w="11906" w:h="16838"/>
          <w:pgMar w:top="1440" w:right="1576" w:bottom="1440" w:left="1576" w:header="851" w:footer="850" w:gutter="0"/>
          <w:pgBorders w:offsetFrom="page">
            <w:top w:val="none" w:sz="0" w:space="0"/>
            <w:left w:val="none" w:sz="0" w:space="0"/>
            <w:bottom w:val="none" w:sz="0" w:space="0"/>
            <w:right w:val="none" w:sz="0" w:space="0"/>
          </w:pgBorders>
          <w:pgNumType w:fmt="decimal"/>
          <w:cols w:space="720" w:num="1"/>
          <w:rtlGutter w:val="0"/>
          <w:docGrid w:linePitch="312" w:charSpace="0"/>
        </w:sectPr>
      </w:pPr>
    </w:p>
    <w:p w14:paraId="592422D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附件1  委托书</w:t>
      </w:r>
    </w:p>
    <w:p w14:paraId="6C05DD36">
      <w:pPr>
        <w:spacing w:line="360" w:lineRule="auto"/>
        <w:jc w:val="both"/>
        <w:rPr>
          <w:rFonts w:hint="default" w:ascii="Times New Roman" w:hAnsi="Times New Roman" w:eastAsia="黑体" w:cs="Times New Roman"/>
          <w:b/>
          <w:bCs/>
          <w:color w:val="000000"/>
          <w:sz w:val="28"/>
          <w:szCs w:val="28"/>
        </w:rPr>
      </w:pPr>
      <w:r>
        <w:rPr>
          <w:rFonts w:hint="default" w:ascii="Times New Roman" w:hAnsi="Times New Roman" w:eastAsia="宋体" w:cs="Times New Roman"/>
          <w:b/>
          <w:bCs/>
          <w:color w:val="000000"/>
          <w:sz w:val="48"/>
          <w:szCs w:val="48"/>
        </w:rPr>
        <w:drawing>
          <wp:anchor distT="0" distB="0" distL="114300" distR="114300" simplePos="0" relativeHeight="251674624" behindDoc="0" locked="0" layoutInCell="1" allowOverlap="1">
            <wp:simplePos x="0" y="0"/>
            <wp:positionH relativeFrom="column">
              <wp:posOffset>-221615</wp:posOffset>
            </wp:positionH>
            <wp:positionV relativeFrom="paragraph">
              <wp:posOffset>37465</wp:posOffset>
            </wp:positionV>
            <wp:extent cx="5932805" cy="8427720"/>
            <wp:effectExtent l="0" t="0" r="10795" b="11430"/>
            <wp:wrapNone/>
            <wp:docPr id="70" name="图片 70" descr="a0f88185-ebf1-4644-b9c5-bb4e44f607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a0f88185-ebf1-4644-b9c5-bb4e44f6079f"/>
                    <pic:cNvPicPr>
                      <a:picLocks noChangeAspect="1"/>
                    </pic:cNvPicPr>
                  </pic:nvPicPr>
                  <pic:blipFill>
                    <a:blip r:embed="rId81"/>
                    <a:stretch>
                      <a:fillRect/>
                    </a:stretch>
                  </pic:blipFill>
                  <pic:spPr>
                    <a:xfrm>
                      <a:off x="0" y="0"/>
                      <a:ext cx="5932805" cy="8427720"/>
                    </a:xfrm>
                    <a:prstGeom prst="rect">
                      <a:avLst/>
                    </a:prstGeom>
                  </pic:spPr>
                </pic:pic>
              </a:graphicData>
            </a:graphic>
          </wp:anchor>
        </w:drawing>
      </w:r>
    </w:p>
    <w:p w14:paraId="69E0720F">
      <w:pPr>
        <w:spacing w:line="360" w:lineRule="auto"/>
        <w:jc w:val="center"/>
        <w:rPr>
          <w:rFonts w:hint="default" w:ascii="Times New Roman" w:hAnsi="Times New Roman" w:eastAsia="宋体" w:cs="Times New Roman"/>
          <w:b/>
          <w:bCs/>
          <w:color w:val="000000"/>
          <w:sz w:val="48"/>
          <w:szCs w:val="48"/>
        </w:rPr>
      </w:pPr>
    </w:p>
    <w:p w14:paraId="4BE4E8AF">
      <w:pPr>
        <w:spacing w:line="360" w:lineRule="auto"/>
        <w:jc w:val="center"/>
        <w:rPr>
          <w:rFonts w:hint="default" w:ascii="Times New Roman" w:hAnsi="Times New Roman" w:eastAsia="宋体" w:cs="Times New Roman"/>
          <w:b/>
          <w:bCs/>
          <w:color w:val="000000"/>
          <w:sz w:val="48"/>
          <w:szCs w:val="48"/>
        </w:rPr>
      </w:pPr>
      <w:r>
        <w:rPr>
          <w:rFonts w:hint="default" w:ascii="Times New Roman" w:hAnsi="Times New Roman" w:eastAsia="宋体" w:cs="Times New Roman"/>
          <w:b/>
          <w:bCs/>
          <w:color w:val="000000"/>
          <w:sz w:val="48"/>
          <w:szCs w:val="48"/>
        </w:rPr>
        <w:t>委托书</w:t>
      </w:r>
    </w:p>
    <w:p w14:paraId="0E3A9457">
      <w:pPr>
        <w:spacing w:line="360" w:lineRule="auto"/>
        <w:ind w:firstLine="2160" w:firstLineChars="900"/>
        <w:rPr>
          <w:rFonts w:hint="default" w:ascii="Times New Roman" w:hAnsi="Times New Roman" w:eastAsia="宋体" w:cs="Times New Roman"/>
          <w:color w:val="000000"/>
          <w:sz w:val="24"/>
          <w:szCs w:val="24"/>
        </w:rPr>
      </w:pPr>
    </w:p>
    <w:p w14:paraId="6F818047">
      <w:pPr>
        <w:spacing w:line="360" w:lineRule="auto"/>
        <w:ind w:firstLine="2160" w:firstLineChars="900"/>
        <w:rPr>
          <w:rFonts w:hint="default" w:ascii="Times New Roman" w:hAnsi="Times New Roman" w:eastAsia="宋体" w:cs="Times New Roman"/>
          <w:color w:val="000000"/>
          <w:sz w:val="24"/>
          <w:szCs w:val="24"/>
        </w:rPr>
      </w:pPr>
    </w:p>
    <w:p w14:paraId="3D9F532E">
      <w:pPr>
        <w:spacing w:line="360" w:lineRule="auto"/>
        <w:ind w:firstLine="2160" w:firstLineChars="900"/>
        <w:rPr>
          <w:rFonts w:hint="default" w:ascii="Times New Roman" w:hAnsi="Times New Roman" w:eastAsia="宋体" w:cs="Times New Roman"/>
          <w:color w:val="000000"/>
          <w:sz w:val="24"/>
          <w:szCs w:val="24"/>
        </w:rPr>
      </w:pPr>
    </w:p>
    <w:p w14:paraId="6D33C12C">
      <w:pPr>
        <w:spacing w:line="360" w:lineRule="auto"/>
        <w:rPr>
          <w:rFonts w:hint="default" w:ascii="Times New Roman" w:hAnsi="Times New Roman" w:eastAsia="宋体" w:cs="Times New Roman"/>
          <w:b w:val="0"/>
          <w:bCs/>
          <w:color w:val="000000"/>
          <w:sz w:val="28"/>
          <w:szCs w:val="28"/>
          <w:lang w:val="en-US" w:eastAsia="zh-CN"/>
        </w:rPr>
      </w:pPr>
    </w:p>
    <w:p w14:paraId="06FE17ED">
      <w:pPr>
        <w:spacing w:line="360" w:lineRule="auto"/>
        <w:rPr>
          <w:rFonts w:hint="default" w:ascii="Times New Roman" w:hAnsi="Times New Roman" w:cs="Times New Roman"/>
          <w:b w:val="0"/>
          <w:bCs/>
          <w:color w:val="000000"/>
          <w:sz w:val="28"/>
          <w:szCs w:val="28"/>
          <w:lang w:val="en-US" w:eastAsia="zh-CN"/>
        </w:rPr>
      </w:pPr>
      <w:r>
        <w:rPr>
          <w:rFonts w:hint="default" w:ascii="Times New Roman" w:hAnsi="Times New Roman" w:eastAsia="宋体" w:cs="Times New Roman"/>
          <w:b w:val="0"/>
          <w:bCs/>
          <w:color w:val="000000"/>
          <w:sz w:val="28"/>
          <w:szCs w:val="28"/>
          <w:lang w:val="en-US" w:eastAsia="zh-CN"/>
        </w:rPr>
        <w:t>内蒙古华泰瀚光环境科技有限公司</w:t>
      </w:r>
      <w:r>
        <w:rPr>
          <w:rFonts w:hint="default" w:ascii="Times New Roman" w:hAnsi="Times New Roman" w:eastAsia="宋体" w:cs="Times New Roman"/>
          <w:b w:val="0"/>
          <w:bCs/>
          <w:color w:val="000000"/>
          <w:sz w:val="28"/>
          <w:szCs w:val="28"/>
        </w:rPr>
        <w:t>：</w:t>
      </w:r>
    </w:p>
    <w:p w14:paraId="6AF7F583">
      <w:pPr>
        <w:spacing w:line="480" w:lineRule="auto"/>
        <w:ind w:firstLine="560" w:firstLineChars="200"/>
        <w:rPr>
          <w:rFonts w:hint="default" w:ascii="Times New Roman" w:hAnsi="Times New Roman" w:cs="Times New Roman"/>
          <w:color w:val="000000"/>
          <w:sz w:val="28"/>
          <w:szCs w:val="28"/>
          <w:lang w:val="en-US" w:eastAsia="zh-CN"/>
        </w:rPr>
      </w:pPr>
      <w:r>
        <w:rPr>
          <w:rFonts w:hint="default" w:ascii="Times New Roman" w:hAnsi="Times New Roman" w:cs="Times New Roman"/>
          <w:color w:val="000000"/>
          <w:sz w:val="28"/>
          <w:szCs w:val="28"/>
          <w:lang w:val="en-US" w:eastAsia="zh-CN"/>
        </w:rPr>
        <w:t>根据《中华人民共和国环境影响评价法》的要求，“民用燃气和工业丙烷以及新型高性能切割气体生产项目”需进行环境影响评价，现委托贵单位承担该项目的环境影响评价工作，编制该项目环境影响报告表。</w:t>
      </w:r>
    </w:p>
    <w:p w14:paraId="5F32272E">
      <w:pPr>
        <w:spacing w:line="480" w:lineRule="auto"/>
        <w:ind w:firstLine="560" w:firstLineChars="200"/>
        <w:rPr>
          <w:rFonts w:hint="default" w:ascii="Times New Roman" w:hAnsi="Times New Roman" w:eastAsia="宋体" w:cs="Times New Roman"/>
          <w:color w:val="000000"/>
          <w:sz w:val="28"/>
          <w:szCs w:val="28"/>
          <w:lang w:val="en-US" w:eastAsia="zh-CN"/>
        </w:rPr>
      </w:pPr>
      <w:r>
        <w:rPr>
          <w:rFonts w:hint="default" w:ascii="Times New Roman" w:hAnsi="Times New Roman" w:cs="Times New Roman"/>
          <w:color w:val="000000"/>
          <w:sz w:val="28"/>
          <w:szCs w:val="28"/>
          <w:lang w:val="en-US" w:eastAsia="zh-CN"/>
        </w:rPr>
        <w:t xml:space="preserve">特此委托，请尽快开展工作为盼。 </w:t>
      </w:r>
    </w:p>
    <w:p w14:paraId="392AB309">
      <w:pPr>
        <w:spacing w:line="480" w:lineRule="auto"/>
        <w:ind w:firstLine="560" w:firstLineChars="200"/>
        <w:rPr>
          <w:rFonts w:hint="default" w:ascii="Times New Roman" w:hAnsi="Times New Roman" w:cs="Times New Roman"/>
          <w:color w:val="000000"/>
          <w:sz w:val="28"/>
          <w:szCs w:val="28"/>
        </w:rPr>
      </w:pPr>
    </w:p>
    <w:p w14:paraId="6941B409">
      <w:pPr>
        <w:spacing w:line="480" w:lineRule="auto"/>
        <w:ind w:firstLine="560" w:firstLineChars="200"/>
        <w:jc w:val="right"/>
        <w:rPr>
          <w:rFonts w:hint="default" w:ascii="Times New Roman" w:hAnsi="Times New Roman" w:cs="Times New Roman"/>
          <w:color w:val="000000"/>
          <w:sz w:val="28"/>
          <w:szCs w:val="28"/>
        </w:rPr>
      </w:pPr>
    </w:p>
    <w:p w14:paraId="443F7743">
      <w:pPr>
        <w:spacing w:line="480" w:lineRule="auto"/>
        <w:ind w:firstLine="560" w:firstLineChars="200"/>
        <w:jc w:val="right"/>
        <w:rPr>
          <w:rFonts w:hint="default" w:ascii="Times New Roman" w:hAnsi="Times New Roman" w:cs="Times New Roman"/>
          <w:b w:val="0"/>
          <w:bCs w:val="0"/>
          <w:color w:val="000000"/>
          <w:sz w:val="28"/>
          <w:szCs w:val="28"/>
        </w:rPr>
      </w:pPr>
    </w:p>
    <w:p w14:paraId="45CFD67B">
      <w:pPr>
        <w:spacing w:line="480" w:lineRule="auto"/>
        <w:ind w:firstLine="560" w:firstLineChars="200"/>
        <w:jc w:val="right"/>
        <w:rPr>
          <w:rFonts w:hint="default" w:ascii="Times New Roman" w:hAnsi="Times New Roman" w:cs="Times New Roman"/>
          <w:b w:val="0"/>
          <w:bCs w:val="0"/>
          <w:color w:val="000000"/>
          <w:sz w:val="28"/>
          <w:szCs w:val="28"/>
        </w:rPr>
      </w:pPr>
    </w:p>
    <w:p w14:paraId="3B7F3DAF">
      <w:pPr>
        <w:spacing w:line="480" w:lineRule="auto"/>
        <w:ind w:firstLine="560" w:firstLineChars="200"/>
        <w:jc w:val="right"/>
        <w:rPr>
          <w:rFonts w:hint="default" w:ascii="Times New Roman" w:hAnsi="Times New Roman" w:cs="Times New Roman"/>
          <w:b w:val="0"/>
          <w:bCs w:val="0"/>
          <w:color w:val="000000"/>
          <w:sz w:val="28"/>
          <w:szCs w:val="28"/>
        </w:rPr>
      </w:pPr>
      <w:r>
        <w:rPr>
          <w:rFonts w:hint="default" w:ascii="Times New Roman" w:hAnsi="Times New Roman" w:cs="Times New Roman"/>
          <w:b w:val="0"/>
          <w:bCs w:val="0"/>
          <w:color w:val="000000"/>
          <w:sz w:val="28"/>
          <w:szCs w:val="28"/>
        </w:rPr>
        <w:t>内蒙古东方神气科技有限责任公司</w:t>
      </w:r>
    </w:p>
    <w:p w14:paraId="1EB893D9">
      <w:pPr>
        <w:spacing w:line="480" w:lineRule="auto"/>
        <w:ind w:firstLine="560" w:firstLineChars="200"/>
        <w:jc w:val="right"/>
        <w:rPr>
          <w:rFonts w:hint="default" w:ascii="Times New Roman" w:hAnsi="Times New Roman" w:eastAsia="宋体" w:cs="Times New Roman"/>
          <w:b w:val="0"/>
          <w:bCs w:val="0"/>
          <w:sz w:val="28"/>
          <w:szCs w:val="28"/>
          <w:lang w:val="en-US" w:eastAsia="zh-CN"/>
        </w:rPr>
      </w:pPr>
      <w:r>
        <w:rPr>
          <w:rFonts w:hint="default" w:ascii="Times New Roman" w:hAnsi="Times New Roman" w:cs="Times New Roman"/>
          <w:b w:val="0"/>
          <w:bCs w:val="0"/>
          <w:sz w:val="28"/>
          <w:szCs w:val="28"/>
          <w:lang w:val="en-US" w:eastAsia="zh-CN"/>
        </w:rPr>
        <w:t xml:space="preserve">                             </w:t>
      </w:r>
      <w:r>
        <w:rPr>
          <w:rFonts w:hint="default" w:ascii="Times New Roman" w:hAnsi="Times New Roman" w:cs="Times New Roman"/>
          <w:b w:val="0"/>
          <w:bCs w:val="0"/>
          <w:sz w:val="28"/>
          <w:szCs w:val="28"/>
        </w:rPr>
        <w:t>20</w:t>
      </w:r>
      <w:r>
        <w:rPr>
          <w:rFonts w:hint="default" w:ascii="Times New Roman" w:hAnsi="Times New Roman" w:cs="Times New Roman"/>
          <w:b w:val="0"/>
          <w:bCs w:val="0"/>
          <w:sz w:val="28"/>
          <w:szCs w:val="28"/>
          <w:lang w:val="en-US" w:eastAsia="zh-CN"/>
        </w:rPr>
        <w:t>25</w:t>
      </w:r>
      <w:r>
        <w:rPr>
          <w:rFonts w:hint="default" w:ascii="Times New Roman" w:hAnsi="Times New Roman" w:cs="Times New Roman"/>
          <w:b w:val="0"/>
          <w:bCs w:val="0"/>
          <w:sz w:val="28"/>
          <w:szCs w:val="28"/>
        </w:rPr>
        <w:t>年</w:t>
      </w:r>
      <w:r>
        <w:rPr>
          <w:rFonts w:hint="default" w:ascii="Times New Roman" w:hAnsi="Times New Roman" w:cs="Times New Roman"/>
          <w:b w:val="0"/>
          <w:bCs w:val="0"/>
          <w:sz w:val="28"/>
          <w:szCs w:val="28"/>
          <w:lang w:val="en-US" w:eastAsia="zh-CN"/>
        </w:rPr>
        <w:t>8</w:t>
      </w:r>
      <w:r>
        <w:rPr>
          <w:rFonts w:hint="default" w:ascii="Times New Roman" w:hAnsi="Times New Roman" w:cs="Times New Roman"/>
          <w:b w:val="0"/>
          <w:bCs w:val="0"/>
          <w:sz w:val="28"/>
          <w:szCs w:val="28"/>
        </w:rPr>
        <w:t>月</w:t>
      </w:r>
      <w:r>
        <w:rPr>
          <w:rFonts w:hint="default" w:ascii="Times New Roman" w:hAnsi="Times New Roman" w:cs="Times New Roman"/>
          <w:b w:val="0"/>
          <w:bCs w:val="0"/>
          <w:sz w:val="28"/>
          <w:szCs w:val="28"/>
          <w:lang w:val="en-US" w:eastAsia="zh-CN"/>
        </w:rPr>
        <w:t>18日</w:t>
      </w:r>
    </w:p>
    <w:p w14:paraId="616DE2FE">
      <w:pPr>
        <w:rPr>
          <w:rFonts w:hint="default" w:ascii="Times New Roman" w:hAnsi="Times New Roman" w:eastAsia="宋体" w:cs="Times New Roman"/>
          <w:lang w:val="en-US" w:eastAsia="zh-CN"/>
        </w:rPr>
      </w:pPr>
    </w:p>
    <w:p w14:paraId="5CA91D8C">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sectPr>
          <w:footerReference r:id="rId18"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numberInDash" w:start="1"/>
          <w:cols w:space="720" w:num="1"/>
          <w:docGrid w:type="lines" w:linePitch="312" w:charSpace="0"/>
        </w:sectPr>
      </w:pPr>
    </w:p>
    <w:p w14:paraId="29619B9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lang w:val="en-US" w:eastAsia="zh-CN"/>
        </w:rPr>
      </w:pPr>
      <w:r>
        <w:rPr>
          <w:rFonts w:hint="default" w:ascii="Times New Roman" w:hAnsi="Times New Roman" w:cs="Times New Roman"/>
          <w:b/>
          <w:bCs/>
          <w:sz w:val="24"/>
          <w:szCs w:val="24"/>
          <w:lang w:val="en-US" w:eastAsia="zh-CN"/>
        </w:rPr>
        <w:t>附件2 备案告知书</w:t>
      </w:r>
      <w:r>
        <w:rPr>
          <w:rFonts w:hint="default" w:ascii="Times New Roman" w:hAnsi="Times New Roman" w:cs="Times New Roman"/>
          <w:lang w:val="en-US" w:eastAsia="zh-CN"/>
        </w:rPr>
        <w:t xml:space="preserve"> </w:t>
      </w:r>
    </w:p>
    <w:p w14:paraId="3ACEBACD">
      <w:pPr>
        <w:pStyle w:val="31"/>
        <w:ind w:left="0" w:leftChars="0" w:firstLine="0" w:firstLineChars="0"/>
        <w:jc w:val="center"/>
        <w:rPr>
          <w:rFonts w:hint="default" w:ascii="Times New Roman" w:hAnsi="Times New Roman" w:cs="Times New Roman"/>
          <w:lang w:val="en-US" w:eastAsia="zh-CN"/>
        </w:rPr>
        <w:sectPr>
          <w:footerReference r:id="rId19"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numberInDash"/>
          <w:cols w:space="720" w:num="1"/>
          <w:docGrid w:type="lines" w:linePitch="312" w:charSpace="0"/>
        </w:sectPr>
      </w:pPr>
      <w:r>
        <w:rPr>
          <w:rFonts w:hint="default" w:ascii="Times New Roman" w:hAnsi="Times New Roman" w:cs="Times New Roman"/>
          <w:lang w:val="en-US" w:eastAsia="zh-CN"/>
        </w:rPr>
        <w:drawing>
          <wp:inline distT="0" distB="0" distL="114300" distR="114300">
            <wp:extent cx="5029200" cy="7124700"/>
            <wp:effectExtent l="0" t="0" r="0" b="0"/>
            <wp:docPr id="58" name="图片 58" descr="21b7b973-c42e-46f2-9ad5-9ec04923c7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1b7b973-c42e-46f2-9ad5-9ec04923c7db"/>
                    <pic:cNvPicPr>
                      <a:picLocks noChangeAspect="1"/>
                    </pic:cNvPicPr>
                  </pic:nvPicPr>
                  <pic:blipFill>
                    <a:blip r:embed="rId82"/>
                    <a:stretch>
                      <a:fillRect/>
                    </a:stretch>
                  </pic:blipFill>
                  <pic:spPr>
                    <a:xfrm>
                      <a:off x="0" y="0"/>
                      <a:ext cx="5029200" cy="7124700"/>
                    </a:xfrm>
                    <a:prstGeom prst="rect">
                      <a:avLst/>
                    </a:prstGeom>
                  </pic:spPr>
                </pic:pic>
              </a:graphicData>
            </a:graphic>
          </wp:inline>
        </w:drawing>
      </w:r>
    </w:p>
    <w:p w14:paraId="1F5DF01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附件3 入园协议</w:t>
      </w:r>
    </w:p>
    <w:p w14:paraId="55DDBDEE">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4"/>
          <w:lang w:val="en-US" w:eastAsia="zh-CN" w:bidi="ar-SA"/>
        </w:rPr>
      </w:pPr>
    </w:p>
    <w:p w14:paraId="4918827E">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4"/>
          <w:lang w:val="en-US" w:eastAsia="zh-CN" w:bidi="ar-SA"/>
        </w:rPr>
        <w:sectPr>
          <w:pgSz w:w="11906" w:h="16838"/>
          <w:pgMar w:top="1440" w:right="1576" w:bottom="1440" w:left="1576" w:header="851" w:footer="850" w:gutter="0"/>
          <w:pgBorders w:offsetFrom="page">
            <w:top w:val="none" w:sz="0" w:space="0"/>
            <w:left w:val="none" w:sz="0" w:space="0"/>
            <w:bottom w:val="none" w:sz="0" w:space="0"/>
            <w:right w:val="none" w:sz="0" w:space="0"/>
          </w:pgBorders>
          <w:pgNumType w:fmt="numberInDash"/>
          <w:cols w:space="720" w:num="1"/>
          <w:rtlGutter w:val="0"/>
          <w:docGrid w:linePitch="312" w:charSpace="0"/>
        </w:sectPr>
      </w:pPr>
      <w:r>
        <w:rPr>
          <w:rFonts w:hint="default" w:ascii="Times New Roman" w:hAnsi="Times New Roman" w:cs="Times New Roman"/>
          <w:color w:val="auto"/>
          <w:sz w:val="24"/>
          <w:lang w:val="en-US" w:eastAsia="zh-CN" w:bidi="ar-SA"/>
        </w:rPr>
        <w:drawing>
          <wp:inline distT="0" distB="0" distL="114300" distR="114300">
            <wp:extent cx="5554980" cy="7859395"/>
            <wp:effectExtent l="0" t="0" r="7620" b="8255"/>
            <wp:docPr id="27" name="图片 27" descr="入园协议书（新）盖章版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入园协议书（新）盖章版_页面_1"/>
                    <pic:cNvPicPr>
                      <a:picLocks noChangeAspect="1"/>
                    </pic:cNvPicPr>
                  </pic:nvPicPr>
                  <pic:blipFill>
                    <a:blip r:embed="rId83"/>
                    <a:stretch>
                      <a:fillRect/>
                    </a:stretch>
                  </pic:blipFill>
                  <pic:spPr>
                    <a:xfrm>
                      <a:off x="0" y="0"/>
                      <a:ext cx="5554980" cy="7859395"/>
                    </a:xfrm>
                    <a:prstGeom prst="rect">
                      <a:avLst/>
                    </a:prstGeom>
                  </pic:spPr>
                </pic:pic>
              </a:graphicData>
            </a:graphic>
          </wp:inline>
        </w:drawing>
      </w:r>
      <w:r>
        <w:rPr>
          <w:rFonts w:hint="default" w:ascii="Times New Roman" w:hAnsi="Times New Roman" w:cs="Times New Roman"/>
          <w:color w:val="auto"/>
          <w:sz w:val="24"/>
          <w:lang w:val="en-US" w:eastAsia="zh-CN" w:bidi="ar-SA"/>
        </w:rPr>
        <w:drawing>
          <wp:inline distT="0" distB="0" distL="114300" distR="114300">
            <wp:extent cx="5554345" cy="7859395"/>
            <wp:effectExtent l="0" t="0" r="8255" b="8255"/>
            <wp:docPr id="26" name="图片 26" descr="入园协议书（新）盖章版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入园协议书（新）盖章版_页面_2"/>
                    <pic:cNvPicPr>
                      <a:picLocks noChangeAspect="1"/>
                    </pic:cNvPicPr>
                  </pic:nvPicPr>
                  <pic:blipFill>
                    <a:blip r:embed="rId84"/>
                    <a:stretch>
                      <a:fillRect/>
                    </a:stretch>
                  </pic:blipFill>
                  <pic:spPr>
                    <a:xfrm>
                      <a:off x="0" y="0"/>
                      <a:ext cx="5554345" cy="7859395"/>
                    </a:xfrm>
                    <a:prstGeom prst="rect">
                      <a:avLst/>
                    </a:prstGeom>
                  </pic:spPr>
                </pic:pic>
              </a:graphicData>
            </a:graphic>
          </wp:inline>
        </w:drawing>
      </w:r>
      <w:r>
        <w:rPr>
          <w:rFonts w:hint="default" w:ascii="Times New Roman" w:hAnsi="Times New Roman" w:cs="Times New Roman"/>
          <w:color w:val="auto"/>
          <w:sz w:val="24"/>
          <w:lang w:val="en-US" w:eastAsia="zh-CN" w:bidi="ar-SA"/>
        </w:rPr>
        <w:drawing>
          <wp:inline distT="0" distB="0" distL="114300" distR="114300">
            <wp:extent cx="5555615" cy="7861300"/>
            <wp:effectExtent l="0" t="0" r="6985" b="6350"/>
            <wp:docPr id="25" name="图片 25" descr="入园协议书（新）盖章版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入园协议书（新）盖章版_页面_3"/>
                    <pic:cNvPicPr>
                      <a:picLocks noChangeAspect="1"/>
                    </pic:cNvPicPr>
                  </pic:nvPicPr>
                  <pic:blipFill>
                    <a:blip r:embed="rId85"/>
                    <a:stretch>
                      <a:fillRect/>
                    </a:stretch>
                  </pic:blipFill>
                  <pic:spPr>
                    <a:xfrm>
                      <a:off x="0" y="0"/>
                      <a:ext cx="5555615" cy="7861300"/>
                    </a:xfrm>
                    <a:prstGeom prst="rect">
                      <a:avLst/>
                    </a:prstGeom>
                  </pic:spPr>
                </pic:pic>
              </a:graphicData>
            </a:graphic>
          </wp:inline>
        </w:drawing>
      </w:r>
      <w:r>
        <w:rPr>
          <w:rFonts w:hint="default" w:ascii="Times New Roman" w:hAnsi="Times New Roman" w:cs="Times New Roman"/>
          <w:color w:val="auto"/>
          <w:sz w:val="24"/>
          <w:lang w:val="en-US" w:eastAsia="zh-CN" w:bidi="ar-SA"/>
        </w:rPr>
        <w:drawing>
          <wp:inline distT="0" distB="0" distL="114300" distR="114300">
            <wp:extent cx="5554345" cy="7859395"/>
            <wp:effectExtent l="0" t="0" r="8255" b="8255"/>
            <wp:docPr id="24" name="图片 24" descr="入园协议书（新）盖章版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入园协议书（新）盖章版_页面_4"/>
                    <pic:cNvPicPr>
                      <a:picLocks noChangeAspect="1"/>
                    </pic:cNvPicPr>
                  </pic:nvPicPr>
                  <pic:blipFill>
                    <a:blip r:embed="rId86"/>
                    <a:stretch>
                      <a:fillRect/>
                    </a:stretch>
                  </pic:blipFill>
                  <pic:spPr>
                    <a:xfrm>
                      <a:off x="0" y="0"/>
                      <a:ext cx="5554345" cy="7859395"/>
                    </a:xfrm>
                    <a:prstGeom prst="rect">
                      <a:avLst/>
                    </a:prstGeom>
                  </pic:spPr>
                </pic:pic>
              </a:graphicData>
            </a:graphic>
          </wp:inline>
        </w:drawing>
      </w:r>
      <w:r>
        <w:rPr>
          <w:rFonts w:hint="default" w:ascii="Times New Roman" w:hAnsi="Times New Roman" w:cs="Times New Roman"/>
          <w:color w:val="auto"/>
          <w:sz w:val="24"/>
          <w:lang w:val="en-US" w:eastAsia="zh-CN" w:bidi="ar-SA"/>
        </w:rPr>
        <w:drawing>
          <wp:inline distT="0" distB="0" distL="114300" distR="114300">
            <wp:extent cx="5554345" cy="7859395"/>
            <wp:effectExtent l="0" t="0" r="8255" b="8255"/>
            <wp:docPr id="17" name="图片 17" descr="入园协议书（新）盖章版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入园协议书（新）盖章版_页面_5"/>
                    <pic:cNvPicPr>
                      <a:picLocks noChangeAspect="1"/>
                    </pic:cNvPicPr>
                  </pic:nvPicPr>
                  <pic:blipFill>
                    <a:blip r:embed="rId87"/>
                    <a:stretch>
                      <a:fillRect/>
                    </a:stretch>
                  </pic:blipFill>
                  <pic:spPr>
                    <a:xfrm>
                      <a:off x="0" y="0"/>
                      <a:ext cx="5554345" cy="7859395"/>
                    </a:xfrm>
                    <a:prstGeom prst="rect">
                      <a:avLst/>
                    </a:prstGeom>
                  </pic:spPr>
                </pic:pic>
              </a:graphicData>
            </a:graphic>
          </wp:inline>
        </w:drawing>
      </w:r>
      <w:r>
        <w:rPr>
          <w:rFonts w:hint="default" w:ascii="Times New Roman" w:hAnsi="Times New Roman" w:cs="Times New Roman"/>
          <w:color w:val="auto"/>
          <w:sz w:val="24"/>
          <w:lang w:val="en-US" w:eastAsia="zh-CN" w:bidi="ar-SA"/>
        </w:rPr>
        <w:drawing>
          <wp:inline distT="0" distB="0" distL="114300" distR="114300">
            <wp:extent cx="5554345" cy="7859395"/>
            <wp:effectExtent l="0" t="0" r="8255" b="8255"/>
            <wp:docPr id="15" name="图片 15" descr="入园协议书（新）盖章版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入园协议书（新）盖章版_页面_6"/>
                    <pic:cNvPicPr>
                      <a:picLocks noChangeAspect="1"/>
                    </pic:cNvPicPr>
                  </pic:nvPicPr>
                  <pic:blipFill>
                    <a:blip r:embed="rId88"/>
                    <a:stretch>
                      <a:fillRect/>
                    </a:stretch>
                  </pic:blipFill>
                  <pic:spPr>
                    <a:xfrm>
                      <a:off x="0" y="0"/>
                      <a:ext cx="5554345" cy="7859395"/>
                    </a:xfrm>
                    <a:prstGeom prst="rect">
                      <a:avLst/>
                    </a:prstGeom>
                  </pic:spPr>
                </pic:pic>
              </a:graphicData>
            </a:graphic>
          </wp:inline>
        </w:drawing>
      </w:r>
      <w:r>
        <w:rPr>
          <w:rFonts w:hint="default" w:ascii="Times New Roman" w:hAnsi="Times New Roman" w:cs="Times New Roman"/>
          <w:color w:val="auto"/>
          <w:sz w:val="24"/>
          <w:lang w:val="en-US" w:eastAsia="zh-CN" w:bidi="ar-SA"/>
        </w:rPr>
        <w:drawing>
          <wp:inline distT="0" distB="0" distL="114300" distR="114300">
            <wp:extent cx="5554345" cy="7859395"/>
            <wp:effectExtent l="0" t="0" r="8255" b="8255"/>
            <wp:docPr id="13" name="图片 13" descr="入园协议书（新）盖章版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入园协议书（新）盖章版_页面_7"/>
                    <pic:cNvPicPr>
                      <a:picLocks noChangeAspect="1"/>
                    </pic:cNvPicPr>
                  </pic:nvPicPr>
                  <pic:blipFill>
                    <a:blip r:embed="rId89"/>
                    <a:stretch>
                      <a:fillRect/>
                    </a:stretch>
                  </pic:blipFill>
                  <pic:spPr>
                    <a:xfrm>
                      <a:off x="0" y="0"/>
                      <a:ext cx="5554345" cy="7859395"/>
                    </a:xfrm>
                    <a:prstGeom prst="rect">
                      <a:avLst/>
                    </a:prstGeom>
                  </pic:spPr>
                </pic:pic>
              </a:graphicData>
            </a:graphic>
          </wp:inline>
        </w:drawing>
      </w:r>
    </w:p>
    <w:p w14:paraId="21204EE3">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lang w:val="en-US" w:eastAsia="zh-CN"/>
        </w:rPr>
      </w:pPr>
      <w:r>
        <w:rPr>
          <w:rFonts w:hint="default" w:ascii="Times New Roman" w:hAnsi="Times New Roman" w:cs="Times New Roman"/>
          <w:b/>
          <w:bCs/>
          <w:sz w:val="24"/>
          <w:szCs w:val="24"/>
          <w:lang w:val="en-US" w:eastAsia="zh-CN"/>
        </w:rPr>
        <w:t>附件4 园区规划环评审查意见</w:t>
      </w:r>
      <w:r>
        <w:rPr>
          <w:rFonts w:hint="default" w:ascii="Times New Roman" w:hAnsi="Times New Roman" w:cs="Times New Roman"/>
          <w:lang w:val="en-US" w:eastAsia="zh-CN"/>
        </w:rPr>
        <w:drawing>
          <wp:inline distT="0" distB="0" distL="114300" distR="114300">
            <wp:extent cx="5765165" cy="8152765"/>
            <wp:effectExtent l="0" t="0" r="6985" b="635"/>
            <wp:docPr id="46" name="图片 46" descr="九原工业园区规划环评2023年审查意见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九原工业园区规划环评2023年审查意见_页面_1"/>
                    <pic:cNvPicPr>
                      <a:picLocks noChangeAspect="1"/>
                    </pic:cNvPicPr>
                  </pic:nvPicPr>
                  <pic:blipFill>
                    <a:blip r:embed="rId90"/>
                    <a:stretch>
                      <a:fillRect/>
                    </a:stretch>
                  </pic:blipFill>
                  <pic:spPr>
                    <a:xfrm>
                      <a:off x="0" y="0"/>
                      <a:ext cx="5765165" cy="8152765"/>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691505" cy="8048625"/>
            <wp:effectExtent l="0" t="0" r="4445" b="9525"/>
            <wp:docPr id="47" name="图片 47" descr="九原工业园区规划环评2023年审查意见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九原工业园区规划环评2023年审查意见_页面_2"/>
                    <pic:cNvPicPr>
                      <a:picLocks noChangeAspect="1"/>
                    </pic:cNvPicPr>
                  </pic:nvPicPr>
                  <pic:blipFill>
                    <a:blip r:embed="rId91"/>
                    <a:stretch>
                      <a:fillRect/>
                    </a:stretch>
                  </pic:blipFill>
                  <pic:spPr>
                    <a:xfrm>
                      <a:off x="0" y="0"/>
                      <a:ext cx="5691505" cy="8048625"/>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588635" cy="7902575"/>
            <wp:effectExtent l="0" t="0" r="12065" b="3175"/>
            <wp:docPr id="48" name="图片 48" descr="九原工业园区规划环评2023年审查意见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九原工业园区规划环评2023年审查意见_页面_3"/>
                    <pic:cNvPicPr>
                      <a:picLocks noChangeAspect="1"/>
                    </pic:cNvPicPr>
                  </pic:nvPicPr>
                  <pic:blipFill>
                    <a:blip r:embed="rId92"/>
                    <a:stretch>
                      <a:fillRect/>
                    </a:stretch>
                  </pic:blipFill>
                  <pic:spPr>
                    <a:xfrm>
                      <a:off x="0" y="0"/>
                      <a:ext cx="5588635" cy="7902575"/>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841365" cy="8260715"/>
            <wp:effectExtent l="0" t="0" r="6985" b="6985"/>
            <wp:docPr id="49" name="图片 49" descr="九原工业园区规划环评2023年审查意见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九原工业园区规划环评2023年审查意见_页面_4"/>
                    <pic:cNvPicPr>
                      <a:picLocks noChangeAspect="1"/>
                    </pic:cNvPicPr>
                  </pic:nvPicPr>
                  <pic:blipFill>
                    <a:blip r:embed="rId93"/>
                    <a:stretch>
                      <a:fillRect/>
                    </a:stretch>
                  </pic:blipFill>
                  <pic:spPr>
                    <a:xfrm>
                      <a:off x="0" y="0"/>
                      <a:ext cx="5841365" cy="8260715"/>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667375" cy="8013700"/>
            <wp:effectExtent l="0" t="0" r="9525" b="6350"/>
            <wp:docPr id="50" name="图片 50" descr="九原工业园区规划环评2023年审查意见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九原工业园区规划环评2023年审查意见_页面_5"/>
                    <pic:cNvPicPr>
                      <a:picLocks noChangeAspect="1"/>
                    </pic:cNvPicPr>
                  </pic:nvPicPr>
                  <pic:blipFill>
                    <a:blip r:embed="rId94"/>
                    <a:stretch>
                      <a:fillRect/>
                    </a:stretch>
                  </pic:blipFill>
                  <pic:spPr>
                    <a:xfrm>
                      <a:off x="0" y="0"/>
                      <a:ext cx="5667375" cy="8013700"/>
                    </a:xfrm>
                    <a:prstGeom prst="rect">
                      <a:avLst/>
                    </a:prstGeom>
                  </pic:spPr>
                </pic:pic>
              </a:graphicData>
            </a:graphic>
          </wp:inline>
        </w:drawing>
      </w:r>
      <w:r>
        <w:rPr>
          <w:rFonts w:hint="default" w:ascii="Times New Roman" w:hAnsi="Times New Roman" w:cs="Times New Roman"/>
          <w:lang w:val="en-US" w:eastAsia="zh-CN"/>
        </w:rPr>
        <w:drawing>
          <wp:inline distT="0" distB="0" distL="114300" distR="114300">
            <wp:extent cx="5616575" cy="7942580"/>
            <wp:effectExtent l="0" t="0" r="3175" b="1270"/>
            <wp:docPr id="51" name="图片 51" descr="九原工业园区规划环评2023年审查意见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九原工业园区规划环评2023年审查意见_页面_6"/>
                    <pic:cNvPicPr>
                      <a:picLocks noChangeAspect="1"/>
                    </pic:cNvPicPr>
                  </pic:nvPicPr>
                  <pic:blipFill>
                    <a:blip r:embed="rId95"/>
                    <a:stretch>
                      <a:fillRect/>
                    </a:stretch>
                  </pic:blipFill>
                  <pic:spPr>
                    <a:xfrm>
                      <a:off x="0" y="0"/>
                      <a:ext cx="5616575" cy="7942580"/>
                    </a:xfrm>
                    <a:prstGeom prst="rect">
                      <a:avLst/>
                    </a:prstGeom>
                  </pic:spPr>
                </pic:pic>
              </a:graphicData>
            </a:graphic>
          </wp:inline>
        </w:drawing>
      </w:r>
    </w:p>
    <w:p w14:paraId="50E788DF">
      <w:pPr>
        <w:pStyle w:val="15"/>
        <w:rPr>
          <w:rFonts w:hint="default" w:ascii="Times New Roman" w:hAnsi="Times New Roman" w:cs="Times New Roman"/>
          <w:lang w:val="en-US" w:eastAsia="zh-CN"/>
        </w:rPr>
      </w:pPr>
    </w:p>
    <w:p w14:paraId="64C2DD6C">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sectPr>
          <w:pgSz w:w="11906" w:h="16838"/>
          <w:pgMar w:top="1440" w:right="1576" w:bottom="1440" w:left="1576" w:header="851" w:footer="850" w:gutter="0"/>
          <w:pgBorders w:offsetFrom="page">
            <w:top w:val="none" w:sz="0" w:space="0"/>
            <w:left w:val="none" w:sz="0" w:space="0"/>
            <w:bottom w:val="none" w:sz="0" w:space="0"/>
            <w:right w:val="none" w:sz="0" w:space="0"/>
          </w:pgBorders>
          <w:pgNumType w:fmt="numberInDash"/>
          <w:cols w:space="720" w:num="1"/>
          <w:rtlGutter w:val="0"/>
          <w:docGrid w:linePitch="312" w:charSpace="0"/>
        </w:sectPr>
      </w:pPr>
    </w:p>
    <w:p w14:paraId="14CAB506">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附件5 气瓶报告环评批复</w:t>
      </w:r>
    </w:p>
    <w:p w14:paraId="04CA30C8">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5551805" cy="7877175"/>
            <wp:effectExtent l="0" t="0" r="10795" b="9525"/>
            <wp:docPr id="34" name="图片 34" descr="批复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批复_页面_1"/>
                    <pic:cNvPicPr>
                      <a:picLocks noChangeAspect="1"/>
                    </pic:cNvPicPr>
                  </pic:nvPicPr>
                  <pic:blipFill>
                    <a:blip r:embed="rId96"/>
                    <a:stretch>
                      <a:fillRect/>
                    </a:stretch>
                  </pic:blipFill>
                  <pic:spPr>
                    <a:xfrm>
                      <a:off x="0" y="0"/>
                      <a:ext cx="5551805" cy="7877175"/>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5555615" cy="7861300"/>
            <wp:effectExtent l="0" t="0" r="6985" b="6350"/>
            <wp:docPr id="33" name="图片 33" descr="批复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批复_页面_2"/>
                    <pic:cNvPicPr>
                      <a:picLocks noChangeAspect="1"/>
                    </pic:cNvPicPr>
                  </pic:nvPicPr>
                  <pic:blipFill>
                    <a:blip r:embed="rId97"/>
                    <a:stretch>
                      <a:fillRect/>
                    </a:stretch>
                  </pic:blipFill>
                  <pic:spPr>
                    <a:xfrm>
                      <a:off x="0" y="0"/>
                      <a:ext cx="5555615" cy="786130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5555615" cy="7861300"/>
            <wp:effectExtent l="0" t="0" r="6985" b="6350"/>
            <wp:docPr id="32" name="图片 32" descr="批复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批复_页面_3"/>
                    <pic:cNvPicPr>
                      <a:picLocks noChangeAspect="1"/>
                    </pic:cNvPicPr>
                  </pic:nvPicPr>
                  <pic:blipFill>
                    <a:blip r:embed="rId98"/>
                    <a:stretch>
                      <a:fillRect/>
                    </a:stretch>
                  </pic:blipFill>
                  <pic:spPr>
                    <a:xfrm>
                      <a:off x="0" y="0"/>
                      <a:ext cx="5555615" cy="786130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5555615" cy="7861300"/>
            <wp:effectExtent l="0" t="0" r="6985" b="6350"/>
            <wp:docPr id="31" name="图片 31" descr="批复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批复_页面_4"/>
                    <pic:cNvPicPr>
                      <a:picLocks noChangeAspect="1"/>
                    </pic:cNvPicPr>
                  </pic:nvPicPr>
                  <pic:blipFill>
                    <a:blip r:embed="rId99"/>
                    <a:stretch>
                      <a:fillRect/>
                    </a:stretch>
                  </pic:blipFill>
                  <pic:spPr>
                    <a:xfrm>
                      <a:off x="0" y="0"/>
                      <a:ext cx="5555615" cy="786130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5551805" cy="7877175"/>
            <wp:effectExtent l="0" t="0" r="10795" b="9525"/>
            <wp:docPr id="30" name="图片 30" descr="批复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批复_页面_5"/>
                    <pic:cNvPicPr>
                      <a:picLocks noChangeAspect="1"/>
                    </pic:cNvPicPr>
                  </pic:nvPicPr>
                  <pic:blipFill>
                    <a:blip r:embed="rId100"/>
                    <a:stretch>
                      <a:fillRect/>
                    </a:stretch>
                  </pic:blipFill>
                  <pic:spPr>
                    <a:xfrm>
                      <a:off x="0" y="0"/>
                      <a:ext cx="5551805" cy="7877175"/>
                    </a:xfrm>
                    <a:prstGeom prst="rect">
                      <a:avLst/>
                    </a:prstGeom>
                  </pic:spPr>
                </pic:pic>
              </a:graphicData>
            </a:graphic>
          </wp:inline>
        </w:drawing>
      </w:r>
    </w:p>
    <w:p w14:paraId="698B1312">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p>
    <w:p w14:paraId="2B83DF16">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p>
    <w:p w14:paraId="017853AE">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p>
    <w:p w14:paraId="462941B3">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p>
    <w:p w14:paraId="0FACB2A9">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p>
    <w:p w14:paraId="6EA95D12">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附件6：包头市安达立气瓶技术开发有限责任公司变更名称为内蒙古东方神气科技有限责任公司的登记通知书</w:t>
      </w:r>
    </w:p>
    <w:p w14:paraId="3F26010D">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highlight w:val="none"/>
          <w:lang w:val="en-US" w:eastAsia="zh-CN"/>
        </w:rPr>
      </w:pPr>
    </w:p>
    <w:p w14:paraId="53DEA322">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drawing>
          <wp:inline distT="0" distB="0" distL="114300" distR="114300">
            <wp:extent cx="5555615" cy="7860030"/>
            <wp:effectExtent l="0" t="0" r="6985" b="7620"/>
            <wp:docPr id="29" name="图片 29" descr="工商变更登记通知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工商变更登记通知书"/>
                    <pic:cNvPicPr>
                      <a:picLocks noChangeAspect="1"/>
                    </pic:cNvPicPr>
                  </pic:nvPicPr>
                  <pic:blipFill>
                    <a:blip r:embed="rId101"/>
                    <a:stretch>
                      <a:fillRect/>
                    </a:stretch>
                  </pic:blipFill>
                  <pic:spPr>
                    <a:xfrm>
                      <a:off x="0" y="0"/>
                      <a:ext cx="5555615" cy="7860030"/>
                    </a:xfrm>
                    <a:prstGeom prst="rect">
                      <a:avLst/>
                    </a:prstGeom>
                  </pic:spPr>
                </pic:pic>
              </a:graphicData>
            </a:graphic>
          </wp:inline>
        </w:drawing>
      </w:r>
    </w:p>
    <w:p w14:paraId="0DB11980">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highlight w:val="none"/>
          <w:lang w:val="en-US" w:eastAsia="zh-CN"/>
        </w:rPr>
      </w:pPr>
    </w:p>
    <w:p w14:paraId="77813BDD">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附件7：占地用地手续的文件</w:t>
      </w:r>
    </w:p>
    <w:p w14:paraId="65388540">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drawing>
          <wp:inline distT="0" distB="0" distL="114300" distR="114300">
            <wp:extent cx="7838440" cy="5175885"/>
            <wp:effectExtent l="0" t="0" r="5715" b="10160"/>
            <wp:docPr id="44" name="图片 19" descr="c13eddd9246dcb077c7ae882b8b5c0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descr="c13eddd9246dcb077c7ae882b8b5c0f5"/>
                    <pic:cNvPicPr>
                      <a:picLocks noChangeAspect="1"/>
                    </pic:cNvPicPr>
                  </pic:nvPicPr>
                  <pic:blipFill>
                    <a:blip r:embed="rId102"/>
                    <a:srcRect b="2290"/>
                    <a:stretch>
                      <a:fillRect/>
                    </a:stretch>
                  </pic:blipFill>
                  <pic:spPr>
                    <a:xfrm rot="-5400000">
                      <a:off x="0" y="0"/>
                      <a:ext cx="7838440" cy="5175885"/>
                    </a:xfrm>
                    <a:prstGeom prst="rect">
                      <a:avLst/>
                    </a:prstGeom>
                    <a:noFill/>
                    <a:ln>
                      <a:noFill/>
                    </a:ln>
                  </pic:spPr>
                </pic:pic>
              </a:graphicData>
            </a:graphic>
          </wp:inline>
        </w:drawing>
      </w:r>
    </w:p>
    <w:p w14:paraId="1B1893BB">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highlight w:val="none"/>
        </w:rPr>
      </w:pPr>
    </w:p>
    <w:p w14:paraId="19DE7CE0">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highlight w:val="none"/>
        </w:rPr>
      </w:pPr>
    </w:p>
    <w:p w14:paraId="08163732">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highlight w:val="none"/>
        </w:rPr>
      </w:pPr>
    </w:p>
    <w:p w14:paraId="1B152CEB">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drawing>
          <wp:inline distT="0" distB="0" distL="114300" distR="114300">
            <wp:extent cx="5556250" cy="7860030"/>
            <wp:effectExtent l="0" t="0" r="6350" b="7620"/>
            <wp:docPr id="80" name="图片 80" descr="17亩不动产登记证书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17亩不动产登记证书_页面_1"/>
                    <pic:cNvPicPr>
                      <a:picLocks noChangeAspect="1"/>
                    </pic:cNvPicPr>
                  </pic:nvPicPr>
                  <pic:blipFill>
                    <a:blip r:embed="rId103"/>
                    <a:stretch>
                      <a:fillRect/>
                    </a:stretch>
                  </pic:blipFill>
                  <pic:spPr>
                    <a:xfrm>
                      <a:off x="0" y="0"/>
                      <a:ext cx="5556250" cy="7860030"/>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5554345" cy="7859395"/>
            <wp:effectExtent l="0" t="0" r="8255" b="8255"/>
            <wp:docPr id="78" name="图片 78" descr="17亩不动产登记证书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17亩不动产登记证书_页面_3"/>
                    <pic:cNvPicPr>
                      <a:picLocks noChangeAspect="1"/>
                    </pic:cNvPicPr>
                  </pic:nvPicPr>
                  <pic:blipFill>
                    <a:blip r:embed="rId104"/>
                    <a:stretch>
                      <a:fillRect/>
                    </a:stretch>
                  </pic:blipFill>
                  <pic:spPr>
                    <a:xfrm>
                      <a:off x="0" y="0"/>
                      <a:ext cx="5554345" cy="7859395"/>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5554345" cy="7860665"/>
            <wp:effectExtent l="0" t="0" r="8255" b="6985"/>
            <wp:docPr id="77" name="图片 77" descr="17亩不动产登记证书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17亩不动产登记证书_页面_4"/>
                    <pic:cNvPicPr>
                      <a:picLocks noChangeAspect="1"/>
                    </pic:cNvPicPr>
                  </pic:nvPicPr>
                  <pic:blipFill>
                    <a:blip r:embed="rId105"/>
                    <a:stretch>
                      <a:fillRect/>
                    </a:stretch>
                  </pic:blipFill>
                  <pic:spPr>
                    <a:xfrm>
                      <a:off x="0" y="0"/>
                      <a:ext cx="5554345" cy="7860665"/>
                    </a:xfrm>
                    <a:prstGeom prst="rect">
                      <a:avLst/>
                    </a:prstGeom>
                  </pic:spPr>
                </pic:pic>
              </a:graphicData>
            </a:graphic>
          </wp:inline>
        </w:drawing>
      </w:r>
      <w:r>
        <w:rPr>
          <w:rFonts w:hint="default" w:ascii="Times New Roman" w:hAnsi="Times New Roman" w:cs="Times New Roman"/>
          <w:b/>
          <w:bCs/>
          <w:sz w:val="24"/>
          <w:szCs w:val="24"/>
          <w:lang w:val="en-US" w:eastAsia="zh-CN"/>
        </w:rPr>
        <w:drawing>
          <wp:inline distT="0" distB="0" distL="114300" distR="114300">
            <wp:extent cx="5554980" cy="7861300"/>
            <wp:effectExtent l="0" t="0" r="7620" b="6350"/>
            <wp:docPr id="76" name="图片 76" descr="17亩不动产登记证书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7亩不动产登记证书_页面_5"/>
                    <pic:cNvPicPr>
                      <a:picLocks noChangeAspect="1"/>
                    </pic:cNvPicPr>
                  </pic:nvPicPr>
                  <pic:blipFill>
                    <a:blip r:embed="rId106"/>
                    <a:stretch>
                      <a:fillRect/>
                    </a:stretch>
                  </pic:blipFill>
                  <pic:spPr>
                    <a:xfrm>
                      <a:off x="0" y="0"/>
                      <a:ext cx="5554980" cy="7861300"/>
                    </a:xfrm>
                    <a:prstGeom prst="rect">
                      <a:avLst/>
                    </a:prstGeom>
                  </pic:spPr>
                </pic:pic>
              </a:graphicData>
            </a:graphic>
          </wp:inline>
        </w:drawing>
      </w:r>
    </w:p>
    <w:p w14:paraId="567BAFE5">
      <w:pPr>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br w:type="page"/>
      </w:r>
    </w:p>
    <w:p w14:paraId="6809FA3F">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附件8：项目建设不占用地面文物的复函</w:t>
      </w:r>
    </w:p>
    <w:p w14:paraId="7C7FCD21">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pPr>
    </w:p>
    <w:p w14:paraId="7DD04558">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sectPr>
          <w:pgSz w:w="11906" w:h="16838"/>
          <w:pgMar w:top="1440" w:right="1576" w:bottom="1440" w:left="1576" w:header="851" w:footer="850" w:gutter="0"/>
          <w:pgBorders w:offsetFrom="page">
            <w:top w:val="none" w:sz="0" w:space="0"/>
            <w:left w:val="none" w:sz="0" w:space="0"/>
            <w:bottom w:val="none" w:sz="0" w:space="0"/>
            <w:right w:val="none" w:sz="0" w:space="0"/>
          </w:pgBorders>
          <w:pgNumType w:fmt="numberInDash"/>
          <w:cols w:space="720" w:num="1"/>
          <w:rtlGutter w:val="0"/>
          <w:docGrid w:linePitch="312" w:charSpace="0"/>
        </w:sectPr>
      </w:pPr>
      <w:r>
        <w:rPr>
          <w:rFonts w:hint="default" w:ascii="Times New Roman" w:hAnsi="Times New Roman" w:cs="Times New Roman"/>
          <w:b/>
          <w:bCs/>
          <w:sz w:val="24"/>
          <w:szCs w:val="24"/>
          <w:lang w:val="en-US" w:eastAsia="zh-CN"/>
        </w:rPr>
        <w:drawing>
          <wp:inline distT="0" distB="0" distL="114300" distR="114300">
            <wp:extent cx="5524500" cy="7848600"/>
            <wp:effectExtent l="0" t="0" r="0" b="0"/>
            <wp:docPr id="41" name="图片 41" descr="f8a3af5a-7ffc-4dfa-826c-1c60b7d327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f8a3af5a-7ffc-4dfa-826c-1c60b7d327dd"/>
                    <pic:cNvPicPr>
                      <a:picLocks noChangeAspect="1"/>
                    </pic:cNvPicPr>
                  </pic:nvPicPr>
                  <pic:blipFill>
                    <a:blip r:embed="rId107"/>
                    <a:stretch>
                      <a:fillRect/>
                    </a:stretch>
                  </pic:blipFill>
                  <pic:spPr>
                    <a:xfrm>
                      <a:off x="0" y="0"/>
                      <a:ext cx="5524500" cy="7848600"/>
                    </a:xfrm>
                    <a:prstGeom prst="rect">
                      <a:avLst/>
                    </a:prstGeom>
                  </pic:spPr>
                </pic:pic>
              </a:graphicData>
            </a:graphic>
          </wp:inline>
        </w:drawing>
      </w:r>
    </w:p>
    <w:p w14:paraId="16FD9164">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24"/>
          <w:szCs w:val="24"/>
          <w:lang w:val="en-US" w:eastAsia="zh-CN"/>
        </w:rPr>
        <w:sectPr>
          <w:pgSz w:w="11906" w:h="16838"/>
          <w:pgMar w:top="1440" w:right="1576" w:bottom="1440" w:left="1576" w:header="851" w:footer="850" w:gutter="0"/>
          <w:pgBorders w:offsetFrom="page">
            <w:top w:val="none" w:sz="0" w:space="0"/>
            <w:left w:val="none" w:sz="0" w:space="0"/>
            <w:bottom w:val="none" w:sz="0" w:space="0"/>
            <w:right w:val="none" w:sz="0" w:space="0"/>
          </w:pgBorders>
          <w:pgNumType w:fmt="numberInDash"/>
          <w:cols w:space="720" w:num="1"/>
          <w:rtlGutter w:val="0"/>
          <w:docGrid w:linePitch="312" w:charSpace="0"/>
        </w:sectPr>
      </w:pPr>
      <w:r>
        <w:rPr>
          <w:rFonts w:hint="default" w:ascii="Times New Roman" w:hAnsi="Times New Roman" w:cs="Times New Roman"/>
          <w:b/>
          <w:bCs/>
          <w:sz w:val="24"/>
          <w:szCs w:val="24"/>
          <w:lang w:val="en-US" w:eastAsia="zh-CN"/>
        </w:rPr>
        <w:drawing>
          <wp:inline distT="0" distB="0" distL="114300" distR="114300">
            <wp:extent cx="5514975" cy="7800975"/>
            <wp:effectExtent l="0" t="0" r="9525" b="9525"/>
            <wp:docPr id="42" name="图片 42" descr="ab93381b-c6db-4678-9f75-53bad9d282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ab93381b-c6db-4678-9f75-53bad9d282cf"/>
                    <pic:cNvPicPr>
                      <a:picLocks noChangeAspect="1"/>
                    </pic:cNvPicPr>
                  </pic:nvPicPr>
                  <pic:blipFill>
                    <a:blip r:embed="rId108"/>
                    <a:stretch>
                      <a:fillRect/>
                    </a:stretch>
                  </pic:blipFill>
                  <pic:spPr>
                    <a:xfrm>
                      <a:off x="0" y="0"/>
                      <a:ext cx="5514975" cy="7800975"/>
                    </a:xfrm>
                    <a:prstGeom prst="rect">
                      <a:avLst/>
                    </a:prstGeom>
                  </pic:spPr>
                </pic:pic>
              </a:graphicData>
            </a:graphic>
          </wp:inline>
        </w:drawing>
      </w:r>
    </w:p>
    <w:p w14:paraId="77BAD404">
      <w:pPr>
        <w:rPr>
          <w:rFonts w:hint="default" w:ascii="Times New Roman" w:hAnsi="Times New Roman" w:cs="Times New Roman"/>
          <w:b/>
          <w:bCs/>
          <w:sz w:val="52"/>
          <w:szCs w:val="52"/>
          <w:lang w:val="en-US" w:eastAsia="zh-CN"/>
        </w:rPr>
      </w:pPr>
      <w:r>
        <w:rPr>
          <w:rFonts w:hint="default" w:ascii="Times New Roman" w:hAnsi="Times New Roman" w:cs="Times New Roman"/>
          <w:b/>
          <w:bCs/>
          <w:sz w:val="52"/>
          <w:szCs w:val="52"/>
          <w:lang w:val="en-US" w:eastAsia="zh-CN"/>
        </w:rPr>
        <w:drawing>
          <wp:inline distT="0" distB="0" distL="114300" distR="114300">
            <wp:extent cx="5557520" cy="7787640"/>
            <wp:effectExtent l="0" t="0" r="5080" b="3810"/>
            <wp:docPr id="37" name="图片 37" descr="1003abeb-3789-4825-a6df-87c8c7fd8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003abeb-3789-4825-a6df-87c8c7fd8454"/>
                    <pic:cNvPicPr>
                      <a:picLocks noChangeAspect="1"/>
                    </pic:cNvPicPr>
                  </pic:nvPicPr>
                  <pic:blipFill>
                    <a:blip r:embed="rId109"/>
                    <a:stretch>
                      <a:fillRect/>
                    </a:stretch>
                  </pic:blipFill>
                  <pic:spPr>
                    <a:xfrm>
                      <a:off x="0" y="0"/>
                      <a:ext cx="5557520" cy="7787640"/>
                    </a:xfrm>
                    <a:prstGeom prst="rect">
                      <a:avLst/>
                    </a:prstGeom>
                  </pic:spPr>
                </pic:pic>
              </a:graphicData>
            </a:graphic>
          </wp:inline>
        </w:drawing>
      </w:r>
      <w:r>
        <w:rPr>
          <w:rFonts w:hint="default" w:ascii="Times New Roman" w:hAnsi="Times New Roman" w:cs="Times New Roman"/>
          <w:b/>
          <w:bCs/>
          <w:sz w:val="52"/>
          <w:szCs w:val="52"/>
          <w:lang w:val="en-US" w:eastAsia="zh-CN"/>
        </w:rPr>
        <w:drawing>
          <wp:inline distT="0" distB="0" distL="114300" distR="114300">
            <wp:extent cx="5552440" cy="7850505"/>
            <wp:effectExtent l="0" t="0" r="10160" b="17145"/>
            <wp:docPr id="43" name="图片 43" descr="88559cce-b807-4353-80c5-0041cca75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8559cce-b807-4353-80c5-0041cca7575c"/>
                    <pic:cNvPicPr>
                      <a:picLocks noChangeAspect="1"/>
                    </pic:cNvPicPr>
                  </pic:nvPicPr>
                  <pic:blipFill>
                    <a:blip r:embed="rId110"/>
                    <a:stretch>
                      <a:fillRect/>
                    </a:stretch>
                  </pic:blipFill>
                  <pic:spPr>
                    <a:xfrm>
                      <a:off x="0" y="0"/>
                      <a:ext cx="5552440" cy="7850505"/>
                    </a:xfrm>
                    <a:prstGeom prst="rect">
                      <a:avLst/>
                    </a:prstGeom>
                  </pic:spPr>
                </pic:pic>
              </a:graphicData>
            </a:graphic>
          </wp:inline>
        </w:drawing>
      </w:r>
    </w:p>
    <w:p w14:paraId="7747F89C">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52"/>
          <w:szCs w:val="52"/>
          <w:lang w:val="en-US" w:eastAsia="zh-CN"/>
        </w:rPr>
      </w:pPr>
    </w:p>
    <w:p w14:paraId="31168076">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b/>
          <w:bCs/>
          <w:sz w:val="52"/>
          <w:szCs w:val="52"/>
          <w:lang w:val="en-US" w:eastAsia="zh-CN"/>
        </w:rPr>
      </w:pPr>
    </w:p>
    <w:p w14:paraId="4E777D4A">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60"/>
          <w:szCs w:val="60"/>
          <w:lang w:val="en-US" w:eastAsia="zh-CN"/>
        </w:rPr>
        <w:sectPr>
          <w:pgSz w:w="11906" w:h="16838"/>
          <w:pgMar w:top="1440" w:right="1576" w:bottom="1440" w:left="1576" w:header="851" w:footer="850" w:gutter="0"/>
          <w:pgBorders w:offsetFrom="page">
            <w:top w:val="none" w:sz="0" w:space="0"/>
            <w:left w:val="none" w:sz="0" w:space="0"/>
            <w:bottom w:val="none" w:sz="0" w:space="0"/>
            <w:right w:val="none" w:sz="0" w:space="0"/>
          </w:pgBorders>
          <w:pgNumType w:fmt="numberInDash"/>
          <w:cols w:space="720" w:num="1"/>
          <w:rtlGutter w:val="0"/>
          <w:docGrid w:linePitch="312" w:charSpace="0"/>
        </w:sectPr>
      </w:pPr>
    </w:p>
    <w:p w14:paraId="35DF336D">
      <w:pPr>
        <w:pStyle w:val="43"/>
        <w:keepNext w:val="0"/>
        <w:keepLines w:val="0"/>
        <w:pageBreakBefore w:val="0"/>
        <w:widowControl w:val="0"/>
        <w:kinsoku/>
        <w:wordWrap w:val="0"/>
        <w:overflowPunct/>
        <w:topLinePunct w:val="0"/>
        <w:autoSpaceDE/>
        <w:autoSpaceDN/>
        <w:bidi w:val="0"/>
        <w:adjustRightInd w:val="0"/>
        <w:snapToGrid w:val="0"/>
        <w:spacing w:line="240" w:lineRule="auto"/>
        <w:textAlignment w:val="auto"/>
        <w:rPr>
          <w:rFonts w:hint="default" w:ascii="Times New Roman" w:hAnsi="Times New Roman" w:cs="Times New Roman"/>
          <w:color w:val="auto"/>
          <w:sz w:val="24"/>
          <w:lang w:val="en-US" w:eastAsia="zh-CN" w:bidi="ar-SA"/>
        </w:rPr>
      </w:pPr>
      <w:r>
        <w:rPr>
          <w:rFonts w:hint="default" w:ascii="Times New Roman" w:hAnsi="Times New Roman" w:cs="Times New Roman"/>
          <w:color w:val="auto"/>
          <w:sz w:val="24"/>
          <w:lang w:val="en-US" w:eastAsia="zh-CN" w:bidi="ar-SA"/>
        </w:rPr>
        <w:drawing>
          <wp:inline distT="0" distB="0" distL="114300" distR="114300">
            <wp:extent cx="8863965" cy="4408805"/>
            <wp:effectExtent l="0" t="0" r="13335" b="10795"/>
            <wp:docPr id="19" name="图片 126" descr="54aae571-7e07-40a3-9db8-881509ccec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6" descr="54aae571-7e07-40a3-9db8-881509ccece9"/>
                    <pic:cNvPicPr>
                      <a:picLocks noChangeAspect="1"/>
                    </pic:cNvPicPr>
                  </pic:nvPicPr>
                  <pic:blipFill>
                    <a:blip r:embed="rId111"/>
                    <a:stretch>
                      <a:fillRect/>
                    </a:stretch>
                  </pic:blipFill>
                  <pic:spPr>
                    <a:xfrm>
                      <a:off x="0" y="0"/>
                      <a:ext cx="8863965" cy="4408805"/>
                    </a:xfrm>
                    <a:prstGeom prst="rect">
                      <a:avLst/>
                    </a:prstGeom>
                    <a:noFill/>
                    <a:ln>
                      <a:noFill/>
                    </a:ln>
                  </pic:spPr>
                </pic:pic>
              </a:graphicData>
            </a:graphic>
          </wp:inline>
        </w:drawing>
      </w:r>
    </w:p>
    <w:p w14:paraId="08B14E2E">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4"/>
          <w:lang w:val="en-US" w:eastAsia="zh-CN" w:bidi="ar-SA"/>
        </w:rPr>
      </w:pPr>
    </w:p>
    <w:p w14:paraId="4B71CC71">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sz w:val="24"/>
          <w:lang w:val="en-US" w:eastAsia="zh-CN" w:bidi="ar-SA"/>
        </w:rPr>
      </w:pPr>
      <w:r>
        <w:rPr>
          <w:rFonts w:hint="default" w:ascii="Times New Roman" w:hAnsi="Times New Roman" w:cs="Times New Roman"/>
          <w:b/>
          <w:bCs/>
          <w:color w:val="auto"/>
          <w:sz w:val="24"/>
          <w:lang w:val="en-US" w:eastAsia="zh-CN" w:bidi="ar-SA"/>
        </w:rPr>
        <w:t>附图1    内蒙古自治区“三线一单”公众端应用平台查询结果</w:t>
      </w:r>
    </w:p>
    <w:p w14:paraId="141D3201">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mc:AlternateContent>
          <mc:Choice Requires="wpg">
            <w:drawing>
              <wp:inline distT="0" distB="0" distL="114300" distR="114300">
                <wp:extent cx="7047865" cy="4986655"/>
                <wp:effectExtent l="0" t="0" r="45720" b="44450"/>
                <wp:docPr id="45" name="组合 45"/>
                <wp:cNvGraphicFramePr/>
                <a:graphic xmlns:a="http://schemas.openxmlformats.org/drawingml/2006/main">
                  <a:graphicData uri="http://schemas.microsoft.com/office/word/2010/wordprocessingGroup">
                    <wpg:wgp>
                      <wpg:cNvGrpSpPr/>
                      <wpg:grpSpPr>
                        <a:xfrm>
                          <a:off x="1816100" y="975360"/>
                          <a:ext cx="7047865" cy="4986655"/>
                          <a:chOff x="2937" y="12738"/>
                          <a:chExt cx="11099" cy="7853"/>
                        </a:xfrm>
                        <a:effectLst/>
                      </wpg:grpSpPr>
                      <pic:pic xmlns:pic="http://schemas.openxmlformats.org/drawingml/2006/picture">
                        <pic:nvPicPr>
                          <pic:cNvPr id="95880704" name="图片 1" descr="地图&#10;&#10;描述已自动生成"/>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2937" y="12738"/>
                            <a:ext cx="11099" cy="7853"/>
                          </a:xfrm>
                          <a:prstGeom prst="rect">
                            <a:avLst/>
                          </a:prstGeom>
                          <a:noFill/>
                          <a:ln>
                            <a:noFill/>
                          </a:ln>
                          <a:effectLst/>
                        </pic:spPr>
                      </pic:pic>
                      <wps:wsp>
                        <wps:cNvPr id="38" name="自选图形 26"/>
                        <wps:cNvSpPr/>
                        <wps:spPr>
                          <a:xfrm>
                            <a:off x="4545" y="17488"/>
                            <a:ext cx="1427" cy="437"/>
                          </a:xfrm>
                          <a:prstGeom prst="wedgeRectCallout">
                            <a:avLst>
                              <a:gd name="adj1" fmla="val 49439"/>
                              <a:gd name="adj2" fmla="val 377459"/>
                            </a:avLst>
                          </a:prstGeom>
                          <a:solidFill>
                            <a:srgbClr val="FFC000"/>
                          </a:solidFill>
                          <a:ln w="9525" cap="flat" cmpd="sng">
                            <a:solidFill>
                              <a:srgbClr val="FF0000"/>
                            </a:solidFill>
                            <a:prstDash val="solid"/>
                            <a:miter/>
                            <a:headEnd type="none" w="med" len="med"/>
                            <a:tailEnd type="none" w="med" len="med"/>
                          </a:ln>
                          <a:effectLst/>
                        </wps:spPr>
                        <wps:txbx>
                          <w:txbxContent>
                            <w:p w14:paraId="230F7875">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eastAsia"/>
                                  <w:b/>
                                  <w:bCs/>
                                  <w:color w:val="FF0000"/>
                                </w:rPr>
                              </w:pPr>
                              <w:r>
                                <w:rPr>
                                  <w:rStyle w:val="115"/>
                                  <w:rFonts w:hint="eastAsia"/>
                                  <w:lang w:val="en-US" w:eastAsia="zh-CN"/>
                                </w:rPr>
                                <w:t>本项目</w:t>
                              </w:r>
                              <w:r>
                                <w:rPr>
                                  <w:rStyle w:val="115"/>
                                  <w:rFonts w:hint="eastAsia"/>
                                </w:rPr>
                                <w:t>位置</w:t>
                              </w:r>
                            </w:p>
                          </w:txbxContent>
                        </wps:txbx>
                        <wps:bodyPr upright="1"/>
                      </wps:wsp>
                      <wps:wsp>
                        <wps:cNvPr id="52" name="五角星 4"/>
                        <wps:cNvSpPr/>
                        <wps:spPr>
                          <a:xfrm>
                            <a:off x="5922" y="19294"/>
                            <a:ext cx="165" cy="170"/>
                          </a:xfrm>
                          <a:custGeom>
                            <a:avLst/>
                            <a:gdLst/>
                            <a:ahLst/>
                            <a:cxnLst>
                              <a:cxn ang="0">
                                <a:pos x="0" y="61850"/>
                              </a:cxn>
                              <a:cxn ang="0">
                                <a:pos x="65488" y="61850"/>
                              </a:cxn>
                              <a:cxn ang="0">
                                <a:pos x="85725" y="0"/>
                              </a:cxn>
                              <a:cxn ang="0">
                                <a:pos x="105962" y="61850"/>
                              </a:cxn>
                              <a:cxn ang="0">
                                <a:pos x="171450" y="61850"/>
                              </a:cxn>
                              <a:cxn ang="0">
                                <a:pos x="118468" y="100075"/>
                              </a:cxn>
                              <a:cxn ang="0">
                                <a:pos x="138706" y="161925"/>
                              </a:cxn>
                              <a:cxn ang="0">
                                <a:pos x="85725" y="123699"/>
                              </a:cxn>
                              <a:cxn ang="0">
                                <a:pos x="32744" y="161925"/>
                              </a:cxn>
                              <a:cxn ang="0">
                                <a:pos x="52982" y="100075"/>
                              </a:cxn>
                              <a:cxn ang="0">
                                <a:pos x="0" y="61850"/>
                              </a:cxn>
                            </a:cxnLst>
                            <a:pathLst>
                              <a:path w="171450" h="161925">
                                <a:moveTo>
                                  <a:pt x="0" y="61850"/>
                                </a:moveTo>
                                <a:lnTo>
                                  <a:pt x="65488" y="61850"/>
                                </a:lnTo>
                                <a:lnTo>
                                  <a:pt x="85725" y="0"/>
                                </a:lnTo>
                                <a:lnTo>
                                  <a:pt x="105962" y="61850"/>
                                </a:lnTo>
                                <a:lnTo>
                                  <a:pt x="171450" y="61850"/>
                                </a:lnTo>
                                <a:lnTo>
                                  <a:pt x="118468" y="100075"/>
                                </a:lnTo>
                                <a:lnTo>
                                  <a:pt x="138706" y="161925"/>
                                </a:lnTo>
                                <a:lnTo>
                                  <a:pt x="85725" y="123699"/>
                                </a:lnTo>
                                <a:lnTo>
                                  <a:pt x="32744" y="161925"/>
                                </a:lnTo>
                                <a:lnTo>
                                  <a:pt x="52982" y="100075"/>
                                </a:lnTo>
                                <a:lnTo>
                                  <a:pt x="0" y="61850"/>
                                </a:lnTo>
                                <a:close/>
                              </a:path>
                            </a:pathLst>
                          </a:custGeom>
                          <a:solidFill>
                            <a:srgbClr val="FF0000"/>
                          </a:solidFill>
                          <a:ln w="28575" cap="flat" cmpd="thickThin">
                            <a:noFill/>
                            <a:prstDash val="solid"/>
                            <a:miter/>
                            <a:headEnd type="none" w="med" len="med"/>
                            <a:tailEnd type="none" w="med" len="med"/>
                          </a:ln>
                          <a:effectLst/>
                        </wps:spPr>
                        <wps:bodyPr upright="1"/>
                      </wps:wsp>
                    </wpg:wgp>
                  </a:graphicData>
                </a:graphic>
              </wp:inline>
            </w:drawing>
          </mc:Choice>
          <mc:Fallback>
            <w:pict>
              <v:group id="_x0000_s1026" o:spid="_x0000_s1026" o:spt="203" style="height:392.65pt;width:554.95pt;" coordorigin="2937,12738" coordsize="11099,7853" o:gfxdata="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">
                <o:lock v:ext="edit" aspectratio="f"/>
                <v:shape id="图片 1" o:spid="_x0000_s1026" o:spt="75" alt="地图&#10;&#10;描述已自动生成" type="#_x0000_t75" style="position:absolute;left:2937;top:12738;height:7853;width:11099;" filled="f" o:preferrelative="t" stroked="f" coordsize="21600,21600" o:gfxdata="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ku62r4A&#10;AADhAAAADwAAAAAAAAABACAAAAAiAAAAZHJzL2Rvd25yZXYueG1sUEsBAhQAFAAAAAgAh07iQDMv&#10;BZ47AAAAOQAAABAAAAAAAAAAAQAgAAAADQEAAGRycy9zaGFwZXhtbC54bWxQSwUGAAAAAAYABgBb&#10;AQAAtwMAAAAA&#10;">
                  <v:fill on="f" focussize="0,0"/>
                  <v:stroke on="f"/>
                  <v:imagedata r:id="rId112" o:title=""/>
                  <o:lock v:ext="edit" aspectratio="t"/>
                </v:shape>
                <v:shape id="自选图形 26" o:spid="_x0000_s1026" o:spt="61" type="#_x0000_t61" style="position:absolute;left:4545;top:17488;height:437;width:1427;" fillcolor="#FFC000" filled="t" stroked="t" coordsize="21600,21600" o:gfxdata="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38RxDbgAAADbAAAA&#10;DwAAAAAAAAABACAAAAAiAAAAZHJzL2Rvd25yZXYueG1sUEsBAhQAFAAAAAgAh07iQDMvBZ47AAAA&#10;OQAAABAAAAAAAAAAAQAgAAAABwEAAGRycy9zaGFwZXhtbC54bWxQSwUGAAAAAAYABgBbAQAAsQMA&#10;AAAA&#10;" adj="21479,92331">
                  <v:fill on="t" focussize="0,0"/>
                  <v:stroke color="#FF0000" joinstyle="miter"/>
                  <v:imagedata o:title=""/>
                  <o:lock v:ext="edit" aspectratio="f"/>
                  <v:textbox>
                    <w:txbxContent>
                      <w:p w14:paraId="230F7875">
                        <w:pPr>
                          <w:keepNext w:val="0"/>
                          <w:keepLines w:val="0"/>
                          <w:pageBreakBefore w:val="0"/>
                          <w:widowControl w:val="0"/>
                          <w:kinsoku/>
                          <w:wordWrap/>
                          <w:overflowPunct/>
                          <w:topLinePunct w:val="0"/>
                          <w:bidi w:val="0"/>
                          <w:adjustRightInd/>
                          <w:snapToGrid/>
                          <w:spacing w:line="240" w:lineRule="auto"/>
                          <w:ind w:left="0" w:leftChars="0" w:firstLine="0" w:firstLineChars="0"/>
                          <w:textAlignment w:val="auto"/>
                          <w:rPr>
                            <w:rFonts w:hint="eastAsia"/>
                            <w:b/>
                            <w:bCs/>
                            <w:color w:val="FF0000"/>
                          </w:rPr>
                        </w:pPr>
                        <w:r>
                          <w:rPr>
                            <w:rStyle w:val="115"/>
                            <w:rFonts w:hint="eastAsia"/>
                            <w:lang w:val="en-US" w:eastAsia="zh-CN"/>
                          </w:rPr>
                          <w:t>本项目</w:t>
                        </w:r>
                        <w:r>
                          <w:rPr>
                            <w:rStyle w:val="115"/>
                            <w:rFonts w:hint="eastAsia"/>
                          </w:rPr>
                          <w:t>位置</w:t>
                        </w:r>
                      </w:p>
                    </w:txbxContent>
                  </v:textbox>
                </v:shape>
                <v:shape id="五角星 4" o:spid="_x0000_s1026" o:spt="100" style="position:absolute;left:5922;top:19294;height:170;width:165;" fillcolor="#FF0000" filled="t" stroked="f" coordsize="171450,161925" o:gfxdata="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XYHkLsAAADb&#10;AAAADwAAAAAAAAABACAAAAAiAAAAZHJzL2Rvd25yZXYueG1sUEsBAhQAFAAAAAgAh07iQDMvBZ47&#10;AAAAOQAAABAAAAAAAAAAAQAgAAAACgEAAGRycy9zaGFwZXhtbC54bWxQSwUGAAAAAAYABgBbAQAA&#10;tAMAAAAA&#10;" path="m0,61850l65488,61850,85725,0,105962,61850,171450,61850,118468,100075,138706,161925,85725,123699,32744,161925,52982,100075,0,61850xe">
                  <v:path o:connectlocs="0,61850;65488,61850;85725,0;105962,61850;171450,61850;118468,100075;138706,161925;85725,123699;32744,161925;52982,100075;0,61850" o:connectangles="0,0,0,0,0,0,0,0,0,0,0"/>
                  <v:fill on="t" focussize="0,0"/>
                  <v:stroke on="f" weight="2.25pt" linestyle="thickThin" joinstyle="miter"/>
                  <v:imagedata o:title=""/>
                  <o:lock v:ext="edit" aspectratio="f"/>
                </v:shape>
                <w10:wrap type="none"/>
                <w10:anchorlock/>
              </v:group>
            </w:pict>
          </mc:Fallback>
        </mc:AlternateContent>
      </w:r>
    </w:p>
    <w:p w14:paraId="648095EB">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highlight w:val="none"/>
          <w:lang w:val="en-US" w:eastAsia="zh-CN"/>
        </w:rPr>
      </w:pPr>
      <w:r>
        <w:rPr>
          <w:rFonts w:hint="default" w:ascii="Times New Roman" w:hAnsi="Times New Roman" w:cs="Times New Roman"/>
          <w:b/>
          <w:bCs/>
          <w:sz w:val="24"/>
          <w:szCs w:val="32"/>
          <w:highlight w:val="none"/>
          <w:lang w:val="en-US" w:eastAsia="zh-CN"/>
        </w:rPr>
        <w:t>附图2      项目与包头市生态环境分区管控位置关系图</w:t>
      </w:r>
    </w:p>
    <w:p w14:paraId="4BAC1CDB">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lang w:eastAsia="zh-CN"/>
        </w:rPr>
      </w:pPr>
      <w:r>
        <w:rPr>
          <w:rFonts w:hint="default" w:ascii="Times New Roman" w:hAnsi="Times New Roman" w:eastAsia="宋体" w:cs="Times New Roman"/>
          <w:lang w:eastAsia="zh-CN"/>
        </w:rPr>
        <w:drawing>
          <wp:inline distT="0" distB="0" distL="114300" distR="114300">
            <wp:extent cx="7668260" cy="5113020"/>
            <wp:effectExtent l="0" t="0" r="8890" b="11430"/>
            <wp:docPr id="12" name="图片 1" descr="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descr="地理位置图"/>
                    <pic:cNvPicPr>
                      <a:picLocks noChangeAspect="1"/>
                    </pic:cNvPicPr>
                  </pic:nvPicPr>
                  <pic:blipFill>
                    <a:blip r:embed="rId113"/>
                    <a:stretch>
                      <a:fillRect/>
                    </a:stretch>
                  </pic:blipFill>
                  <pic:spPr>
                    <a:xfrm>
                      <a:off x="0" y="0"/>
                      <a:ext cx="7668260" cy="5113020"/>
                    </a:xfrm>
                    <a:prstGeom prst="rect">
                      <a:avLst/>
                    </a:prstGeom>
                    <a:noFill/>
                    <a:ln>
                      <a:noFill/>
                    </a:ln>
                  </pic:spPr>
                </pic:pic>
              </a:graphicData>
            </a:graphic>
          </wp:inline>
        </w:drawing>
      </w:r>
    </w:p>
    <w:p w14:paraId="5419BB52">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r>
        <w:rPr>
          <w:rFonts w:hint="default" w:ascii="Times New Roman" w:hAnsi="Times New Roman" w:eastAsia="宋体" w:cs="Times New Roman"/>
          <w:b/>
          <w:bCs/>
          <w:color w:val="auto"/>
          <w:sz w:val="24"/>
          <w:lang w:val="en-US" w:eastAsia="zh-CN" w:bidi="ar-SA"/>
        </w:rPr>
        <w:t>附图3   项目地理位置图</w:t>
      </w:r>
    </w:p>
    <w:p w14:paraId="5179CA42">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p>
    <w:p w14:paraId="638BC65F">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r>
        <w:rPr>
          <w:rFonts w:hint="default" w:ascii="Times New Roman" w:hAnsi="Times New Roman" w:eastAsia="宋体" w:cs="Times New Roman"/>
          <w:b/>
          <w:bCs/>
          <w:color w:val="auto"/>
          <w:sz w:val="24"/>
          <w:lang w:val="en-US" w:eastAsia="zh-CN" w:bidi="ar-SA"/>
        </w:rPr>
        <w:drawing>
          <wp:inline distT="0" distB="0" distL="114300" distR="114300">
            <wp:extent cx="7395210" cy="5228590"/>
            <wp:effectExtent l="0" t="0" r="15240" b="10160"/>
            <wp:docPr id="9" name="图片 9" descr="四邻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四邻关系图"/>
                    <pic:cNvPicPr>
                      <a:picLocks noChangeAspect="1"/>
                    </pic:cNvPicPr>
                  </pic:nvPicPr>
                  <pic:blipFill>
                    <a:blip r:embed="rId114"/>
                    <a:stretch>
                      <a:fillRect/>
                    </a:stretch>
                  </pic:blipFill>
                  <pic:spPr>
                    <a:xfrm>
                      <a:off x="0" y="0"/>
                      <a:ext cx="7395210" cy="5228590"/>
                    </a:xfrm>
                    <a:prstGeom prst="rect">
                      <a:avLst/>
                    </a:prstGeom>
                  </pic:spPr>
                </pic:pic>
              </a:graphicData>
            </a:graphic>
          </wp:inline>
        </w:drawing>
      </w:r>
    </w:p>
    <w:p w14:paraId="2FD0D7AE">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r>
        <w:rPr>
          <w:rFonts w:hint="default" w:ascii="Times New Roman" w:hAnsi="Times New Roman" w:eastAsia="宋体" w:cs="Times New Roman"/>
          <w:b/>
          <w:bCs/>
          <w:color w:val="auto"/>
          <w:sz w:val="24"/>
          <w:lang w:val="en-US" w:eastAsia="zh-CN" w:bidi="ar-SA"/>
        </w:rPr>
        <w:t>附图4  项目外环境关系图</w:t>
      </w:r>
    </w:p>
    <w:p w14:paraId="5806AD51">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r>
        <w:rPr>
          <w:rFonts w:hint="default" w:ascii="Times New Roman" w:hAnsi="Times New Roman" w:eastAsia="宋体" w:cs="Times New Roman"/>
          <w:b/>
          <w:bCs/>
          <w:color w:val="auto"/>
          <w:sz w:val="24"/>
          <w:lang w:val="en-US" w:eastAsia="zh-CN" w:bidi="ar-SA"/>
        </w:rPr>
        <w:drawing>
          <wp:inline distT="0" distB="0" distL="114300" distR="114300">
            <wp:extent cx="7627620" cy="5180965"/>
            <wp:effectExtent l="0" t="0" r="11430" b="635"/>
            <wp:docPr id="1" name="图片 1" descr="园区规划产业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园区规划产业布局图"/>
                    <pic:cNvPicPr>
                      <a:picLocks noChangeAspect="1"/>
                    </pic:cNvPicPr>
                  </pic:nvPicPr>
                  <pic:blipFill>
                    <a:blip r:embed="rId115"/>
                    <a:stretch>
                      <a:fillRect/>
                    </a:stretch>
                  </pic:blipFill>
                  <pic:spPr>
                    <a:xfrm>
                      <a:off x="0" y="0"/>
                      <a:ext cx="7627620" cy="5180965"/>
                    </a:xfrm>
                    <a:prstGeom prst="rect">
                      <a:avLst/>
                    </a:prstGeom>
                  </pic:spPr>
                </pic:pic>
              </a:graphicData>
            </a:graphic>
          </wp:inline>
        </w:drawing>
      </w:r>
    </w:p>
    <w:p w14:paraId="0DDD5A40">
      <w:pPr>
        <w:jc w:val="center"/>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lang w:val="en-US" w:eastAsia="zh-CN"/>
        </w:rPr>
        <w:t>附图5   本项目与园区的位置关系图</w:t>
      </w:r>
    </w:p>
    <w:p w14:paraId="61E6367A">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p>
    <w:p w14:paraId="1D3EFC50">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r>
        <w:rPr>
          <w:rFonts w:hint="default" w:ascii="Times New Roman" w:hAnsi="Times New Roman" w:eastAsia="宋体" w:cs="Times New Roman"/>
          <w:b/>
          <w:bCs/>
          <w:color w:val="auto"/>
          <w:sz w:val="24"/>
          <w:lang w:val="en-US" w:eastAsia="zh-CN" w:bidi="ar-SA"/>
        </w:rPr>
        <w:drawing>
          <wp:inline distT="0" distB="0" distL="114300" distR="114300">
            <wp:extent cx="7452360" cy="5236845"/>
            <wp:effectExtent l="0" t="0" r="15240" b="1905"/>
            <wp:docPr id="55" name="图片 55" descr="总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总平面布置图"/>
                    <pic:cNvPicPr>
                      <a:picLocks noChangeAspect="1"/>
                    </pic:cNvPicPr>
                  </pic:nvPicPr>
                  <pic:blipFill>
                    <a:blip r:embed="rId116"/>
                    <a:stretch>
                      <a:fillRect/>
                    </a:stretch>
                  </pic:blipFill>
                  <pic:spPr>
                    <a:xfrm>
                      <a:off x="0" y="0"/>
                      <a:ext cx="7452360" cy="5236845"/>
                    </a:xfrm>
                    <a:prstGeom prst="rect">
                      <a:avLst/>
                    </a:prstGeom>
                  </pic:spPr>
                </pic:pic>
              </a:graphicData>
            </a:graphic>
          </wp:inline>
        </w:drawing>
      </w:r>
    </w:p>
    <w:p w14:paraId="2D8C2818">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r>
        <w:rPr>
          <w:rFonts w:hint="default" w:ascii="Times New Roman" w:hAnsi="Times New Roman" w:eastAsia="宋体" w:cs="Times New Roman"/>
          <w:b/>
          <w:bCs/>
          <w:color w:val="auto"/>
          <w:sz w:val="24"/>
          <w:lang w:val="en-US" w:eastAsia="zh-CN" w:bidi="ar-SA"/>
        </w:rPr>
        <w:t>附图</w:t>
      </w:r>
      <w:r>
        <w:rPr>
          <w:rFonts w:hint="default" w:ascii="Times New Roman" w:hAnsi="Times New Roman" w:cs="Times New Roman"/>
          <w:b/>
          <w:bCs/>
          <w:color w:val="auto"/>
          <w:sz w:val="24"/>
          <w:lang w:val="en-US" w:eastAsia="zh-CN" w:bidi="ar-SA"/>
        </w:rPr>
        <w:t>6</w:t>
      </w:r>
      <w:r>
        <w:rPr>
          <w:rFonts w:hint="default" w:ascii="Times New Roman" w:hAnsi="Times New Roman" w:eastAsia="宋体" w:cs="Times New Roman"/>
          <w:b/>
          <w:bCs/>
          <w:color w:val="auto"/>
          <w:sz w:val="24"/>
          <w:lang w:val="en-US" w:eastAsia="zh-CN" w:bidi="ar-SA"/>
        </w:rPr>
        <w:t xml:space="preserve">    项目总平面布置图</w:t>
      </w:r>
    </w:p>
    <w:p w14:paraId="0789ACA7">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lang w:val="en-US" w:eastAsia="zh-CN" w:bidi="ar-SA"/>
        </w:rPr>
      </w:pPr>
      <w:r>
        <w:rPr>
          <w:rFonts w:hint="default" w:ascii="Times New Roman" w:hAnsi="Times New Roman" w:eastAsia="宋体" w:cs="Times New Roman"/>
          <w:b/>
          <w:bCs/>
          <w:color w:val="auto"/>
          <w:sz w:val="24"/>
          <w:lang w:val="en-US" w:eastAsia="zh-CN" w:bidi="ar-SA"/>
        </w:rPr>
        <w:drawing>
          <wp:inline distT="0" distB="0" distL="114300" distR="114300">
            <wp:extent cx="7444105" cy="5262880"/>
            <wp:effectExtent l="0" t="0" r="4445" b="13970"/>
            <wp:docPr id="22" name="图片 22" descr="评价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评价范围图"/>
                    <pic:cNvPicPr>
                      <a:picLocks noChangeAspect="1"/>
                    </pic:cNvPicPr>
                  </pic:nvPicPr>
                  <pic:blipFill>
                    <a:blip r:embed="rId117"/>
                    <a:stretch>
                      <a:fillRect/>
                    </a:stretch>
                  </pic:blipFill>
                  <pic:spPr>
                    <a:xfrm>
                      <a:off x="0" y="0"/>
                      <a:ext cx="7444105" cy="5262880"/>
                    </a:xfrm>
                    <a:prstGeom prst="rect">
                      <a:avLst/>
                    </a:prstGeom>
                  </pic:spPr>
                </pic:pic>
              </a:graphicData>
            </a:graphic>
          </wp:inline>
        </w:drawing>
      </w:r>
    </w:p>
    <w:p w14:paraId="7D718983">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附</w:t>
      </w:r>
      <w:r>
        <w:rPr>
          <w:rFonts w:hint="default" w:ascii="Times New Roman" w:hAnsi="Times New Roman" w:eastAsia="宋体" w:cs="Times New Roman"/>
          <w:b/>
          <w:bCs/>
          <w:color w:val="auto"/>
          <w:sz w:val="24"/>
          <w:szCs w:val="24"/>
          <w:highlight w:val="none"/>
          <w:vertAlign w:val="baseline"/>
          <w:lang w:val="en-US" w:eastAsia="zh-CN"/>
        </w:rPr>
        <w:t>图</w:t>
      </w:r>
      <w:r>
        <w:rPr>
          <w:rFonts w:hint="default" w:ascii="Times New Roman" w:hAnsi="Times New Roman" w:cs="Times New Roman"/>
          <w:b/>
          <w:bCs/>
          <w:color w:val="auto"/>
          <w:sz w:val="24"/>
          <w:szCs w:val="24"/>
          <w:highlight w:val="none"/>
          <w:vertAlign w:val="baseline"/>
          <w:lang w:val="en-US" w:eastAsia="zh-CN"/>
        </w:rPr>
        <w:t>7</w:t>
      </w:r>
      <w:r>
        <w:rPr>
          <w:rFonts w:hint="default" w:ascii="Times New Roman" w:hAnsi="Times New Roman" w:eastAsia="宋体" w:cs="Times New Roman"/>
          <w:b/>
          <w:bCs/>
          <w:color w:val="auto"/>
          <w:sz w:val="24"/>
          <w:szCs w:val="24"/>
          <w:highlight w:val="none"/>
          <w:vertAlign w:val="baseline"/>
          <w:lang w:val="en-US" w:eastAsia="zh-CN"/>
        </w:rPr>
        <w:t xml:space="preserve">   本项目保护目标</w:t>
      </w:r>
      <w:r>
        <w:rPr>
          <w:rFonts w:hint="default" w:ascii="Times New Roman" w:hAnsi="Times New Roman" w:cs="Times New Roman"/>
          <w:b/>
          <w:bCs/>
          <w:color w:val="auto"/>
          <w:sz w:val="24"/>
          <w:szCs w:val="24"/>
          <w:highlight w:val="none"/>
          <w:vertAlign w:val="baseline"/>
          <w:lang w:val="en-US" w:eastAsia="zh-CN"/>
        </w:rPr>
        <w:t>调查范围</w:t>
      </w:r>
      <w:r>
        <w:rPr>
          <w:rFonts w:hint="default" w:ascii="Times New Roman" w:hAnsi="Times New Roman" w:eastAsia="宋体" w:cs="Times New Roman"/>
          <w:b/>
          <w:bCs/>
          <w:color w:val="auto"/>
          <w:sz w:val="24"/>
          <w:szCs w:val="24"/>
          <w:highlight w:val="none"/>
          <w:vertAlign w:val="baseline"/>
          <w:lang w:val="en-US" w:eastAsia="zh-CN"/>
        </w:rPr>
        <w:t>图</w:t>
      </w:r>
    </w:p>
    <w:p w14:paraId="49B772FC">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drawing>
          <wp:inline distT="0" distB="0" distL="114300" distR="114300">
            <wp:extent cx="7620000" cy="5387975"/>
            <wp:effectExtent l="0" t="0" r="0" b="3175"/>
            <wp:docPr id="56" name="图片 56" descr="风险评价范围及保护目标-大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风险评价范围及保护目标-大气"/>
                    <pic:cNvPicPr>
                      <a:picLocks noChangeAspect="1"/>
                    </pic:cNvPicPr>
                  </pic:nvPicPr>
                  <pic:blipFill>
                    <a:blip r:embed="rId51"/>
                    <a:stretch>
                      <a:fillRect/>
                    </a:stretch>
                  </pic:blipFill>
                  <pic:spPr>
                    <a:xfrm>
                      <a:off x="0" y="0"/>
                      <a:ext cx="7620000" cy="5387975"/>
                    </a:xfrm>
                    <a:prstGeom prst="rect">
                      <a:avLst/>
                    </a:prstGeom>
                  </pic:spPr>
                </pic:pic>
              </a:graphicData>
            </a:graphic>
          </wp:inline>
        </w:drawing>
      </w:r>
    </w:p>
    <w:p w14:paraId="1A726047">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附</w:t>
      </w:r>
      <w:r>
        <w:rPr>
          <w:rFonts w:hint="default" w:ascii="Times New Roman" w:hAnsi="Times New Roman" w:eastAsia="宋体" w:cs="Times New Roman"/>
          <w:b/>
          <w:bCs/>
          <w:color w:val="auto"/>
          <w:sz w:val="24"/>
          <w:szCs w:val="24"/>
          <w:highlight w:val="none"/>
          <w:vertAlign w:val="baseline"/>
          <w:lang w:val="en-US" w:eastAsia="zh-CN"/>
        </w:rPr>
        <w:t>图</w:t>
      </w:r>
      <w:r>
        <w:rPr>
          <w:rFonts w:hint="default" w:ascii="Times New Roman" w:hAnsi="Times New Roman" w:cs="Times New Roman"/>
          <w:b/>
          <w:bCs/>
          <w:color w:val="auto"/>
          <w:sz w:val="24"/>
          <w:szCs w:val="24"/>
          <w:highlight w:val="none"/>
          <w:vertAlign w:val="baseline"/>
          <w:lang w:val="en-US" w:eastAsia="zh-CN"/>
        </w:rPr>
        <w:t>8</w:t>
      </w:r>
      <w:r>
        <w:rPr>
          <w:rFonts w:hint="default" w:ascii="Times New Roman" w:hAnsi="Times New Roman" w:eastAsia="宋体" w:cs="Times New Roman"/>
          <w:b/>
          <w:bCs/>
          <w:color w:val="auto"/>
          <w:sz w:val="24"/>
          <w:szCs w:val="24"/>
          <w:highlight w:val="none"/>
          <w:vertAlign w:val="baseline"/>
          <w:lang w:val="en-US" w:eastAsia="zh-CN"/>
        </w:rPr>
        <w:t xml:space="preserve">  </w:t>
      </w:r>
      <w:r>
        <w:rPr>
          <w:rFonts w:hint="eastAsia" w:ascii="Times New Roman" w:hAnsi="Times New Roman" w:eastAsia="宋体" w:cs="Times New Roman"/>
          <w:b/>
          <w:bCs/>
          <w:color w:val="auto"/>
          <w:sz w:val="24"/>
          <w:szCs w:val="24"/>
          <w:highlight w:val="none"/>
          <w:vertAlign w:val="baseline"/>
          <w:lang w:val="en-US" w:eastAsia="zh-CN"/>
        </w:rPr>
        <w:t>环境风险评价范围及保护目标分布图-大气环境</w:t>
      </w:r>
    </w:p>
    <w:p w14:paraId="74E6ED2D">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p>
    <w:p w14:paraId="47DBE225">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drawing>
          <wp:inline distT="0" distB="0" distL="114300" distR="114300">
            <wp:extent cx="7478395" cy="5255260"/>
            <wp:effectExtent l="0" t="0" r="8255" b="2540"/>
            <wp:docPr id="54" name="图片 54" descr="分区防渗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分区防渗图"/>
                    <pic:cNvPicPr>
                      <a:picLocks noChangeAspect="1"/>
                    </pic:cNvPicPr>
                  </pic:nvPicPr>
                  <pic:blipFill>
                    <a:blip r:embed="rId118"/>
                    <a:stretch>
                      <a:fillRect/>
                    </a:stretch>
                  </pic:blipFill>
                  <pic:spPr>
                    <a:xfrm>
                      <a:off x="0" y="0"/>
                      <a:ext cx="7478395" cy="5255260"/>
                    </a:xfrm>
                    <a:prstGeom prst="rect">
                      <a:avLst/>
                    </a:prstGeom>
                  </pic:spPr>
                </pic:pic>
              </a:graphicData>
            </a:graphic>
          </wp:inline>
        </w:drawing>
      </w:r>
    </w:p>
    <w:p w14:paraId="40B5427F">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附</w:t>
      </w:r>
      <w:r>
        <w:rPr>
          <w:rFonts w:hint="default" w:ascii="Times New Roman" w:hAnsi="Times New Roman" w:eastAsia="宋体" w:cs="Times New Roman"/>
          <w:b/>
          <w:bCs/>
          <w:color w:val="auto"/>
          <w:sz w:val="24"/>
          <w:szCs w:val="24"/>
          <w:highlight w:val="none"/>
          <w:vertAlign w:val="baseline"/>
          <w:lang w:val="en-US" w:eastAsia="zh-CN"/>
        </w:rPr>
        <w:t>图</w:t>
      </w:r>
      <w:r>
        <w:rPr>
          <w:rFonts w:hint="eastAsia" w:cs="Times New Roman"/>
          <w:b/>
          <w:bCs/>
          <w:color w:val="auto"/>
          <w:sz w:val="24"/>
          <w:szCs w:val="24"/>
          <w:highlight w:val="none"/>
          <w:vertAlign w:val="baseline"/>
          <w:lang w:val="en-US" w:eastAsia="zh-CN"/>
        </w:rPr>
        <w:t>9</w:t>
      </w:r>
      <w:r>
        <w:rPr>
          <w:rFonts w:hint="default" w:ascii="Times New Roman" w:hAnsi="Times New Roman" w:eastAsia="宋体" w:cs="Times New Roman"/>
          <w:b/>
          <w:bCs/>
          <w:color w:val="auto"/>
          <w:sz w:val="24"/>
          <w:szCs w:val="24"/>
          <w:highlight w:val="none"/>
          <w:vertAlign w:val="baseline"/>
          <w:lang w:val="en-US" w:eastAsia="zh-CN"/>
        </w:rPr>
        <w:t xml:space="preserve">   本项目分区防渗图</w:t>
      </w:r>
    </w:p>
    <w:p w14:paraId="7B781673">
      <w:pPr>
        <w:pStyle w:val="63"/>
        <w:ind w:firstLine="0"/>
        <w:jc w:val="center"/>
        <w:rPr>
          <w:rFonts w:ascii="Times New Roman" w:cs="Times New Roman"/>
          <w:color w:val="auto"/>
        </w:rPr>
      </w:pPr>
      <w:r>
        <w:rPr>
          <w:rFonts w:ascii="Times New Roman" w:cs="Times New Roman"/>
          <w:color w:val="auto"/>
        </w:rPr>
        <mc:AlternateContent>
          <mc:Choice Requires="wps">
            <w:drawing>
              <wp:anchor distT="0" distB="0" distL="114300" distR="114300" simplePos="0" relativeHeight="251670528" behindDoc="0" locked="0" layoutInCell="1" allowOverlap="1">
                <wp:simplePos x="0" y="0"/>
                <wp:positionH relativeFrom="column">
                  <wp:posOffset>2413635</wp:posOffset>
                </wp:positionH>
                <wp:positionV relativeFrom="paragraph">
                  <wp:posOffset>1944370</wp:posOffset>
                </wp:positionV>
                <wp:extent cx="692150" cy="323850"/>
                <wp:effectExtent l="676910" t="12700" r="21590" b="292100"/>
                <wp:wrapNone/>
                <wp:docPr id="16" name="矩形标注 16"/>
                <wp:cNvGraphicFramePr/>
                <a:graphic xmlns:a="http://schemas.openxmlformats.org/drawingml/2006/main">
                  <a:graphicData uri="http://schemas.microsoft.com/office/word/2010/wordprocessingShape">
                    <wps:wsp>
                      <wps:cNvSpPr/>
                      <wps:spPr>
                        <a:xfrm flipV="1">
                          <a:off x="0" y="0"/>
                          <a:ext cx="692150" cy="323850"/>
                        </a:xfrm>
                        <a:prstGeom prst="wedgeRectCallout">
                          <a:avLst>
                            <a:gd name="adj1" fmla="val -145958"/>
                            <a:gd name="adj2" fmla="val -133523"/>
                          </a:avLst>
                        </a:prstGeom>
                        <a:noFill/>
                        <a:ln w="25400" cap="flat" cmpd="sng">
                          <a:solidFill>
                            <a:srgbClr val="FFFF00"/>
                          </a:solidFill>
                          <a:prstDash val="solid"/>
                          <a:round/>
                          <a:headEnd type="none" w="med" len="med"/>
                          <a:tailEnd type="none" w="med" len="med"/>
                        </a:ln>
                      </wps:spPr>
                      <wps:txbx>
                        <w:txbxContent>
                          <w:p w14:paraId="3A9A8450">
                            <w:pPr>
                              <w:widowControl w:val="0"/>
                              <w:adjustRightInd/>
                              <w:snapToGrid/>
                              <w:spacing w:line="240" w:lineRule="auto"/>
                              <w:ind w:firstLine="0" w:firstLineChars="0"/>
                              <w:jc w:val="center"/>
                              <w:rPr>
                                <w:rFonts w:ascii="宋体" w:cs="Times New Roman"/>
                                <w:b/>
                                <w:color w:val="FFFF00"/>
                              </w:rPr>
                            </w:pPr>
                            <w:r>
                              <w:rPr>
                                <w:rFonts w:hint="eastAsia" w:ascii="宋体" w:cs="Times New Roman"/>
                                <w:b/>
                                <w:color w:val="FFFF00"/>
                              </w:rPr>
                              <w:t>本项目</w:t>
                            </w:r>
                          </w:p>
                        </w:txbxContent>
                      </wps:txbx>
                      <wps:bodyPr anchor="ctr" anchorCtr="0" upright="1"/>
                    </wps:wsp>
                  </a:graphicData>
                </a:graphic>
              </wp:anchor>
            </w:drawing>
          </mc:Choice>
          <mc:Fallback>
            <w:pict>
              <v:shape id="_x0000_s1026" o:spid="_x0000_s1026" o:spt="61" type="#_x0000_t61" style="position:absolute;left:0pt;flip:y;margin-left:190.05pt;margin-top:153.1pt;height:25.5pt;width:54.5pt;z-index:251670528;v-text-anchor:middle;mso-width-relative:page;mso-height-relative:page;" filled="f" stroked="t" coordsize="21600,21600" o:gfxdata="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pG3mB2gAAAAsBAAAPAAAA&#10;AAAAAAEAIAAAACIAAABkcnMvZG93bnJldi54bWxQSwECFAAUAAAACACHTuJAEEafy0wCAACOBAAA&#10;DgAAAAAAAAABACAAAAApAQAAZHJzL2Uyb0RvYy54bWxQSwUGAAAAAAYABgBZAQAA5wUAAAAA&#10;" adj="-20727,-18041">
                <v:fill on="f" focussize="0,0"/>
                <v:stroke weight="2pt" color="#FFFF00" joinstyle="round"/>
                <v:imagedata o:title=""/>
                <o:lock v:ext="edit" aspectratio="f"/>
                <v:textbox>
                  <w:txbxContent>
                    <w:p w14:paraId="3A9A8450">
                      <w:pPr>
                        <w:widowControl w:val="0"/>
                        <w:adjustRightInd/>
                        <w:snapToGrid/>
                        <w:spacing w:line="240" w:lineRule="auto"/>
                        <w:ind w:firstLine="0" w:firstLineChars="0"/>
                        <w:jc w:val="center"/>
                        <w:rPr>
                          <w:rFonts w:ascii="宋体" w:cs="Times New Roman"/>
                          <w:b/>
                          <w:color w:val="FFFF00"/>
                        </w:rPr>
                      </w:pPr>
                      <w:r>
                        <w:rPr>
                          <w:rFonts w:hint="eastAsia" w:ascii="宋体" w:cs="Times New Roman"/>
                          <w:b/>
                          <w:color w:val="FFFF00"/>
                        </w:rPr>
                        <w:t>本项目</w:t>
                      </w:r>
                    </w:p>
                  </w:txbxContent>
                </v:textbox>
              </v:shape>
            </w:pict>
          </mc:Fallback>
        </mc:AlternateContent>
      </w:r>
      <w:r>
        <w:rPr>
          <w:rFonts w:ascii="Times New Roman" w:cs="Times New Roman"/>
          <w:color w:val="auto"/>
        </w:rPr>
        <w:drawing>
          <wp:inline distT="0" distB="0" distL="114300" distR="114300">
            <wp:extent cx="8398510" cy="4878070"/>
            <wp:effectExtent l="0" t="0" r="2540" b="17780"/>
            <wp:docPr id="81" name="图片 81" descr="25ace6cd607e5dec20c75ad01e4f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5ace6cd607e5dec20c75ad01e4fe64"/>
                    <pic:cNvPicPr>
                      <a:picLocks noChangeAspect="1"/>
                    </pic:cNvPicPr>
                  </pic:nvPicPr>
                  <pic:blipFill>
                    <a:blip r:embed="rId119"/>
                    <a:stretch>
                      <a:fillRect/>
                    </a:stretch>
                  </pic:blipFill>
                  <pic:spPr>
                    <a:xfrm>
                      <a:off x="0" y="0"/>
                      <a:ext cx="8398510" cy="4878070"/>
                    </a:xfrm>
                    <a:prstGeom prst="rect">
                      <a:avLst/>
                    </a:prstGeom>
                  </pic:spPr>
                </pic:pic>
              </a:graphicData>
            </a:graphic>
          </wp:inline>
        </w:drawing>
      </w:r>
    </w:p>
    <w:p w14:paraId="4F80F133">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eastAsia" w:ascii="Times New Roman" w:hAnsi="Times New Roman" w:eastAsia="宋体" w:cs="Times New Roman"/>
          <w:b/>
          <w:bCs/>
          <w:color w:val="auto"/>
          <w:sz w:val="24"/>
          <w:szCs w:val="24"/>
          <w:highlight w:val="none"/>
          <w:vertAlign w:val="baseline"/>
          <w:lang w:val="en-US" w:eastAsia="zh-CN"/>
        </w:rPr>
        <w:t>附图</w:t>
      </w:r>
      <w:r>
        <w:rPr>
          <w:rFonts w:hint="eastAsia" w:cs="Times New Roman"/>
          <w:b/>
          <w:bCs/>
          <w:color w:val="auto"/>
          <w:sz w:val="24"/>
          <w:szCs w:val="24"/>
          <w:highlight w:val="none"/>
          <w:vertAlign w:val="baseline"/>
          <w:lang w:val="en-US" w:eastAsia="zh-CN"/>
        </w:rPr>
        <w:t>10</w:t>
      </w:r>
      <w:r>
        <w:rPr>
          <w:rFonts w:hint="default" w:ascii="Times New Roman" w:hAnsi="Times New Roman" w:eastAsia="宋体" w:cs="Times New Roman"/>
          <w:b/>
          <w:bCs/>
          <w:color w:val="auto"/>
          <w:sz w:val="24"/>
          <w:szCs w:val="24"/>
          <w:highlight w:val="none"/>
          <w:vertAlign w:val="baseline"/>
          <w:lang w:val="en-US" w:eastAsia="zh-CN"/>
        </w:rPr>
        <w:t xml:space="preserve">   包头市中心城区空气环境质量功能区划图</w:t>
      </w:r>
    </w:p>
    <w:p w14:paraId="3FB30A69">
      <w:pPr>
        <w:pStyle w:val="63"/>
        <w:ind w:firstLine="0"/>
        <w:rPr>
          <w:rFonts w:ascii="Times New Roman" w:cs="Times New Roman"/>
          <w:color w:val="auto"/>
        </w:rPr>
      </w:pPr>
    </w:p>
    <w:p w14:paraId="7FF0088C">
      <w:pPr>
        <w:pStyle w:val="63"/>
        <w:ind w:firstLine="0"/>
        <w:rPr>
          <w:rFonts w:ascii="Times New Roman" w:cs="Times New Roman"/>
          <w:color w:val="auto"/>
        </w:rPr>
      </w:pPr>
    </w:p>
    <w:p w14:paraId="7A254903">
      <w:pPr>
        <w:pStyle w:val="63"/>
        <w:rPr>
          <w:rFonts w:ascii="Times New Roman" w:cs="Times New Roman"/>
          <w:b/>
          <w:color w:val="auto"/>
          <w:sz w:val="28"/>
          <w:szCs w:val="28"/>
        </w:rPr>
      </w:pPr>
      <w:r>
        <w:rPr>
          <w:rFonts w:ascii="Times New Roman" w:cs="Times New Roman"/>
          <w:color w:val="auto"/>
        </w:rPr>
        <mc:AlternateContent>
          <mc:Choice Requires="wps">
            <w:drawing>
              <wp:anchor distT="0" distB="0" distL="114300" distR="114300" simplePos="0" relativeHeight="251671552" behindDoc="0" locked="0" layoutInCell="1" allowOverlap="1">
                <wp:simplePos x="0" y="0"/>
                <wp:positionH relativeFrom="column">
                  <wp:posOffset>2395220</wp:posOffset>
                </wp:positionH>
                <wp:positionV relativeFrom="paragraph">
                  <wp:posOffset>3544570</wp:posOffset>
                </wp:positionV>
                <wp:extent cx="692150" cy="323850"/>
                <wp:effectExtent l="12700" t="391795" r="19050" b="27305"/>
                <wp:wrapNone/>
                <wp:docPr id="82" name="矩形标注 82"/>
                <wp:cNvGraphicFramePr/>
                <a:graphic xmlns:a="http://schemas.openxmlformats.org/drawingml/2006/main">
                  <a:graphicData uri="http://schemas.microsoft.com/office/word/2010/wordprocessingShape">
                    <wps:wsp>
                      <wps:cNvSpPr/>
                      <wps:spPr>
                        <a:xfrm flipV="1">
                          <a:off x="0" y="0"/>
                          <a:ext cx="692150" cy="323850"/>
                        </a:xfrm>
                        <a:prstGeom prst="wedgeRectCallout">
                          <a:avLst>
                            <a:gd name="adj1" fmla="val -458"/>
                            <a:gd name="adj2" fmla="val 167060"/>
                          </a:avLst>
                        </a:prstGeom>
                        <a:noFill/>
                        <a:ln w="25400" cap="flat" cmpd="sng">
                          <a:solidFill>
                            <a:srgbClr val="000000"/>
                          </a:solidFill>
                          <a:prstDash val="solid"/>
                          <a:round/>
                          <a:headEnd type="none" w="med" len="med"/>
                          <a:tailEnd type="none" w="med" len="med"/>
                        </a:ln>
                      </wps:spPr>
                      <wps:txbx>
                        <w:txbxContent>
                          <w:p w14:paraId="3C456367">
                            <w:pPr>
                              <w:widowControl w:val="0"/>
                              <w:adjustRightInd/>
                              <w:snapToGrid/>
                              <w:spacing w:line="240" w:lineRule="auto"/>
                              <w:ind w:firstLine="0" w:firstLineChars="0"/>
                              <w:jc w:val="center"/>
                              <w:rPr>
                                <w:rFonts w:ascii="宋体" w:cs="Times New Roman"/>
                                <w:b/>
                              </w:rPr>
                            </w:pPr>
                            <w:r>
                              <w:rPr>
                                <w:rFonts w:hint="eastAsia" w:ascii="宋体" w:cs="Times New Roman"/>
                                <w:b/>
                              </w:rPr>
                              <w:t>本项目</w:t>
                            </w:r>
                          </w:p>
                        </w:txbxContent>
                      </wps:txbx>
                      <wps:bodyPr anchor="ctr" anchorCtr="0" upright="1"/>
                    </wps:wsp>
                  </a:graphicData>
                </a:graphic>
              </wp:anchor>
            </w:drawing>
          </mc:Choice>
          <mc:Fallback>
            <w:pict>
              <v:shape id="_x0000_s1026" o:spid="_x0000_s1026" o:spt="61" type="#_x0000_t61" style="position:absolute;left:0pt;flip:y;margin-left:188.6pt;margin-top:279.1pt;height:25.5pt;width:54.5pt;z-index:251671552;v-text-anchor:middle;mso-width-relative:page;mso-height-relative:page;" filled="f" stroked="t" coordsize="21600,21600" o:gfxdata="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GRJCNsAAAALAQAADwAAAAAA&#10;AAABACAAAAAiAAAAZHJzL2Rvd25yZXYueG1sUEsBAhQAFAAAAAgAh07iQI5vNINJAgAAigQAAA4A&#10;AAAAAAAAAQAgAAAAKgEAAGRycy9lMm9Eb2MueG1sUEsFBgAAAAAGAAYAWQEAAOUFAAAAAA==&#10;" adj="10701,46885">
                <v:fill on="f" focussize="0,0"/>
                <v:stroke weight="2pt" color="#000000" joinstyle="round"/>
                <v:imagedata o:title=""/>
                <o:lock v:ext="edit" aspectratio="f"/>
                <v:textbox>
                  <w:txbxContent>
                    <w:p w14:paraId="3C456367">
                      <w:pPr>
                        <w:widowControl w:val="0"/>
                        <w:adjustRightInd/>
                        <w:snapToGrid/>
                        <w:spacing w:line="240" w:lineRule="auto"/>
                        <w:ind w:firstLine="0" w:firstLineChars="0"/>
                        <w:jc w:val="center"/>
                        <w:rPr>
                          <w:rFonts w:ascii="宋体" w:cs="Times New Roman"/>
                          <w:b/>
                        </w:rPr>
                      </w:pPr>
                      <w:r>
                        <w:rPr>
                          <w:rFonts w:hint="eastAsia" w:ascii="宋体" w:cs="Times New Roman"/>
                          <w:b/>
                        </w:rPr>
                        <w:t>本项目</w:t>
                      </w:r>
                    </w:p>
                  </w:txbxContent>
                </v:textbox>
              </v:shape>
            </w:pict>
          </mc:Fallback>
        </mc:AlternateContent>
      </w:r>
      <w:r>
        <w:rPr>
          <w:rFonts w:ascii="Times New Roman" w:cs="Times New Roman"/>
          <w:b/>
          <w:color w:val="auto"/>
          <w:sz w:val="28"/>
          <w:szCs w:val="28"/>
        </w:rPr>
        <w:drawing>
          <wp:inline distT="0" distB="0" distL="114300" distR="114300">
            <wp:extent cx="8368665" cy="4356100"/>
            <wp:effectExtent l="0" t="0" r="13335" b="6350"/>
            <wp:docPr id="83" name="图片 12" descr="D:\徐柳青的工作\2019年\弘元5GW单晶项目\噪声功能分区（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2" descr="D:\徐柳青的工作\2019年\弘元5GW单晶项目\噪声功能分区（新）.png"/>
                    <pic:cNvPicPr>
                      <a:picLocks noChangeAspect="1"/>
                    </pic:cNvPicPr>
                  </pic:nvPicPr>
                  <pic:blipFill>
                    <a:blip r:embed="rId120"/>
                    <a:stretch>
                      <a:fillRect/>
                    </a:stretch>
                  </pic:blipFill>
                  <pic:spPr>
                    <a:xfrm>
                      <a:off x="0" y="0"/>
                      <a:ext cx="8368665" cy="4356100"/>
                    </a:xfrm>
                    <a:prstGeom prst="rect">
                      <a:avLst/>
                    </a:prstGeom>
                    <a:noFill/>
                    <a:ln>
                      <a:noFill/>
                    </a:ln>
                  </pic:spPr>
                </pic:pic>
              </a:graphicData>
            </a:graphic>
          </wp:inline>
        </w:drawing>
      </w:r>
    </w:p>
    <w:p w14:paraId="1460A9F3">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z w:val="24"/>
          <w:szCs w:val="24"/>
          <w:highlight w:val="none"/>
          <w:vertAlign w:val="baseline"/>
          <w:lang w:val="en-US" w:eastAsia="zh-CN"/>
        </w:rPr>
      </w:pPr>
      <w:r>
        <w:rPr>
          <w:rFonts w:hint="eastAsia" w:ascii="Times New Roman" w:hAnsi="Times New Roman" w:eastAsia="宋体" w:cs="Times New Roman"/>
          <w:b/>
          <w:bCs/>
          <w:color w:val="auto"/>
          <w:sz w:val="24"/>
          <w:szCs w:val="24"/>
          <w:highlight w:val="none"/>
          <w:vertAlign w:val="baseline"/>
          <w:lang w:val="en-US" w:eastAsia="zh-CN"/>
        </w:rPr>
        <w:t>附图1</w:t>
      </w:r>
      <w:r>
        <w:rPr>
          <w:rFonts w:hint="eastAsia" w:cs="Times New Roman"/>
          <w:b/>
          <w:bCs/>
          <w:color w:val="auto"/>
          <w:sz w:val="24"/>
          <w:szCs w:val="24"/>
          <w:highlight w:val="none"/>
          <w:vertAlign w:val="baseline"/>
          <w:lang w:val="en-US" w:eastAsia="zh-CN"/>
        </w:rPr>
        <w:t>1</w:t>
      </w:r>
      <w:r>
        <w:rPr>
          <w:rFonts w:hint="eastAsia" w:ascii="Times New Roman" w:hAnsi="Times New Roman" w:eastAsia="宋体" w:cs="Times New Roman"/>
          <w:b/>
          <w:bCs/>
          <w:color w:val="auto"/>
          <w:sz w:val="24"/>
          <w:szCs w:val="24"/>
          <w:highlight w:val="none"/>
          <w:vertAlign w:val="baseline"/>
          <w:lang w:val="en-US" w:eastAsia="zh-CN"/>
        </w:rPr>
        <w:t xml:space="preserve">  包头市中心城区声环境质量功能区划图</w:t>
      </w:r>
    </w:p>
    <w:p w14:paraId="0FC9A3CB">
      <w:pPr>
        <w:pStyle w:val="63"/>
        <w:rPr>
          <w:rFonts w:ascii="Times New Roman" w:cs="Times New Roman"/>
          <w:b/>
          <w:color w:val="auto"/>
          <w:sz w:val="28"/>
          <w:szCs w:val="28"/>
        </w:rPr>
        <w:sectPr>
          <w:pgSz w:w="16840" w:h="11907" w:orient="landscape"/>
          <w:pgMar w:top="1417" w:right="1417" w:bottom="1417" w:left="1417" w:header="737" w:footer="992" w:gutter="0"/>
          <w:pgBorders>
            <w:top w:val="none" w:sz="0" w:space="0"/>
            <w:left w:val="none" w:sz="0" w:space="0"/>
            <w:bottom w:val="none" w:sz="0" w:space="0"/>
            <w:right w:val="none" w:sz="0" w:space="0"/>
          </w:pgBorders>
          <w:pgNumType w:fmt="numberInDash"/>
          <w:cols w:space="720" w:num="1"/>
          <w:docGrid w:linePitch="312" w:charSpace="0"/>
        </w:sectPr>
      </w:pP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7"/>
        <w:gridCol w:w="7087"/>
      </w:tblGrid>
      <w:tr w14:paraId="70507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tcPr>
          <w:p w14:paraId="1B405001">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drawing>
                <wp:inline distT="0" distB="0" distL="114300" distR="114300">
                  <wp:extent cx="3458845" cy="2593340"/>
                  <wp:effectExtent l="0" t="0" r="8255" b="16510"/>
                  <wp:docPr id="2" name="图片 2" descr="7a0498112d84f7ccffefef0ba89955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7a0498112d84f7ccffefef0ba899556b"/>
                          <pic:cNvPicPr>
                            <a:picLocks noChangeAspect="1"/>
                          </pic:cNvPicPr>
                        </pic:nvPicPr>
                        <pic:blipFill>
                          <a:blip r:embed="rId121"/>
                          <a:stretch>
                            <a:fillRect/>
                          </a:stretch>
                        </pic:blipFill>
                        <pic:spPr>
                          <a:xfrm>
                            <a:off x="0" y="0"/>
                            <a:ext cx="3458845" cy="2593340"/>
                          </a:xfrm>
                          <a:prstGeom prst="rect">
                            <a:avLst/>
                          </a:prstGeom>
                        </pic:spPr>
                      </pic:pic>
                    </a:graphicData>
                  </a:graphic>
                </wp:inline>
              </w:drawing>
            </w:r>
          </w:p>
        </w:tc>
        <w:tc>
          <w:tcPr>
            <w:tcW w:w="7087" w:type="dxa"/>
          </w:tcPr>
          <w:p w14:paraId="0781F1DE">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drawing>
                <wp:inline distT="0" distB="0" distL="114300" distR="114300">
                  <wp:extent cx="3403600" cy="2552065"/>
                  <wp:effectExtent l="0" t="0" r="6350" b="635"/>
                  <wp:docPr id="3" name="图片 3" descr="908274d8697491e5747361a1d17fe7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908274d8697491e5747361a1d17fe71f"/>
                          <pic:cNvPicPr>
                            <a:picLocks noChangeAspect="1"/>
                          </pic:cNvPicPr>
                        </pic:nvPicPr>
                        <pic:blipFill>
                          <a:blip r:embed="rId122"/>
                          <a:stretch>
                            <a:fillRect/>
                          </a:stretch>
                        </pic:blipFill>
                        <pic:spPr>
                          <a:xfrm>
                            <a:off x="0" y="0"/>
                            <a:ext cx="3403600" cy="2552065"/>
                          </a:xfrm>
                          <a:prstGeom prst="rect">
                            <a:avLst/>
                          </a:prstGeom>
                        </pic:spPr>
                      </pic:pic>
                    </a:graphicData>
                  </a:graphic>
                </wp:inline>
              </w:drawing>
            </w:r>
          </w:p>
        </w:tc>
      </w:tr>
      <w:tr w14:paraId="41B07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tcPr>
          <w:p w14:paraId="3FDB328A">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厂址东侧现状（正望新材料（包头）有限公司库房）</w:t>
            </w:r>
          </w:p>
        </w:tc>
        <w:tc>
          <w:tcPr>
            <w:tcW w:w="7087" w:type="dxa"/>
          </w:tcPr>
          <w:p w14:paraId="522EF0AE">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厂址北侧现状（空地）</w:t>
            </w:r>
          </w:p>
        </w:tc>
      </w:tr>
      <w:tr w14:paraId="71C4C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tcPr>
          <w:p w14:paraId="7B390587">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drawing>
                <wp:inline distT="0" distB="0" distL="114300" distR="114300">
                  <wp:extent cx="3274695" cy="2455545"/>
                  <wp:effectExtent l="0" t="0" r="1905" b="1905"/>
                  <wp:docPr id="5" name="图片 5" descr="9d1f9663b239b03335b2b81e1d3dd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9d1f9663b239b03335b2b81e1d3dd2bb"/>
                          <pic:cNvPicPr>
                            <a:picLocks noChangeAspect="1"/>
                          </pic:cNvPicPr>
                        </pic:nvPicPr>
                        <pic:blipFill>
                          <a:blip r:embed="rId123"/>
                          <a:stretch>
                            <a:fillRect/>
                          </a:stretch>
                        </pic:blipFill>
                        <pic:spPr>
                          <a:xfrm>
                            <a:off x="0" y="0"/>
                            <a:ext cx="3274695" cy="2455545"/>
                          </a:xfrm>
                          <a:prstGeom prst="rect">
                            <a:avLst/>
                          </a:prstGeom>
                        </pic:spPr>
                      </pic:pic>
                    </a:graphicData>
                  </a:graphic>
                </wp:inline>
              </w:drawing>
            </w:r>
          </w:p>
        </w:tc>
        <w:tc>
          <w:tcPr>
            <w:tcW w:w="7087" w:type="dxa"/>
          </w:tcPr>
          <w:p w14:paraId="42B8C250">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drawing>
                <wp:inline distT="0" distB="0" distL="114300" distR="114300">
                  <wp:extent cx="3319145" cy="2488565"/>
                  <wp:effectExtent l="0" t="0" r="14605" b="6985"/>
                  <wp:docPr id="4" name="图片 4" descr="b711996aa979d6db708cef133bdb87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b711996aa979d6db708cef133bdb87d0"/>
                          <pic:cNvPicPr>
                            <a:picLocks noChangeAspect="1"/>
                          </pic:cNvPicPr>
                        </pic:nvPicPr>
                        <pic:blipFill>
                          <a:blip r:embed="rId124"/>
                          <a:stretch>
                            <a:fillRect/>
                          </a:stretch>
                        </pic:blipFill>
                        <pic:spPr>
                          <a:xfrm>
                            <a:off x="0" y="0"/>
                            <a:ext cx="3319145" cy="2488565"/>
                          </a:xfrm>
                          <a:prstGeom prst="rect">
                            <a:avLst/>
                          </a:prstGeom>
                        </pic:spPr>
                      </pic:pic>
                    </a:graphicData>
                  </a:graphic>
                </wp:inline>
              </w:drawing>
            </w:r>
          </w:p>
        </w:tc>
      </w:tr>
      <w:tr w14:paraId="547CB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87" w:type="dxa"/>
          </w:tcPr>
          <w:p w14:paraId="786457BE">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厂址西侧现状（园区道路、空地）</w:t>
            </w:r>
          </w:p>
        </w:tc>
        <w:tc>
          <w:tcPr>
            <w:tcW w:w="7087" w:type="dxa"/>
          </w:tcPr>
          <w:p w14:paraId="5CA93F6B">
            <w:pPr>
              <w:pStyle w:val="43"/>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cs="Times New Roman"/>
                <w:b/>
                <w:bCs/>
                <w:color w:val="auto"/>
                <w:sz w:val="24"/>
                <w:szCs w:val="24"/>
                <w:highlight w:val="none"/>
                <w:vertAlign w:val="baseline"/>
                <w:lang w:val="en-US" w:eastAsia="zh-CN"/>
              </w:rPr>
              <w:t>厂址南侧现状（大连大特气体）</w:t>
            </w:r>
          </w:p>
        </w:tc>
      </w:tr>
    </w:tbl>
    <w:p w14:paraId="34538443">
      <w:pPr>
        <w:pStyle w:val="43"/>
        <w:keepNext w:val="0"/>
        <w:keepLines w:val="0"/>
        <w:pageBreakBefore w:val="0"/>
        <w:widowControl w:val="0"/>
        <w:kinsoku/>
        <w:wordWrap w:val="0"/>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b/>
          <w:bCs/>
          <w:color w:val="auto"/>
          <w:sz w:val="24"/>
          <w:szCs w:val="24"/>
          <w:highlight w:val="none"/>
          <w:vertAlign w:val="baseline"/>
          <w:lang w:val="en-US" w:eastAsia="zh-CN"/>
        </w:rPr>
      </w:pPr>
    </w:p>
    <w:sectPr>
      <w:headerReference r:id="rId20" w:type="default"/>
      <w:footerReference r:id="rId21" w:type="default"/>
      <w:pgSz w:w="16838" w:h="11906" w:orient="landscape"/>
      <w:pgMar w:top="1576" w:right="1440" w:bottom="1576" w:left="1440" w:header="851" w:footer="992" w:gutter="0"/>
      <w:pgBorders w:offsetFrom="page">
        <w:top w:val="none" w:sz="0" w:space="0"/>
        <w:left w:val="none" w:sz="0" w:space="0"/>
        <w:bottom w:val="none" w:sz="0" w:space="0"/>
        <w:right w:val="none" w:sz="0" w:space="0"/>
      </w:pgBorders>
      <w:pgNumType w:fmt="numberInDash"/>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8"/>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ˎ̥">
    <w:altName w:val="Times New Roman"/>
    <w:panose1 w:val="00000000000000000000"/>
    <w:charset w:val="00"/>
    <w:family w:val="roman"/>
    <w:pitch w:val="default"/>
    <w:sig w:usb0="00000000" w:usb1="00000000" w:usb2="00000000" w:usb3="00000000" w:csb0="00040001"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auto"/>
    <w:pitch w:val="default"/>
    <w:sig w:usb0="00000000" w:usb1="00000000" w:usb2="00000000" w:usb3="00000000" w:csb0="80000000" w:csb1="00000000"/>
  </w:font>
  <w:font w:name="Segoe UI">
    <w:panose1 w:val="020B0502040204020203"/>
    <w:charset w:val="00"/>
    <w:family w:val="auto"/>
    <w:pitch w:val="default"/>
    <w:sig w:usb0="E10022FF" w:usb1="C000E47F" w:usb2="00000029" w:usb3="00000000" w:csb0="200001DF" w:csb1="20000000"/>
  </w:font>
  <w:font w:name="CIDFon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Cambria Math">
    <w:panose1 w:val="02040503050406030204"/>
    <w:charset w:val="00"/>
    <w:family w:val="roman"/>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5E56F3">
    <w:pPr>
      <w:pStyle w:val="19"/>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0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6B651D8">
                          <w:pPr>
                            <w:pStyle w:val="19"/>
                            <w:rPr>
                              <w:rFonts w:hint="eastAsia" w:eastAsia="宋体"/>
                              <w:lang w:eastAsia="zh-CN"/>
                            </w:rPr>
                          </w:pPr>
                          <w:r>
                            <w:rPr>
                              <w:rFonts w:hint="eastAsia" w:eastAsia="宋体"/>
                              <w:lang w:eastAsia="zh-CN"/>
                            </w:rPr>
                            <w:t xml:space="preserve">第 </w:t>
                          </w: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w:t>
                          </w:r>
                          <w:r>
                            <w:rPr>
                              <w:rFonts w:hint="eastAsia" w:eastAsia="宋体"/>
                              <w:lang w:eastAsia="zh-CN"/>
                            </w:rPr>
                            <w:fldChar w:fldCharType="end"/>
                          </w:r>
                          <w:r>
                            <w:rPr>
                              <w:rFonts w:hint="eastAsia" w:eastAsia="宋体"/>
                              <w:lang w:eastAsia="zh-CN"/>
                            </w:rPr>
                            <w:t xml:space="preserve"> 页</w:t>
                          </w:r>
                        </w:p>
                      </w:txbxContent>
                    </wps:txbx>
                    <wps:bodyPr vert="horz" wrap="none" lIns="0" tIns="0" rIns="0" bIns="0" anchor="t" anchorCtr="0" upright="0">
                      <a:spAutoFit/>
                    </wps:bodyPr>
                  </wps:wsp>
                </a:graphicData>
              </a:graphic>
            </wp:anchor>
          </w:drawing>
        </mc:Choice>
        <mc:Fallback>
          <w:pict>
            <v:shape id="文本框 2049"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Ary+1L4QEAAMIDAAAOAAAA&#10;AAAAAAEAIAAAAB4BAABkcnMvZTJvRG9jLnhtbFBLBQYAAAAABgAGAFkBAABxBQAAAAA=&#10;">
              <v:fill on="f" focussize="0,0"/>
              <v:stroke on="f"/>
              <v:imagedata o:title=""/>
              <o:lock v:ext="edit" aspectratio="f"/>
              <v:textbox inset="0mm,0mm,0mm,0mm" style="mso-fit-shape-to-text:t;">
                <w:txbxContent>
                  <w:p w14:paraId="56B651D8">
                    <w:pPr>
                      <w:pStyle w:val="19"/>
                      <w:rPr>
                        <w:rFonts w:hint="eastAsia" w:eastAsia="宋体"/>
                        <w:lang w:eastAsia="zh-CN"/>
                      </w:rPr>
                    </w:pPr>
                    <w:r>
                      <w:rPr>
                        <w:rFonts w:hint="eastAsia" w:eastAsia="宋体"/>
                        <w:lang w:eastAsia="zh-CN"/>
                      </w:rPr>
                      <w:t xml:space="preserve">第 </w:t>
                    </w: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w:t>
                    </w:r>
                    <w:r>
                      <w:rPr>
                        <w:rFonts w:hint="eastAsia" w:eastAsia="宋体"/>
                        <w:lang w:eastAsia="zh-CN"/>
                      </w:rPr>
                      <w:fldChar w:fldCharType="end"/>
                    </w:r>
                    <w:r>
                      <w:rPr>
                        <w:rFonts w:hint="eastAsia" w:eastAsia="宋体"/>
                        <w:lang w:eastAsia="zh-CN"/>
                      </w:rPr>
                      <w:t xml:space="preserve"> 页</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4D4A61">
    <w:pPr>
      <w:pStyle w:val="19"/>
      <w:ind w:right="360"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E7F6DB">
    <w:pPr>
      <w:pStyle w:val="19"/>
      <w:ind w:right="360"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6A863B">
    <w:pPr>
      <w:pStyle w:val="19"/>
      <w:ind w:right="360"/>
      <w:jc w:val="center"/>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AAE61F">
                          <w:pPr>
                            <w:pStyle w:val="19"/>
                          </w:pPr>
                          <w:r>
                            <w:fldChar w:fldCharType="begin"/>
                          </w:r>
                          <w:r>
                            <w:instrText xml:space="preserve"> PAGE  \* MERGEFORMAT </w:instrText>
                          </w:r>
                          <w:r>
                            <w:fldChar w:fldCharType="separate"/>
                          </w:r>
                          <w:r>
                            <w:t>57</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G+V5wzAgAAYwQAAA4AAABkcnMvZTJvRG9jLnhtbK1UzY7TMBC+I/EO&#10;lu80aRFL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1TYphGx08/vp9+&#10;Ppx+fSM4g0CNCzPE3TtExvadbTE2w3nAYeLdVl6nLxgR+CHv8SKvaCPh6dJ0Mp3mcHH4hg3ws8fr&#10;zof4XlhNklFQj/51srLDJsQ+dAhJ2YxdS6W6HipDmoJevX6T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G+V5wzAgAAYwQAAA4AAAAAAAAAAQAgAAAAHwEAAGRycy9lMm9Eb2MueG1sUEsF&#10;BgAAAAAGAAYAWQEAAMQFAAAAAA==&#10;">
              <v:fill on="f" focussize="0,0"/>
              <v:stroke on="f" weight="0.5pt"/>
              <v:imagedata o:title=""/>
              <o:lock v:ext="edit" aspectratio="f"/>
              <v:textbox inset="0mm,0mm,0mm,0mm" style="mso-fit-shape-to-text:t;">
                <w:txbxContent>
                  <w:p w14:paraId="37AAE61F">
                    <w:pPr>
                      <w:pStyle w:val="19"/>
                    </w:pPr>
                    <w:r>
                      <w:fldChar w:fldCharType="begin"/>
                    </w:r>
                    <w:r>
                      <w:instrText xml:space="preserve"> PAGE  \* MERGEFORMAT </w:instrText>
                    </w:r>
                    <w:r>
                      <w:fldChar w:fldCharType="separate"/>
                    </w:r>
                    <w:r>
                      <w:t>57</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2E838F">
    <w:pPr>
      <w:pStyle w:val="19"/>
      <w:ind w:right="360" w:firstLine="360"/>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BB540B">
                          <w:pPr>
                            <w:pStyle w:val="19"/>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14:paraId="20BB540B">
                    <w:pPr>
                      <w:pStyle w:val="19"/>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06E0A1">
    <w:pPr>
      <w:pStyle w:val="19"/>
      <w:widowControl w:val="0"/>
      <w:pBdr>
        <w:top w:val="none" w:color="auto" w:sz="0" w:space="1"/>
        <w:left w:val="none" w:color="auto" w:sz="0" w:space="4"/>
        <w:bottom w:val="none" w:color="auto" w:sz="0" w:space="1"/>
        <w:right w:val="none" w:color="auto" w:sz="0" w:space="4"/>
        <w:between w:val="none" w:color="auto" w:sz="0" w:space="0"/>
      </w:pBdr>
      <w:adjustRightInd w:val="0"/>
      <w:snapToGrid w:val="0"/>
      <w:spacing w:line="240" w:lineRule="atLeast"/>
      <w:jc w:val="left"/>
      <w:textAlignment w:val="baseline"/>
      <w:rPr>
        <w:rFonts w:hint="eastAsia"/>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65E931">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tv3s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69oU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ctv3szAgAAYwQAAA4AAAAAAAAAAQAgAAAAHwEAAGRycy9lMm9Eb2MueG1sUEsF&#10;BgAAAAAGAAYAWQEAAMQFAAAAAA==&#10;">
              <v:fill on="f" focussize="0,0"/>
              <v:stroke on="f" weight="0.5pt"/>
              <v:imagedata o:title=""/>
              <o:lock v:ext="edit" aspectratio="f"/>
              <v:textbox inset="0mm,0mm,0mm,0mm" style="mso-fit-shape-to-text:t;">
                <w:txbxContent>
                  <w:p w14:paraId="2F65E931">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336A52">
    <w:pPr>
      <w:pStyle w:val="19"/>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88255C1">
                          <w:pPr>
                            <w:pStyle w:val="19"/>
                            <w:rPr>
                              <w:rFonts w:hint="eastAsia" w:eastAsia="宋体"/>
                              <w:lang w:eastAsia="zh-CN"/>
                            </w:rPr>
                          </w:pPr>
                          <w:r>
                            <w:rPr>
                              <w:rFonts w:hint="eastAsia" w:eastAsia="宋体"/>
                              <w:lang w:eastAsia="zh-CN"/>
                            </w:rPr>
                            <w:t xml:space="preserve">第 </w:t>
                          </w: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101</w:t>
                          </w:r>
                          <w:r>
                            <w:rPr>
                              <w:rFonts w:hint="eastAsia" w:eastAsia="宋体"/>
                              <w:lang w:eastAsia="zh-CN"/>
                            </w:rPr>
                            <w:fldChar w:fldCharType="end"/>
                          </w:r>
                          <w:r>
                            <w:rPr>
                              <w:rFonts w:hint="eastAsia" w:eastAsia="宋体"/>
                              <w:lang w:eastAsia="zh-CN"/>
                            </w:rPr>
                            <w:t xml:space="preserve"> 页</w:t>
                          </w:r>
                        </w:p>
                      </w:txbxContent>
                    </wps:txbx>
                    <wps:bodyPr vert="horz" wrap="none" lIns="0" tIns="0" rIns="0" bIns="0" anchor="t" anchorCtr="0" upright="0">
                      <a:spAutoFit/>
                    </wps:bodyPr>
                  </wps:wsp>
                </a:graphicData>
              </a:graphic>
            </wp:anchor>
          </w:drawing>
        </mc:Choice>
        <mc:Fallback>
          <w:pict>
            <v:shape id="文本框 2051"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zql5uc8AAAAFAQAADwAAAAAAAAAB&#10;ACAAAAAiAAAAZHJzL2Rvd25yZXYueG1sUEsBAhQAFAAAAAgAh07iQHMgO6/gAQAAwgMAAA4AAAAA&#10;AAAAAQAgAAAAHgEAAGRycy9lMm9Eb2MueG1sUEsFBgAAAAAGAAYAWQEAAHAFAAAAAA==&#10;">
              <v:fill on="f" focussize="0,0"/>
              <v:stroke on="f"/>
              <v:imagedata o:title=""/>
              <o:lock v:ext="edit" aspectratio="f"/>
              <v:textbox inset="0mm,0mm,0mm,0mm" style="mso-fit-shape-to-text:t;">
                <w:txbxContent>
                  <w:p w14:paraId="688255C1">
                    <w:pPr>
                      <w:pStyle w:val="19"/>
                      <w:rPr>
                        <w:rFonts w:hint="eastAsia" w:eastAsia="宋体"/>
                        <w:lang w:eastAsia="zh-CN"/>
                      </w:rPr>
                    </w:pPr>
                    <w:r>
                      <w:rPr>
                        <w:rFonts w:hint="eastAsia" w:eastAsia="宋体"/>
                        <w:lang w:eastAsia="zh-CN"/>
                      </w:rPr>
                      <w:t xml:space="preserve">第 </w:t>
                    </w: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101</w:t>
                    </w:r>
                    <w:r>
                      <w:rPr>
                        <w:rFonts w:hint="eastAsia" w:eastAsia="宋体"/>
                        <w:lang w:eastAsia="zh-CN"/>
                      </w:rPr>
                      <w:fldChar w:fldCharType="end"/>
                    </w:r>
                    <w:r>
                      <w:rPr>
                        <w:rFonts w:hint="eastAsia" w:eastAsia="宋体"/>
                        <w:lang w:eastAsia="zh-CN"/>
                      </w:rP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9DF9E4">
    <w:pPr>
      <w:pStyle w:val="19"/>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16125F">
    <w:pPr>
      <w:pStyle w:val="19"/>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EB6C3B">
    <w:pPr>
      <w:pStyle w:val="19"/>
      <w:widowControl w:val="0"/>
      <w:pBdr>
        <w:top w:val="thinThickSmallGap" w:color="auto" w:sz="24" w:space="1"/>
        <w:left w:val="none" w:color="auto" w:sz="0" w:space="4"/>
        <w:bottom w:val="none" w:color="auto" w:sz="0" w:space="1"/>
        <w:right w:val="none" w:color="auto" w:sz="0" w:space="4"/>
        <w:between w:val="none" w:color="auto" w:sz="0" w:space="0"/>
      </w:pBdr>
      <w:adjustRightInd w:val="0"/>
      <w:snapToGrid w:val="0"/>
      <w:spacing w:line="240" w:lineRule="atLeast"/>
      <w:jc w:val="left"/>
      <w:textAlignment w:val="baseline"/>
      <w:rPr>
        <w:rFonts w:hint="eastAsia"/>
      </w:rP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19C9D4">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f25dc5AgAAcQ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s0lY7tAAAAAFAQAADwAAAAAAAAABACAAAAAiAAAAZHJzL2Rvd25yZXYueG1s&#10;UEsBAhQAFAAAAAgAh07iQEf25dc5AgAAcQQAAA4AAAAAAAAAAQAgAAAAHwEAAGRycy9lMm9Eb2Mu&#10;eG1sUEsFBgAAAAAGAAYAWQEAAMoFAAAAAA==&#10;">
              <v:fill on="f" focussize="0,0"/>
              <v:stroke on="f" weight="0.5pt"/>
              <v:imagedata o:title=""/>
              <o:lock v:ext="edit" aspectratio="f"/>
              <v:textbox inset="0mm,0mm,0mm,0mm" style="mso-fit-shape-to-text:t;">
                <w:txbxContent>
                  <w:p w14:paraId="3019C9D4">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39E409">
    <w:pPr>
      <w:pStyle w:val="19"/>
      <w:widowControl w:val="0"/>
      <w:pBdr>
        <w:top w:val="thinThickSmallGap" w:color="auto" w:sz="24" w:space="1"/>
        <w:left w:val="none" w:color="auto" w:sz="0" w:space="4"/>
        <w:bottom w:val="none" w:color="auto" w:sz="0" w:space="1"/>
        <w:right w:val="none" w:color="auto" w:sz="0" w:space="4"/>
        <w:between w:val="none" w:color="auto" w:sz="0" w:space="0"/>
      </w:pBdr>
      <w:adjustRightInd w:val="0"/>
      <w:snapToGrid w:val="0"/>
      <w:spacing w:line="240" w:lineRule="atLeast"/>
      <w:jc w:val="left"/>
      <w:textAlignment w:val="baseline"/>
      <w:rPr>
        <w:rFonts w:hint="eastAsia"/>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AE5594">
    <w:pPr>
      <w:pStyle w:val="19"/>
      <w:widowControl w:val="0"/>
      <w:pBdr>
        <w:top w:val="thinThickSmallGap" w:color="auto" w:sz="24" w:space="1"/>
        <w:left w:val="none" w:color="auto" w:sz="0" w:space="4"/>
        <w:bottom w:val="none" w:color="auto" w:sz="0" w:space="1"/>
        <w:right w:val="none" w:color="auto" w:sz="0" w:space="4"/>
        <w:between w:val="none" w:color="auto" w:sz="0" w:space="0"/>
      </w:pBdr>
      <w:adjustRightInd w:val="0"/>
      <w:snapToGrid w:val="0"/>
      <w:spacing w:line="240" w:lineRule="atLeast"/>
      <w:jc w:val="left"/>
      <w:textAlignment w:val="baseline"/>
      <w:rPr>
        <w:rFonts w:hint="eastAsia"/>
      </w:rPr>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8CB5B8">
                          <w:pPr>
                            <w:pStyle w:val="19"/>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7x9wo3AgAAcQ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C+8fcKNwIAAHEEAAAOAAAAAAAAAAEAIAAAAB8BAABkcnMvZTJvRG9jLnht&#10;bFBLBQYAAAAABgAGAFkBAADIBQAAAAA=&#10;">
              <v:fill on="f" focussize="0,0"/>
              <v:stroke on="f" weight="0.5pt"/>
              <v:imagedata o:title=""/>
              <o:lock v:ext="edit" aspectratio="f"/>
              <v:textbox inset="0mm,0mm,0mm,0mm" style="mso-fit-shape-to-text:t;">
                <w:txbxContent>
                  <w:p w14:paraId="2C8CB5B8">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AF2111">
    <w:pPr>
      <w:pStyle w:val="19"/>
      <w:framePr w:wrap="around" w:vAnchor="text" w:hAnchor="margin" w:xAlign="center" w:y="1"/>
      <w:ind w:firstLine="360"/>
      <w:rPr>
        <w:rStyle w:val="37"/>
      </w:rPr>
    </w:pPr>
    <w:r>
      <w:fldChar w:fldCharType="begin"/>
    </w:r>
    <w:r>
      <w:rPr>
        <w:rStyle w:val="37"/>
        <w:kern w:val="2"/>
        <w:sz w:val="21"/>
        <w:szCs w:val="24"/>
      </w:rPr>
      <w:instrText xml:space="preserve">PAGE  </w:instrText>
    </w:r>
    <w:r>
      <w:fldChar w:fldCharType="end"/>
    </w:r>
  </w:p>
  <w:p w14:paraId="5E639384">
    <w:pPr>
      <w:pStyle w:val="1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52B2DA">
    <w:pPr>
      <w:pStyle w:val="19"/>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5E35F7">
    <w:pPr>
      <w:widowControl w:val="0"/>
      <w:pBdr>
        <w:top w:val="none" w:color="auto" w:sz="0" w:space="1"/>
        <w:left w:val="none" w:color="auto" w:sz="0" w:space="4"/>
        <w:bottom w:val="thinThickSmallGap" w:color="auto" w:sz="24" w:space="1"/>
        <w:right w:val="none" w:color="auto" w:sz="0" w:space="4"/>
        <w:between w:val="none" w:color="auto" w:sz="0" w:space="0"/>
      </w:pBdr>
      <w:jc w:val="center"/>
      <w:rPr>
        <w:rFonts w:hint="eastAsia" w:ascii="楷体" w:hAnsi="楷体" w:eastAsia="楷体" w:cs="楷体"/>
        <w:sz w:val="21"/>
        <w:szCs w:val="21"/>
      </w:rPr>
    </w:pPr>
    <w:r>
      <w:rPr>
        <w:rFonts w:hint="eastAsia" w:ascii="楷体" w:hAnsi="楷体" w:eastAsia="楷体" w:cs="楷体"/>
        <w:b/>
        <w:color w:val="auto"/>
        <w:kern w:val="2"/>
        <w:sz w:val="21"/>
        <w:szCs w:val="21"/>
        <w:lang w:val="en-US" w:eastAsia="zh-CN"/>
      </w:rPr>
      <w:t>民用燃气和工业丙烷以及新型高性能切割气体生产项目环境风险专项评价报告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209CC9">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1EF69">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7086BD">
    <w:pPr>
      <w:rPr>
        <w:rFonts w:hint="eastAsia"/>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918DBC">
    <w:pPr>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A1CEE4"/>
    <w:multiLevelType w:val="singleLevel"/>
    <w:tmpl w:val="9EA1CEE4"/>
    <w:lvl w:ilvl="0" w:tentative="0">
      <w:start w:val="4"/>
      <w:numFmt w:val="chineseCounting"/>
      <w:suff w:val="nothing"/>
      <w:lvlText w:val="%1、"/>
      <w:lvlJc w:val="left"/>
      <w:rPr>
        <w:rFonts w:hint="eastAsia"/>
      </w:rPr>
    </w:lvl>
  </w:abstractNum>
  <w:abstractNum w:abstractNumId="1">
    <w:nsid w:val="A1AE672B"/>
    <w:multiLevelType w:val="singleLevel"/>
    <w:tmpl w:val="A1AE672B"/>
    <w:lvl w:ilvl="0" w:tentative="0">
      <w:start w:val="1"/>
      <w:numFmt w:val="decimal"/>
      <w:suff w:val="nothing"/>
      <w:lvlText w:val="%1）"/>
      <w:lvlJc w:val="left"/>
    </w:lvl>
  </w:abstractNum>
  <w:abstractNum w:abstractNumId="2">
    <w:nsid w:val="AD27D274"/>
    <w:multiLevelType w:val="singleLevel"/>
    <w:tmpl w:val="AD27D274"/>
    <w:lvl w:ilvl="0" w:tentative="0">
      <w:start w:val="1"/>
      <w:numFmt w:val="decimal"/>
      <w:suff w:val="nothing"/>
      <w:lvlText w:val="（%1）"/>
      <w:lvlJc w:val="left"/>
    </w:lvl>
  </w:abstractNum>
  <w:abstractNum w:abstractNumId="3">
    <w:nsid w:val="B3172E10"/>
    <w:multiLevelType w:val="singleLevel"/>
    <w:tmpl w:val="B3172E10"/>
    <w:lvl w:ilvl="0" w:tentative="0">
      <w:start w:val="1"/>
      <w:numFmt w:val="decimal"/>
      <w:suff w:val="nothing"/>
      <w:lvlText w:val="%1）"/>
      <w:lvlJc w:val="left"/>
    </w:lvl>
  </w:abstractNum>
  <w:abstractNum w:abstractNumId="4">
    <w:nsid w:val="C631EA91"/>
    <w:multiLevelType w:val="singleLevel"/>
    <w:tmpl w:val="C631EA91"/>
    <w:lvl w:ilvl="0" w:tentative="0">
      <w:start w:val="1"/>
      <w:numFmt w:val="decimal"/>
      <w:suff w:val="nothing"/>
      <w:lvlText w:val="（%1）"/>
      <w:lvlJc w:val="left"/>
      <w:pPr>
        <w:ind w:left="150"/>
      </w:pPr>
    </w:lvl>
  </w:abstractNum>
  <w:abstractNum w:abstractNumId="5">
    <w:nsid w:val="CE98BA4B"/>
    <w:multiLevelType w:val="singleLevel"/>
    <w:tmpl w:val="CE98BA4B"/>
    <w:lvl w:ilvl="0" w:tentative="0">
      <w:start w:val="1"/>
      <w:numFmt w:val="decimal"/>
      <w:suff w:val="nothing"/>
      <w:lvlText w:val="%1）"/>
      <w:lvlJc w:val="left"/>
    </w:lvl>
  </w:abstractNum>
  <w:abstractNum w:abstractNumId="6">
    <w:nsid w:val="D1CA1CD2"/>
    <w:multiLevelType w:val="singleLevel"/>
    <w:tmpl w:val="D1CA1CD2"/>
    <w:lvl w:ilvl="0" w:tentative="0">
      <w:start w:val="1"/>
      <w:numFmt w:val="decimal"/>
      <w:suff w:val="nothing"/>
      <w:lvlText w:val="%1）"/>
      <w:lvlJc w:val="left"/>
    </w:lvl>
  </w:abstractNum>
  <w:abstractNum w:abstractNumId="7">
    <w:nsid w:val="E2D9DA68"/>
    <w:multiLevelType w:val="singleLevel"/>
    <w:tmpl w:val="E2D9DA68"/>
    <w:lvl w:ilvl="0" w:tentative="0">
      <w:start w:val="1"/>
      <w:numFmt w:val="decimal"/>
      <w:suff w:val="nothing"/>
      <w:lvlText w:val="（%1）"/>
      <w:lvlJc w:val="left"/>
    </w:lvl>
  </w:abstractNum>
  <w:abstractNum w:abstractNumId="8">
    <w:nsid w:val="F6196DCA"/>
    <w:multiLevelType w:val="singleLevel"/>
    <w:tmpl w:val="F6196DCA"/>
    <w:lvl w:ilvl="0" w:tentative="0">
      <w:start w:val="1"/>
      <w:numFmt w:val="decimal"/>
      <w:suff w:val="nothing"/>
      <w:lvlText w:val="（%1）"/>
      <w:lvlJc w:val="left"/>
      <w:pPr>
        <w:ind w:left="-62"/>
      </w:pPr>
    </w:lvl>
  </w:abstractNum>
  <w:abstractNum w:abstractNumId="9">
    <w:nsid w:val="F7623B62"/>
    <w:multiLevelType w:val="singleLevel"/>
    <w:tmpl w:val="F7623B62"/>
    <w:lvl w:ilvl="0" w:tentative="0">
      <w:start w:val="4"/>
      <w:numFmt w:val="decimal"/>
      <w:suff w:val="nothing"/>
      <w:lvlText w:val="%1、"/>
      <w:lvlJc w:val="left"/>
    </w:lvl>
  </w:abstractNum>
  <w:abstractNum w:abstractNumId="10">
    <w:nsid w:val="F96B858B"/>
    <w:multiLevelType w:val="singleLevel"/>
    <w:tmpl w:val="F96B858B"/>
    <w:lvl w:ilvl="0" w:tentative="0">
      <w:start w:val="1"/>
      <w:numFmt w:val="decimal"/>
      <w:suff w:val="nothing"/>
      <w:lvlText w:val="%1）"/>
      <w:lvlJc w:val="left"/>
    </w:lvl>
  </w:abstractNum>
  <w:abstractNum w:abstractNumId="11">
    <w:nsid w:val="0CB85DA5"/>
    <w:multiLevelType w:val="singleLevel"/>
    <w:tmpl w:val="0CB85DA5"/>
    <w:lvl w:ilvl="0" w:tentative="0">
      <w:start w:val="1"/>
      <w:numFmt w:val="bullet"/>
      <w:pStyle w:val="16"/>
      <w:lvlText w:val=""/>
      <w:lvlJc w:val="left"/>
      <w:pPr>
        <w:tabs>
          <w:tab w:val="left" w:pos="2040"/>
        </w:tabs>
        <w:ind w:left="2040" w:hanging="360"/>
      </w:pPr>
      <w:rPr>
        <w:rFonts w:hint="default" w:ascii="Wingdings" w:hAnsi="Wingdings"/>
      </w:rPr>
    </w:lvl>
  </w:abstractNum>
  <w:abstractNum w:abstractNumId="12">
    <w:nsid w:val="12F31C90"/>
    <w:multiLevelType w:val="singleLevel"/>
    <w:tmpl w:val="12F31C90"/>
    <w:lvl w:ilvl="0" w:tentative="0">
      <w:start w:val="1"/>
      <w:numFmt w:val="decimal"/>
      <w:suff w:val="nothing"/>
      <w:lvlText w:val="%1）"/>
      <w:lvlJc w:val="left"/>
    </w:lvl>
  </w:abstractNum>
  <w:abstractNum w:abstractNumId="13">
    <w:nsid w:val="16DF2990"/>
    <w:multiLevelType w:val="multilevel"/>
    <w:tmpl w:val="16DF2990"/>
    <w:lvl w:ilvl="0" w:tentative="0">
      <w:start w:val="1"/>
      <w:numFmt w:val="decimal"/>
      <w:lvlText w:val="%1"/>
      <w:lvlJc w:val="left"/>
      <w:pPr>
        <w:tabs>
          <w:tab w:val="left" w:pos="942"/>
        </w:tabs>
        <w:ind w:left="942" w:hanging="432"/>
      </w:pPr>
    </w:lvl>
    <w:lvl w:ilvl="1" w:tentative="0">
      <w:start w:val="1"/>
      <w:numFmt w:val="decimal"/>
      <w:pStyle w:val="97"/>
      <w:lvlText w:val="%1.%2"/>
      <w:lvlJc w:val="left"/>
      <w:pPr>
        <w:tabs>
          <w:tab w:val="left" w:pos="1086"/>
        </w:tabs>
        <w:ind w:left="1086" w:hanging="576"/>
      </w:pPr>
    </w:lvl>
    <w:lvl w:ilvl="2" w:tentative="0">
      <w:start w:val="1"/>
      <w:numFmt w:val="decimal"/>
      <w:pStyle w:val="98"/>
      <w:lvlText w:val="%1.%2.%3"/>
      <w:lvlJc w:val="left"/>
      <w:pPr>
        <w:tabs>
          <w:tab w:val="left" w:pos="1260"/>
        </w:tabs>
        <w:ind w:left="1260" w:hanging="720"/>
      </w:pPr>
    </w:lvl>
    <w:lvl w:ilvl="3" w:tentative="0">
      <w:start w:val="1"/>
      <w:numFmt w:val="decimal"/>
      <w:lvlText w:val="%1.%2.%3.%4"/>
      <w:lvlJc w:val="left"/>
      <w:pPr>
        <w:tabs>
          <w:tab w:val="left" w:pos="1374"/>
        </w:tabs>
        <w:ind w:left="1374" w:hanging="864"/>
      </w:pPr>
    </w:lvl>
    <w:lvl w:ilvl="4" w:tentative="0">
      <w:start w:val="1"/>
      <w:numFmt w:val="decimal"/>
      <w:lvlText w:val="%1.%2.%3.%4.%5"/>
      <w:lvlJc w:val="left"/>
      <w:pPr>
        <w:tabs>
          <w:tab w:val="left" w:pos="1518"/>
        </w:tabs>
        <w:ind w:left="1518" w:hanging="1008"/>
      </w:pPr>
    </w:lvl>
    <w:lvl w:ilvl="5" w:tentative="0">
      <w:start w:val="1"/>
      <w:numFmt w:val="decimal"/>
      <w:lvlText w:val="%1.%2.%3.%4.%5.%6"/>
      <w:lvlJc w:val="left"/>
      <w:pPr>
        <w:tabs>
          <w:tab w:val="left" w:pos="1662"/>
        </w:tabs>
        <w:ind w:left="1662" w:hanging="1152"/>
      </w:pPr>
    </w:lvl>
    <w:lvl w:ilvl="6" w:tentative="0">
      <w:start w:val="1"/>
      <w:numFmt w:val="decimal"/>
      <w:lvlText w:val="%1.%2.%3.%4.%5.%6.%7"/>
      <w:lvlJc w:val="left"/>
      <w:pPr>
        <w:tabs>
          <w:tab w:val="left" w:pos="1806"/>
        </w:tabs>
        <w:ind w:left="1806" w:hanging="1296"/>
      </w:pPr>
    </w:lvl>
    <w:lvl w:ilvl="7" w:tentative="0">
      <w:start w:val="1"/>
      <w:numFmt w:val="decimal"/>
      <w:lvlText w:val="%1.%2.%3.%4.%5.%6.%7.%8"/>
      <w:lvlJc w:val="left"/>
      <w:pPr>
        <w:tabs>
          <w:tab w:val="left" w:pos="1950"/>
        </w:tabs>
        <w:ind w:left="1950" w:hanging="1440"/>
      </w:pPr>
    </w:lvl>
    <w:lvl w:ilvl="8" w:tentative="0">
      <w:start w:val="1"/>
      <w:numFmt w:val="decimal"/>
      <w:lvlText w:val="%1.%2.%3.%4.%5.%6.%7.%8.%9"/>
      <w:lvlJc w:val="left"/>
      <w:pPr>
        <w:tabs>
          <w:tab w:val="left" w:pos="2094"/>
        </w:tabs>
        <w:ind w:left="2094" w:hanging="1584"/>
      </w:pPr>
    </w:lvl>
  </w:abstractNum>
  <w:abstractNum w:abstractNumId="14">
    <w:nsid w:val="1E877232"/>
    <w:multiLevelType w:val="singleLevel"/>
    <w:tmpl w:val="1E877232"/>
    <w:lvl w:ilvl="0" w:tentative="0">
      <w:start w:val="1"/>
      <w:numFmt w:val="decimal"/>
      <w:suff w:val="nothing"/>
      <w:lvlText w:val="（%1）"/>
      <w:lvlJc w:val="left"/>
    </w:lvl>
  </w:abstractNum>
  <w:abstractNum w:abstractNumId="15">
    <w:nsid w:val="2ABC3C95"/>
    <w:multiLevelType w:val="singleLevel"/>
    <w:tmpl w:val="2ABC3C95"/>
    <w:lvl w:ilvl="0" w:tentative="0">
      <w:start w:val="1"/>
      <w:numFmt w:val="decimal"/>
      <w:suff w:val="nothing"/>
      <w:lvlText w:val="（%1）"/>
      <w:lvlJc w:val="left"/>
    </w:lvl>
  </w:abstractNum>
  <w:abstractNum w:abstractNumId="16">
    <w:nsid w:val="467EF7F2"/>
    <w:multiLevelType w:val="singleLevel"/>
    <w:tmpl w:val="467EF7F2"/>
    <w:lvl w:ilvl="0" w:tentative="0">
      <w:start w:val="1"/>
      <w:numFmt w:val="decimal"/>
      <w:suff w:val="nothing"/>
      <w:lvlText w:val="%1）"/>
      <w:lvlJc w:val="left"/>
    </w:lvl>
  </w:abstractNum>
  <w:num w:numId="1">
    <w:abstractNumId w:val="11"/>
  </w:num>
  <w:num w:numId="2">
    <w:abstractNumId w:val="13"/>
    <w:lvlOverride w:ilvl="0">
      <w:lvl w:ilvl="0" w:tentative="1">
        <w:start w:val="1"/>
        <w:numFmt w:val="decimal"/>
        <w:lvlText w:val="%1"/>
        <w:lvlJc w:val="left"/>
        <w:pPr>
          <w:tabs>
            <w:tab w:val="left" w:pos="942"/>
          </w:tabs>
          <w:ind w:left="942" w:hanging="432"/>
        </w:pPr>
      </w:lvl>
    </w:lvlOverride>
    <w:lvlOverride w:ilvl="1">
      <w:lvl w:ilvl="1" w:tentative="1">
        <w:start w:val="1"/>
        <w:numFmt w:val="decimal"/>
        <w:lvlText w:val="%1.%2"/>
        <w:lvlJc w:val="left"/>
        <w:pPr>
          <w:tabs>
            <w:tab w:val="left" w:pos="1086"/>
          </w:tabs>
          <w:ind w:left="1086" w:hanging="576"/>
        </w:pPr>
      </w:lvl>
    </w:lvlOverride>
    <w:lvlOverride w:ilvl="2">
      <w:lvl w:ilvl="2" w:tentative="1">
        <w:start w:val="1"/>
        <w:numFmt w:val="decimal"/>
        <w:lvlText w:val="%1.%2.%3"/>
        <w:lvlJc w:val="left"/>
        <w:pPr>
          <w:tabs>
            <w:tab w:val="left" w:pos="1260"/>
          </w:tabs>
          <w:ind w:left="1260" w:hanging="720"/>
        </w:pPr>
      </w:lvl>
    </w:lvlOverride>
    <w:lvlOverride w:ilvl="3">
      <w:lvl w:ilvl="3" w:tentative="1">
        <w:start w:val="1"/>
        <w:numFmt w:val="decimal"/>
        <w:pStyle w:val="90"/>
        <w:lvlText w:val="%1.%2.%3.%4"/>
        <w:lvlJc w:val="left"/>
        <w:pPr>
          <w:tabs>
            <w:tab w:val="left" w:pos="1374"/>
          </w:tabs>
          <w:ind w:left="1374" w:hanging="864"/>
        </w:pPr>
      </w:lvl>
    </w:lvlOverride>
    <w:lvlOverride w:ilvl="4">
      <w:lvl w:ilvl="4" w:tentative="1">
        <w:start w:val="1"/>
        <w:numFmt w:val="decimal"/>
        <w:lvlText w:val="%1.%2.%3.%4.%5"/>
        <w:lvlJc w:val="left"/>
        <w:pPr>
          <w:tabs>
            <w:tab w:val="left" w:pos="1518"/>
          </w:tabs>
          <w:ind w:left="1518" w:hanging="1008"/>
        </w:pPr>
      </w:lvl>
    </w:lvlOverride>
    <w:lvlOverride w:ilvl="5">
      <w:lvl w:ilvl="5" w:tentative="1">
        <w:start w:val="1"/>
        <w:numFmt w:val="decimal"/>
        <w:lvlText w:val="%1.%2.%3.%4.%5.%6"/>
        <w:lvlJc w:val="left"/>
        <w:pPr>
          <w:tabs>
            <w:tab w:val="left" w:pos="1662"/>
          </w:tabs>
          <w:ind w:left="1662" w:hanging="1152"/>
        </w:pPr>
      </w:lvl>
    </w:lvlOverride>
    <w:lvlOverride w:ilvl="6">
      <w:lvl w:ilvl="6" w:tentative="1">
        <w:start w:val="1"/>
        <w:numFmt w:val="decimal"/>
        <w:lvlText w:val="%1.%2.%3.%4.%5.%6.%7"/>
        <w:lvlJc w:val="left"/>
        <w:pPr>
          <w:tabs>
            <w:tab w:val="left" w:pos="1806"/>
          </w:tabs>
          <w:ind w:left="1806" w:hanging="1296"/>
        </w:pPr>
      </w:lvl>
    </w:lvlOverride>
    <w:lvlOverride w:ilvl="7">
      <w:lvl w:ilvl="7" w:tentative="1">
        <w:start w:val="1"/>
        <w:numFmt w:val="decimal"/>
        <w:lvlText w:val="%1.%2.%3.%4.%5.%6.%7.%8"/>
        <w:lvlJc w:val="left"/>
        <w:pPr>
          <w:tabs>
            <w:tab w:val="left" w:pos="1950"/>
          </w:tabs>
          <w:ind w:left="1950" w:hanging="1440"/>
        </w:pPr>
      </w:lvl>
    </w:lvlOverride>
    <w:lvlOverride w:ilvl="8">
      <w:lvl w:ilvl="8" w:tentative="1">
        <w:start w:val="1"/>
        <w:numFmt w:val="decimal"/>
        <w:lvlText w:val="%1.%2.%3.%4.%5.%6.%7.%8.%9"/>
        <w:lvlJc w:val="left"/>
        <w:pPr>
          <w:tabs>
            <w:tab w:val="left" w:pos="2094"/>
          </w:tabs>
          <w:ind w:left="2094" w:hanging="1584"/>
        </w:pPr>
      </w:lvl>
    </w:lvlOverride>
  </w:num>
  <w:num w:numId="3">
    <w:abstractNumId w:val="13"/>
  </w:num>
  <w:num w:numId="4">
    <w:abstractNumId w:val="9"/>
  </w:num>
  <w:num w:numId="5">
    <w:abstractNumId w:val="1"/>
  </w:num>
  <w:num w:numId="6">
    <w:abstractNumId w:val="7"/>
  </w:num>
  <w:num w:numId="7">
    <w:abstractNumId w:val="6"/>
  </w:num>
  <w:num w:numId="8">
    <w:abstractNumId w:val="4"/>
  </w:num>
  <w:num w:numId="9">
    <w:abstractNumId w:val="14"/>
  </w:num>
  <w:num w:numId="10">
    <w:abstractNumId w:val="16"/>
  </w:num>
  <w:num w:numId="11">
    <w:abstractNumId w:val="10"/>
  </w:num>
  <w:num w:numId="12">
    <w:abstractNumId w:val="3"/>
  </w:num>
  <w:num w:numId="13">
    <w:abstractNumId w:val="0"/>
  </w:num>
  <w:num w:numId="14">
    <w:abstractNumId w:val="8"/>
  </w:num>
  <w:num w:numId="15">
    <w:abstractNumId w:val="15"/>
  </w:num>
  <w:num w:numId="16">
    <w:abstractNumId w:val="5"/>
  </w:num>
  <w:num w:numId="17">
    <w:abstractNumId w:val="12"/>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U3ZDIwZThmZWJiMDE0MGJhYjBhZDhjMDFhN2JhMTcifQ=="/>
  </w:docVars>
  <w:rsids>
    <w:rsidRoot w:val="00172A2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3AB6"/>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0EEA"/>
    <w:rsid w:val="002D3A42"/>
    <w:rsid w:val="002D3DD0"/>
    <w:rsid w:val="002E1F3A"/>
    <w:rsid w:val="002E298A"/>
    <w:rsid w:val="00301978"/>
    <w:rsid w:val="0030332C"/>
    <w:rsid w:val="003051C2"/>
    <w:rsid w:val="00312296"/>
    <w:rsid w:val="00314F0E"/>
    <w:rsid w:val="00321D8E"/>
    <w:rsid w:val="00325928"/>
    <w:rsid w:val="00332863"/>
    <w:rsid w:val="0033684D"/>
    <w:rsid w:val="00337B42"/>
    <w:rsid w:val="00337BF1"/>
    <w:rsid w:val="00341B42"/>
    <w:rsid w:val="0034348F"/>
    <w:rsid w:val="00356653"/>
    <w:rsid w:val="0035743F"/>
    <w:rsid w:val="00357BE2"/>
    <w:rsid w:val="0036170C"/>
    <w:rsid w:val="00366E0F"/>
    <w:rsid w:val="00381A72"/>
    <w:rsid w:val="00384676"/>
    <w:rsid w:val="00390857"/>
    <w:rsid w:val="003A4BF3"/>
    <w:rsid w:val="003B420D"/>
    <w:rsid w:val="003B5EB4"/>
    <w:rsid w:val="003C6C16"/>
    <w:rsid w:val="003D794D"/>
    <w:rsid w:val="003E3058"/>
    <w:rsid w:val="003E76A9"/>
    <w:rsid w:val="003F0809"/>
    <w:rsid w:val="003F6A8C"/>
    <w:rsid w:val="003F755C"/>
    <w:rsid w:val="00406F01"/>
    <w:rsid w:val="00416D50"/>
    <w:rsid w:val="00416FD5"/>
    <w:rsid w:val="00417772"/>
    <w:rsid w:val="00420E6A"/>
    <w:rsid w:val="00425A9E"/>
    <w:rsid w:val="0042684A"/>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1251"/>
    <w:rsid w:val="005720AE"/>
    <w:rsid w:val="00590AF3"/>
    <w:rsid w:val="00594D77"/>
    <w:rsid w:val="005969E4"/>
    <w:rsid w:val="005A06B7"/>
    <w:rsid w:val="005A1759"/>
    <w:rsid w:val="005A68A7"/>
    <w:rsid w:val="005B0A1D"/>
    <w:rsid w:val="005D36AB"/>
    <w:rsid w:val="00617CC3"/>
    <w:rsid w:val="006377A6"/>
    <w:rsid w:val="00637A3D"/>
    <w:rsid w:val="006411EF"/>
    <w:rsid w:val="00641BFD"/>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D4401"/>
    <w:rsid w:val="007D7823"/>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87BFC"/>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00"/>
    <w:rsid w:val="00C10578"/>
    <w:rsid w:val="00C135BC"/>
    <w:rsid w:val="00C15C95"/>
    <w:rsid w:val="00C2596A"/>
    <w:rsid w:val="00C27537"/>
    <w:rsid w:val="00C328FE"/>
    <w:rsid w:val="00C33507"/>
    <w:rsid w:val="00C4409D"/>
    <w:rsid w:val="00C44E72"/>
    <w:rsid w:val="00C45A06"/>
    <w:rsid w:val="00C47E5B"/>
    <w:rsid w:val="00C61E4B"/>
    <w:rsid w:val="00C64BFF"/>
    <w:rsid w:val="00C65E42"/>
    <w:rsid w:val="00C704E9"/>
    <w:rsid w:val="00C763C9"/>
    <w:rsid w:val="00C80057"/>
    <w:rsid w:val="00C82232"/>
    <w:rsid w:val="00C82913"/>
    <w:rsid w:val="00C972B1"/>
    <w:rsid w:val="00CA2CCE"/>
    <w:rsid w:val="00CA43FD"/>
    <w:rsid w:val="00CA7EF8"/>
    <w:rsid w:val="00CC489B"/>
    <w:rsid w:val="00CD2BCD"/>
    <w:rsid w:val="00CD3A4C"/>
    <w:rsid w:val="00CD747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04E"/>
    <w:rsid w:val="00F74345"/>
    <w:rsid w:val="00F80A0A"/>
    <w:rsid w:val="00F82B19"/>
    <w:rsid w:val="00F848CC"/>
    <w:rsid w:val="00F9212D"/>
    <w:rsid w:val="00F965DA"/>
    <w:rsid w:val="00FA406A"/>
    <w:rsid w:val="00FB503A"/>
    <w:rsid w:val="00FB516C"/>
    <w:rsid w:val="00FD0236"/>
    <w:rsid w:val="00FD18F4"/>
    <w:rsid w:val="00FD54DB"/>
    <w:rsid w:val="00FD619F"/>
    <w:rsid w:val="0102011E"/>
    <w:rsid w:val="01056A1B"/>
    <w:rsid w:val="010F6987"/>
    <w:rsid w:val="01290F7E"/>
    <w:rsid w:val="014B647B"/>
    <w:rsid w:val="015A4675"/>
    <w:rsid w:val="015D1E09"/>
    <w:rsid w:val="015E68E9"/>
    <w:rsid w:val="016320EC"/>
    <w:rsid w:val="01793BC1"/>
    <w:rsid w:val="0179539C"/>
    <w:rsid w:val="0183099C"/>
    <w:rsid w:val="018F2386"/>
    <w:rsid w:val="01970A07"/>
    <w:rsid w:val="019E6592"/>
    <w:rsid w:val="01C55EE0"/>
    <w:rsid w:val="01CE373E"/>
    <w:rsid w:val="01D52B20"/>
    <w:rsid w:val="01D711EE"/>
    <w:rsid w:val="01E4220C"/>
    <w:rsid w:val="01EF30DE"/>
    <w:rsid w:val="02291994"/>
    <w:rsid w:val="025961FC"/>
    <w:rsid w:val="02697903"/>
    <w:rsid w:val="026E25F2"/>
    <w:rsid w:val="02A165F0"/>
    <w:rsid w:val="02B45011"/>
    <w:rsid w:val="02CC0A89"/>
    <w:rsid w:val="02E3553F"/>
    <w:rsid w:val="02E856FF"/>
    <w:rsid w:val="02F04E43"/>
    <w:rsid w:val="02F96569"/>
    <w:rsid w:val="02FC5C84"/>
    <w:rsid w:val="03030B65"/>
    <w:rsid w:val="031A7091"/>
    <w:rsid w:val="0322775E"/>
    <w:rsid w:val="032446E7"/>
    <w:rsid w:val="032D2B1F"/>
    <w:rsid w:val="032F57BF"/>
    <w:rsid w:val="0331646D"/>
    <w:rsid w:val="033D0D6D"/>
    <w:rsid w:val="03646AA4"/>
    <w:rsid w:val="039E3308"/>
    <w:rsid w:val="03A927FC"/>
    <w:rsid w:val="03C70D9F"/>
    <w:rsid w:val="03D32643"/>
    <w:rsid w:val="03D845C0"/>
    <w:rsid w:val="03EA7B21"/>
    <w:rsid w:val="03EC7858"/>
    <w:rsid w:val="04083481"/>
    <w:rsid w:val="041D6BC9"/>
    <w:rsid w:val="04230BDF"/>
    <w:rsid w:val="04317AD7"/>
    <w:rsid w:val="0433105F"/>
    <w:rsid w:val="043B6626"/>
    <w:rsid w:val="04451331"/>
    <w:rsid w:val="044E68A6"/>
    <w:rsid w:val="04542658"/>
    <w:rsid w:val="045A3872"/>
    <w:rsid w:val="045B5C82"/>
    <w:rsid w:val="045D4E09"/>
    <w:rsid w:val="04605A5C"/>
    <w:rsid w:val="047826E6"/>
    <w:rsid w:val="047B14FB"/>
    <w:rsid w:val="047D5ACE"/>
    <w:rsid w:val="04855F65"/>
    <w:rsid w:val="049C35EB"/>
    <w:rsid w:val="049C3B17"/>
    <w:rsid w:val="049F168E"/>
    <w:rsid w:val="04AE3A35"/>
    <w:rsid w:val="04C53BC6"/>
    <w:rsid w:val="04C64ADD"/>
    <w:rsid w:val="04DA6436"/>
    <w:rsid w:val="04F03C97"/>
    <w:rsid w:val="05263ED2"/>
    <w:rsid w:val="052B5EC8"/>
    <w:rsid w:val="054B7351"/>
    <w:rsid w:val="054F3980"/>
    <w:rsid w:val="05585974"/>
    <w:rsid w:val="057B17F5"/>
    <w:rsid w:val="0587260E"/>
    <w:rsid w:val="05A17E37"/>
    <w:rsid w:val="05B01995"/>
    <w:rsid w:val="05B94A03"/>
    <w:rsid w:val="05CD63D3"/>
    <w:rsid w:val="05D8525B"/>
    <w:rsid w:val="05EB0115"/>
    <w:rsid w:val="05F332E6"/>
    <w:rsid w:val="05F83EAE"/>
    <w:rsid w:val="061B5442"/>
    <w:rsid w:val="06274946"/>
    <w:rsid w:val="063A7D76"/>
    <w:rsid w:val="063E7D85"/>
    <w:rsid w:val="064E3081"/>
    <w:rsid w:val="065D6F80"/>
    <w:rsid w:val="06864CF1"/>
    <w:rsid w:val="06C038E0"/>
    <w:rsid w:val="06C32904"/>
    <w:rsid w:val="06DB0691"/>
    <w:rsid w:val="06E95455"/>
    <w:rsid w:val="06EC1406"/>
    <w:rsid w:val="07293586"/>
    <w:rsid w:val="07295285"/>
    <w:rsid w:val="073D6F00"/>
    <w:rsid w:val="074D6535"/>
    <w:rsid w:val="07636392"/>
    <w:rsid w:val="076745CB"/>
    <w:rsid w:val="07690DCB"/>
    <w:rsid w:val="076F7F5C"/>
    <w:rsid w:val="0772486B"/>
    <w:rsid w:val="07770C56"/>
    <w:rsid w:val="078443E0"/>
    <w:rsid w:val="078A2181"/>
    <w:rsid w:val="07942E81"/>
    <w:rsid w:val="07A26F43"/>
    <w:rsid w:val="07A53F71"/>
    <w:rsid w:val="07AD301D"/>
    <w:rsid w:val="07AF735C"/>
    <w:rsid w:val="07BC1A1F"/>
    <w:rsid w:val="07CB0A29"/>
    <w:rsid w:val="07CD5411"/>
    <w:rsid w:val="07D07A5E"/>
    <w:rsid w:val="07D735DF"/>
    <w:rsid w:val="080D112A"/>
    <w:rsid w:val="080F6508"/>
    <w:rsid w:val="08341A17"/>
    <w:rsid w:val="08347787"/>
    <w:rsid w:val="08375A89"/>
    <w:rsid w:val="08394D44"/>
    <w:rsid w:val="083F4466"/>
    <w:rsid w:val="085C3228"/>
    <w:rsid w:val="086C5F59"/>
    <w:rsid w:val="086F1A4B"/>
    <w:rsid w:val="08713CDC"/>
    <w:rsid w:val="08730D3A"/>
    <w:rsid w:val="087E10AA"/>
    <w:rsid w:val="087E389E"/>
    <w:rsid w:val="08BB3EB6"/>
    <w:rsid w:val="08DC2A0E"/>
    <w:rsid w:val="08E008CD"/>
    <w:rsid w:val="08E916A0"/>
    <w:rsid w:val="08F2130C"/>
    <w:rsid w:val="09105461"/>
    <w:rsid w:val="09117DC0"/>
    <w:rsid w:val="0919322C"/>
    <w:rsid w:val="092217DD"/>
    <w:rsid w:val="09232B06"/>
    <w:rsid w:val="09301170"/>
    <w:rsid w:val="093A7294"/>
    <w:rsid w:val="09550CE0"/>
    <w:rsid w:val="09674441"/>
    <w:rsid w:val="096F6E60"/>
    <w:rsid w:val="097501A5"/>
    <w:rsid w:val="09773A2E"/>
    <w:rsid w:val="097A1AB3"/>
    <w:rsid w:val="09933B1B"/>
    <w:rsid w:val="09AE5463"/>
    <w:rsid w:val="09AE7A1D"/>
    <w:rsid w:val="09B2010B"/>
    <w:rsid w:val="09B3671E"/>
    <w:rsid w:val="09C74D7E"/>
    <w:rsid w:val="09C90ECD"/>
    <w:rsid w:val="09CC2728"/>
    <w:rsid w:val="09E92A24"/>
    <w:rsid w:val="09EE0DA2"/>
    <w:rsid w:val="09FB50DC"/>
    <w:rsid w:val="0A0226CE"/>
    <w:rsid w:val="0A263993"/>
    <w:rsid w:val="0A2D3AC2"/>
    <w:rsid w:val="0A353484"/>
    <w:rsid w:val="0A3D5971"/>
    <w:rsid w:val="0A603242"/>
    <w:rsid w:val="0A871FE2"/>
    <w:rsid w:val="0A8F37B0"/>
    <w:rsid w:val="0A966F4D"/>
    <w:rsid w:val="0A9B3764"/>
    <w:rsid w:val="0AA755DF"/>
    <w:rsid w:val="0AB25ADA"/>
    <w:rsid w:val="0AC71F18"/>
    <w:rsid w:val="0AD2150D"/>
    <w:rsid w:val="0ADA58EF"/>
    <w:rsid w:val="0AE0250D"/>
    <w:rsid w:val="0AF44BDC"/>
    <w:rsid w:val="0B0169F8"/>
    <w:rsid w:val="0B120D44"/>
    <w:rsid w:val="0B1C24C3"/>
    <w:rsid w:val="0B224B69"/>
    <w:rsid w:val="0B376C77"/>
    <w:rsid w:val="0B3B5383"/>
    <w:rsid w:val="0B4B6FB8"/>
    <w:rsid w:val="0B62178A"/>
    <w:rsid w:val="0B6516CD"/>
    <w:rsid w:val="0B770358"/>
    <w:rsid w:val="0B7838D7"/>
    <w:rsid w:val="0B7B59FD"/>
    <w:rsid w:val="0B933CE9"/>
    <w:rsid w:val="0BB44678"/>
    <w:rsid w:val="0BC36271"/>
    <w:rsid w:val="0BD0037E"/>
    <w:rsid w:val="0BD27BF6"/>
    <w:rsid w:val="0BF535E7"/>
    <w:rsid w:val="0BFB53E2"/>
    <w:rsid w:val="0BFB548B"/>
    <w:rsid w:val="0C034491"/>
    <w:rsid w:val="0C192751"/>
    <w:rsid w:val="0C3B3C7D"/>
    <w:rsid w:val="0C3E4D49"/>
    <w:rsid w:val="0C49171B"/>
    <w:rsid w:val="0C6A2BD9"/>
    <w:rsid w:val="0C6B70F8"/>
    <w:rsid w:val="0C796DC6"/>
    <w:rsid w:val="0C886363"/>
    <w:rsid w:val="0C9A0557"/>
    <w:rsid w:val="0CAB2EAE"/>
    <w:rsid w:val="0CB33769"/>
    <w:rsid w:val="0CC61B5A"/>
    <w:rsid w:val="0CD60821"/>
    <w:rsid w:val="0CD95589"/>
    <w:rsid w:val="0CE04919"/>
    <w:rsid w:val="0CE4018C"/>
    <w:rsid w:val="0CEA2AE0"/>
    <w:rsid w:val="0CF1359C"/>
    <w:rsid w:val="0CF3683C"/>
    <w:rsid w:val="0D0D5500"/>
    <w:rsid w:val="0D116EA1"/>
    <w:rsid w:val="0D180CBB"/>
    <w:rsid w:val="0D1B083F"/>
    <w:rsid w:val="0D2A122F"/>
    <w:rsid w:val="0D330A47"/>
    <w:rsid w:val="0D3706D1"/>
    <w:rsid w:val="0D3D4E4A"/>
    <w:rsid w:val="0D621C7D"/>
    <w:rsid w:val="0D726FA9"/>
    <w:rsid w:val="0D7333B1"/>
    <w:rsid w:val="0D7B55E0"/>
    <w:rsid w:val="0DA33E19"/>
    <w:rsid w:val="0DA34EF7"/>
    <w:rsid w:val="0DAA1EE1"/>
    <w:rsid w:val="0DC64DCC"/>
    <w:rsid w:val="0E0472BC"/>
    <w:rsid w:val="0E2B1EC1"/>
    <w:rsid w:val="0E316586"/>
    <w:rsid w:val="0E3678EF"/>
    <w:rsid w:val="0E405E69"/>
    <w:rsid w:val="0E5064BC"/>
    <w:rsid w:val="0E683358"/>
    <w:rsid w:val="0E6C15D3"/>
    <w:rsid w:val="0E73034D"/>
    <w:rsid w:val="0E7D40D3"/>
    <w:rsid w:val="0E7E48FE"/>
    <w:rsid w:val="0E8F6470"/>
    <w:rsid w:val="0E930644"/>
    <w:rsid w:val="0E9D0703"/>
    <w:rsid w:val="0EA8021F"/>
    <w:rsid w:val="0EA80F5D"/>
    <w:rsid w:val="0EB204D0"/>
    <w:rsid w:val="0ED20659"/>
    <w:rsid w:val="0EE718FC"/>
    <w:rsid w:val="0EF94E06"/>
    <w:rsid w:val="0EFB5DF5"/>
    <w:rsid w:val="0F00127A"/>
    <w:rsid w:val="0F13775A"/>
    <w:rsid w:val="0F191421"/>
    <w:rsid w:val="0F205090"/>
    <w:rsid w:val="0F5F45FE"/>
    <w:rsid w:val="0F6F44F5"/>
    <w:rsid w:val="0F735BF1"/>
    <w:rsid w:val="0F7F4D80"/>
    <w:rsid w:val="0F87660A"/>
    <w:rsid w:val="0F882454"/>
    <w:rsid w:val="0F92144D"/>
    <w:rsid w:val="0F982B0A"/>
    <w:rsid w:val="0F9A112B"/>
    <w:rsid w:val="0FAA3027"/>
    <w:rsid w:val="0FC91C79"/>
    <w:rsid w:val="0FEC48EC"/>
    <w:rsid w:val="0FF05AE6"/>
    <w:rsid w:val="0FF84F95"/>
    <w:rsid w:val="0FF93CE2"/>
    <w:rsid w:val="100E6AE6"/>
    <w:rsid w:val="10270C0B"/>
    <w:rsid w:val="10285C72"/>
    <w:rsid w:val="10343EDF"/>
    <w:rsid w:val="103467F6"/>
    <w:rsid w:val="10353A07"/>
    <w:rsid w:val="104D6045"/>
    <w:rsid w:val="106114B4"/>
    <w:rsid w:val="106838DD"/>
    <w:rsid w:val="106D2F64"/>
    <w:rsid w:val="109556D4"/>
    <w:rsid w:val="10963EB1"/>
    <w:rsid w:val="10965086"/>
    <w:rsid w:val="109E1BD1"/>
    <w:rsid w:val="109E6340"/>
    <w:rsid w:val="10A437A4"/>
    <w:rsid w:val="10AB7F36"/>
    <w:rsid w:val="10B55124"/>
    <w:rsid w:val="10B63710"/>
    <w:rsid w:val="10C10CE4"/>
    <w:rsid w:val="10DC2F5C"/>
    <w:rsid w:val="10EF50F4"/>
    <w:rsid w:val="10F10820"/>
    <w:rsid w:val="111C2F7A"/>
    <w:rsid w:val="113818CE"/>
    <w:rsid w:val="11450C10"/>
    <w:rsid w:val="11506B96"/>
    <w:rsid w:val="115243E1"/>
    <w:rsid w:val="11665CA1"/>
    <w:rsid w:val="11684E11"/>
    <w:rsid w:val="117851F8"/>
    <w:rsid w:val="117E208B"/>
    <w:rsid w:val="117E7970"/>
    <w:rsid w:val="11A4746C"/>
    <w:rsid w:val="11F14D74"/>
    <w:rsid w:val="11F523D2"/>
    <w:rsid w:val="11F7454E"/>
    <w:rsid w:val="12274E2E"/>
    <w:rsid w:val="122F751E"/>
    <w:rsid w:val="1235718D"/>
    <w:rsid w:val="12457C9C"/>
    <w:rsid w:val="12656535"/>
    <w:rsid w:val="126F0401"/>
    <w:rsid w:val="128E43A0"/>
    <w:rsid w:val="12911C75"/>
    <w:rsid w:val="12A56807"/>
    <w:rsid w:val="12CB0C74"/>
    <w:rsid w:val="12D065C5"/>
    <w:rsid w:val="12E572AB"/>
    <w:rsid w:val="12EE24F4"/>
    <w:rsid w:val="13384AB7"/>
    <w:rsid w:val="1339252A"/>
    <w:rsid w:val="13610D0E"/>
    <w:rsid w:val="13623FB2"/>
    <w:rsid w:val="136606EB"/>
    <w:rsid w:val="136E3E30"/>
    <w:rsid w:val="136F7CFF"/>
    <w:rsid w:val="13741DF4"/>
    <w:rsid w:val="137628A3"/>
    <w:rsid w:val="137F1176"/>
    <w:rsid w:val="13951726"/>
    <w:rsid w:val="1398505F"/>
    <w:rsid w:val="13BC23FF"/>
    <w:rsid w:val="13C86CBF"/>
    <w:rsid w:val="13CA49C3"/>
    <w:rsid w:val="13CA7DC5"/>
    <w:rsid w:val="13CD1025"/>
    <w:rsid w:val="14396509"/>
    <w:rsid w:val="143F310F"/>
    <w:rsid w:val="14475340"/>
    <w:rsid w:val="145413EA"/>
    <w:rsid w:val="1457167D"/>
    <w:rsid w:val="146556F0"/>
    <w:rsid w:val="146A121C"/>
    <w:rsid w:val="14747E5D"/>
    <w:rsid w:val="147A71A0"/>
    <w:rsid w:val="14856FED"/>
    <w:rsid w:val="148C19E5"/>
    <w:rsid w:val="14963A7E"/>
    <w:rsid w:val="14973E20"/>
    <w:rsid w:val="149F32A4"/>
    <w:rsid w:val="14A85D68"/>
    <w:rsid w:val="14B2621D"/>
    <w:rsid w:val="14CA24C0"/>
    <w:rsid w:val="14DD2C3C"/>
    <w:rsid w:val="14E72EA9"/>
    <w:rsid w:val="14FB16C9"/>
    <w:rsid w:val="150273AF"/>
    <w:rsid w:val="151F49F2"/>
    <w:rsid w:val="15237477"/>
    <w:rsid w:val="156B3E65"/>
    <w:rsid w:val="15721B5D"/>
    <w:rsid w:val="15765971"/>
    <w:rsid w:val="159554E5"/>
    <w:rsid w:val="15A543F6"/>
    <w:rsid w:val="15A65F9E"/>
    <w:rsid w:val="15AB7CB7"/>
    <w:rsid w:val="15B05618"/>
    <w:rsid w:val="15B96499"/>
    <w:rsid w:val="15D03FA4"/>
    <w:rsid w:val="15D20E2E"/>
    <w:rsid w:val="15DF7B3C"/>
    <w:rsid w:val="16087E1D"/>
    <w:rsid w:val="161855DC"/>
    <w:rsid w:val="16233081"/>
    <w:rsid w:val="163741A7"/>
    <w:rsid w:val="16437472"/>
    <w:rsid w:val="16516B62"/>
    <w:rsid w:val="167A1613"/>
    <w:rsid w:val="169B1BB9"/>
    <w:rsid w:val="16A32593"/>
    <w:rsid w:val="16A657DA"/>
    <w:rsid w:val="16BE52F9"/>
    <w:rsid w:val="16D90060"/>
    <w:rsid w:val="16DB7390"/>
    <w:rsid w:val="16DD1A8D"/>
    <w:rsid w:val="16EC4A35"/>
    <w:rsid w:val="16F05B05"/>
    <w:rsid w:val="16F73302"/>
    <w:rsid w:val="17015EFC"/>
    <w:rsid w:val="171871EA"/>
    <w:rsid w:val="172A4B30"/>
    <w:rsid w:val="172C2BFF"/>
    <w:rsid w:val="17701D14"/>
    <w:rsid w:val="17735226"/>
    <w:rsid w:val="17A97F5D"/>
    <w:rsid w:val="17B572CF"/>
    <w:rsid w:val="17B84AE8"/>
    <w:rsid w:val="17CB4BCC"/>
    <w:rsid w:val="17CD5B0E"/>
    <w:rsid w:val="17D354CB"/>
    <w:rsid w:val="17D65D0A"/>
    <w:rsid w:val="17F351C1"/>
    <w:rsid w:val="17F56257"/>
    <w:rsid w:val="180559A1"/>
    <w:rsid w:val="1811234A"/>
    <w:rsid w:val="182C1E10"/>
    <w:rsid w:val="182E34DF"/>
    <w:rsid w:val="183D0A3E"/>
    <w:rsid w:val="18495740"/>
    <w:rsid w:val="186B4E81"/>
    <w:rsid w:val="18801088"/>
    <w:rsid w:val="18813394"/>
    <w:rsid w:val="189F624C"/>
    <w:rsid w:val="18A419A7"/>
    <w:rsid w:val="18A72379"/>
    <w:rsid w:val="18D86FEF"/>
    <w:rsid w:val="18E15134"/>
    <w:rsid w:val="19182698"/>
    <w:rsid w:val="191E1C32"/>
    <w:rsid w:val="192D0700"/>
    <w:rsid w:val="1932720E"/>
    <w:rsid w:val="19372E7B"/>
    <w:rsid w:val="19436508"/>
    <w:rsid w:val="194C43A0"/>
    <w:rsid w:val="194E3CE3"/>
    <w:rsid w:val="1971109B"/>
    <w:rsid w:val="197C65E1"/>
    <w:rsid w:val="198D5B01"/>
    <w:rsid w:val="199D77C5"/>
    <w:rsid w:val="19C76E7E"/>
    <w:rsid w:val="19C83378"/>
    <w:rsid w:val="19E9574C"/>
    <w:rsid w:val="1A131888"/>
    <w:rsid w:val="1A1C66C0"/>
    <w:rsid w:val="1A42393B"/>
    <w:rsid w:val="1A4A6A91"/>
    <w:rsid w:val="1A4B7C98"/>
    <w:rsid w:val="1A4E7254"/>
    <w:rsid w:val="1A5B1BA3"/>
    <w:rsid w:val="1A661538"/>
    <w:rsid w:val="1A697D86"/>
    <w:rsid w:val="1A8A277B"/>
    <w:rsid w:val="1AA771DA"/>
    <w:rsid w:val="1AAD45DE"/>
    <w:rsid w:val="1AC05E3E"/>
    <w:rsid w:val="1AC16BE0"/>
    <w:rsid w:val="1AF97635"/>
    <w:rsid w:val="1B046F80"/>
    <w:rsid w:val="1B072F5A"/>
    <w:rsid w:val="1B0F1943"/>
    <w:rsid w:val="1B22670C"/>
    <w:rsid w:val="1B2D691E"/>
    <w:rsid w:val="1B3267B5"/>
    <w:rsid w:val="1B3B55B3"/>
    <w:rsid w:val="1B40161D"/>
    <w:rsid w:val="1B4174F6"/>
    <w:rsid w:val="1B441859"/>
    <w:rsid w:val="1B5F4538"/>
    <w:rsid w:val="1B6606B1"/>
    <w:rsid w:val="1B691406"/>
    <w:rsid w:val="1B9512BA"/>
    <w:rsid w:val="1BFC5F35"/>
    <w:rsid w:val="1BFC792D"/>
    <w:rsid w:val="1C0E0995"/>
    <w:rsid w:val="1C3358BE"/>
    <w:rsid w:val="1C3C4D3A"/>
    <w:rsid w:val="1C455A49"/>
    <w:rsid w:val="1C511BAE"/>
    <w:rsid w:val="1C542377"/>
    <w:rsid w:val="1C573B70"/>
    <w:rsid w:val="1C5E7925"/>
    <w:rsid w:val="1C602D9C"/>
    <w:rsid w:val="1C622504"/>
    <w:rsid w:val="1C6532E7"/>
    <w:rsid w:val="1C750579"/>
    <w:rsid w:val="1C794BBD"/>
    <w:rsid w:val="1C8568B5"/>
    <w:rsid w:val="1C972270"/>
    <w:rsid w:val="1C994B9D"/>
    <w:rsid w:val="1CAF173B"/>
    <w:rsid w:val="1CB33732"/>
    <w:rsid w:val="1CD757FF"/>
    <w:rsid w:val="1CDB4C25"/>
    <w:rsid w:val="1CF63EB2"/>
    <w:rsid w:val="1CFA0D1D"/>
    <w:rsid w:val="1CFD070F"/>
    <w:rsid w:val="1D032244"/>
    <w:rsid w:val="1D0C4F9F"/>
    <w:rsid w:val="1D0E5C22"/>
    <w:rsid w:val="1D1C39B1"/>
    <w:rsid w:val="1D275BA9"/>
    <w:rsid w:val="1D2B333B"/>
    <w:rsid w:val="1D2B7B0B"/>
    <w:rsid w:val="1D2F4E29"/>
    <w:rsid w:val="1D315557"/>
    <w:rsid w:val="1D5F6196"/>
    <w:rsid w:val="1D6132A5"/>
    <w:rsid w:val="1D6578F2"/>
    <w:rsid w:val="1D686275"/>
    <w:rsid w:val="1D7E2114"/>
    <w:rsid w:val="1D8E56D5"/>
    <w:rsid w:val="1DA12A06"/>
    <w:rsid w:val="1DAC33F8"/>
    <w:rsid w:val="1DAC411D"/>
    <w:rsid w:val="1DB539BC"/>
    <w:rsid w:val="1DE47074"/>
    <w:rsid w:val="1DFE6824"/>
    <w:rsid w:val="1E0A145D"/>
    <w:rsid w:val="1E0F1BCA"/>
    <w:rsid w:val="1E13607A"/>
    <w:rsid w:val="1E380F03"/>
    <w:rsid w:val="1E41742D"/>
    <w:rsid w:val="1E4B1154"/>
    <w:rsid w:val="1E5976AB"/>
    <w:rsid w:val="1E5F5E83"/>
    <w:rsid w:val="1E6D77A0"/>
    <w:rsid w:val="1E6F4AAD"/>
    <w:rsid w:val="1E7A43DA"/>
    <w:rsid w:val="1E8259DF"/>
    <w:rsid w:val="1E9150D9"/>
    <w:rsid w:val="1EA9518B"/>
    <w:rsid w:val="1EC66E3C"/>
    <w:rsid w:val="1ED1677A"/>
    <w:rsid w:val="1ED222A6"/>
    <w:rsid w:val="1EE074D2"/>
    <w:rsid w:val="1EE116A5"/>
    <w:rsid w:val="1EEA0ACA"/>
    <w:rsid w:val="1EEA1DAD"/>
    <w:rsid w:val="1EF36FB9"/>
    <w:rsid w:val="1F090EF3"/>
    <w:rsid w:val="1F1A65F5"/>
    <w:rsid w:val="1F1D5098"/>
    <w:rsid w:val="1F2B58DC"/>
    <w:rsid w:val="1F58270D"/>
    <w:rsid w:val="1F5C3D20"/>
    <w:rsid w:val="1F7204F1"/>
    <w:rsid w:val="1F736796"/>
    <w:rsid w:val="1F792879"/>
    <w:rsid w:val="1F793853"/>
    <w:rsid w:val="1F8E16BD"/>
    <w:rsid w:val="1FA21ED0"/>
    <w:rsid w:val="1FA32116"/>
    <w:rsid w:val="1FAC6AFD"/>
    <w:rsid w:val="1FBA130E"/>
    <w:rsid w:val="1FD56D8A"/>
    <w:rsid w:val="1FD6566B"/>
    <w:rsid w:val="1FD97035"/>
    <w:rsid w:val="1FE7539E"/>
    <w:rsid w:val="200E7E5E"/>
    <w:rsid w:val="200F0F27"/>
    <w:rsid w:val="201B072F"/>
    <w:rsid w:val="202C542C"/>
    <w:rsid w:val="202F785C"/>
    <w:rsid w:val="20301795"/>
    <w:rsid w:val="203835AA"/>
    <w:rsid w:val="203A5E62"/>
    <w:rsid w:val="203F53FB"/>
    <w:rsid w:val="20671BE0"/>
    <w:rsid w:val="207E367F"/>
    <w:rsid w:val="20813AF1"/>
    <w:rsid w:val="20963CB8"/>
    <w:rsid w:val="20A0745F"/>
    <w:rsid w:val="20A42353"/>
    <w:rsid w:val="20A81A1B"/>
    <w:rsid w:val="20AA7CC3"/>
    <w:rsid w:val="20AB1141"/>
    <w:rsid w:val="20B07FB6"/>
    <w:rsid w:val="20B646FB"/>
    <w:rsid w:val="20BE04EF"/>
    <w:rsid w:val="20CF6A7E"/>
    <w:rsid w:val="20DF6464"/>
    <w:rsid w:val="20E9721C"/>
    <w:rsid w:val="210800A6"/>
    <w:rsid w:val="21144774"/>
    <w:rsid w:val="21191605"/>
    <w:rsid w:val="212B00D9"/>
    <w:rsid w:val="213B74B1"/>
    <w:rsid w:val="213D43D8"/>
    <w:rsid w:val="213F21C9"/>
    <w:rsid w:val="214B157B"/>
    <w:rsid w:val="214C398A"/>
    <w:rsid w:val="215A2310"/>
    <w:rsid w:val="215C63F0"/>
    <w:rsid w:val="21635C00"/>
    <w:rsid w:val="2187568D"/>
    <w:rsid w:val="21B15C22"/>
    <w:rsid w:val="21CD68B0"/>
    <w:rsid w:val="21DE318A"/>
    <w:rsid w:val="21EF5B80"/>
    <w:rsid w:val="220C053F"/>
    <w:rsid w:val="223B5242"/>
    <w:rsid w:val="22576990"/>
    <w:rsid w:val="226721A5"/>
    <w:rsid w:val="227459C5"/>
    <w:rsid w:val="22780EBA"/>
    <w:rsid w:val="22790BE5"/>
    <w:rsid w:val="227D5004"/>
    <w:rsid w:val="228A46E7"/>
    <w:rsid w:val="22946329"/>
    <w:rsid w:val="22A50C36"/>
    <w:rsid w:val="22AE7AA5"/>
    <w:rsid w:val="22B11D92"/>
    <w:rsid w:val="22DA568A"/>
    <w:rsid w:val="22E52E82"/>
    <w:rsid w:val="22F02C10"/>
    <w:rsid w:val="22F47480"/>
    <w:rsid w:val="22F53E80"/>
    <w:rsid w:val="230C1F75"/>
    <w:rsid w:val="2319662C"/>
    <w:rsid w:val="23232248"/>
    <w:rsid w:val="232D224D"/>
    <w:rsid w:val="233B6C8E"/>
    <w:rsid w:val="233C2ED7"/>
    <w:rsid w:val="233E5687"/>
    <w:rsid w:val="2346299E"/>
    <w:rsid w:val="234762F7"/>
    <w:rsid w:val="237675BD"/>
    <w:rsid w:val="239D2042"/>
    <w:rsid w:val="23AF76B3"/>
    <w:rsid w:val="23B80DE0"/>
    <w:rsid w:val="23CA37E4"/>
    <w:rsid w:val="23D107E4"/>
    <w:rsid w:val="23DE1C48"/>
    <w:rsid w:val="240210CD"/>
    <w:rsid w:val="24150CCA"/>
    <w:rsid w:val="2425500B"/>
    <w:rsid w:val="24294A07"/>
    <w:rsid w:val="244A6CA0"/>
    <w:rsid w:val="244F432C"/>
    <w:rsid w:val="245605C0"/>
    <w:rsid w:val="245867B0"/>
    <w:rsid w:val="24686FB8"/>
    <w:rsid w:val="24724D16"/>
    <w:rsid w:val="247270F8"/>
    <w:rsid w:val="248033A5"/>
    <w:rsid w:val="24933037"/>
    <w:rsid w:val="24952FC2"/>
    <w:rsid w:val="24961F60"/>
    <w:rsid w:val="249A4AEE"/>
    <w:rsid w:val="24A665AD"/>
    <w:rsid w:val="24BF09F7"/>
    <w:rsid w:val="24EF674A"/>
    <w:rsid w:val="25282DC0"/>
    <w:rsid w:val="252D53FE"/>
    <w:rsid w:val="25306BAD"/>
    <w:rsid w:val="2531564F"/>
    <w:rsid w:val="25375C79"/>
    <w:rsid w:val="25603178"/>
    <w:rsid w:val="25B729FD"/>
    <w:rsid w:val="25CC1E83"/>
    <w:rsid w:val="25DA06D1"/>
    <w:rsid w:val="25EC2D81"/>
    <w:rsid w:val="25F54273"/>
    <w:rsid w:val="25F920FD"/>
    <w:rsid w:val="26240FC3"/>
    <w:rsid w:val="264A74CC"/>
    <w:rsid w:val="26777902"/>
    <w:rsid w:val="267C3185"/>
    <w:rsid w:val="269E1BBA"/>
    <w:rsid w:val="26A91D58"/>
    <w:rsid w:val="26BB47BA"/>
    <w:rsid w:val="26BD0613"/>
    <w:rsid w:val="26D77D97"/>
    <w:rsid w:val="26DA6A08"/>
    <w:rsid w:val="26E65A9A"/>
    <w:rsid w:val="26EC0464"/>
    <w:rsid w:val="26F5520A"/>
    <w:rsid w:val="270D075A"/>
    <w:rsid w:val="273D516F"/>
    <w:rsid w:val="274E75C0"/>
    <w:rsid w:val="27504095"/>
    <w:rsid w:val="277057A2"/>
    <w:rsid w:val="277C00FB"/>
    <w:rsid w:val="277C39B1"/>
    <w:rsid w:val="2799574B"/>
    <w:rsid w:val="27BC5A83"/>
    <w:rsid w:val="27C33A3A"/>
    <w:rsid w:val="27DE51A1"/>
    <w:rsid w:val="27E01D55"/>
    <w:rsid w:val="27E62FAC"/>
    <w:rsid w:val="27E9606D"/>
    <w:rsid w:val="27F114C1"/>
    <w:rsid w:val="280901F0"/>
    <w:rsid w:val="282D736C"/>
    <w:rsid w:val="283F2DDE"/>
    <w:rsid w:val="283F5841"/>
    <w:rsid w:val="2858201D"/>
    <w:rsid w:val="285E049A"/>
    <w:rsid w:val="286065E1"/>
    <w:rsid w:val="28865F36"/>
    <w:rsid w:val="28A8095E"/>
    <w:rsid w:val="28C07F1B"/>
    <w:rsid w:val="28EA369E"/>
    <w:rsid w:val="28F64DCB"/>
    <w:rsid w:val="2903086F"/>
    <w:rsid w:val="29032883"/>
    <w:rsid w:val="29206EB8"/>
    <w:rsid w:val="2927446C"/>
    <w:rsid w:val="292F2B8D"/>
    <w:rsid w:val="294A606E"/>
    <w:rsid w:val="2957248A"/>
    <w:rsid w:val="29595666"/>
    <w:rsid w:val="295C4D0B"/>
    <w:rsid w:val="295D7960"/>
    <w:rsid w:val="296838DA"/>
    <w:rsid w:val="296F4DF2"/>
    <w:rsid w:val="29703396"/>
    <w:rsid w:val="297A4051"/>
    <w:rsid w:val="29874881"/>
    <w:rsid w:val="298C223A"/>
    <w:rsid w:val="2993708A"/>
    <w:rsid w:val="29953A58"/>
    <w:rsid w:val="2996304C"/>
    <w:rsid w:val="29AE4719"/>
    <w:rsid w:val="29B64EC3"/>
    <w:rsid w:val="29C034B3"/>
    <w:rsid w:val="29CA091A"/>
    <w:rsid w:val="29E325E0"/>
    <w:rsid w:val="29E7469D"/>
    <w:rsid w:val="2A0C11CC"/>
    <w:rsid w:val="2A1A4F72"/>
    <w:rsid w:val="2A2B0B3D"/>
    <w:rsid w:val="2A452503"/>
    <w:rsid w:val="2A546939"/>
    <w:rsid w:val="2A6037AE"/>
    <w:rsid w:val="2A6A339E"/>
    <w:rsid w:val="2A8B29CF"/>
    <w:rsid w:val="2A97459F"/>
    <w:rsid w:val="2ADC49F6"/>
    <w:rsid w:val="2AE515C1"/>
    <w:rsid w:val="2AEF4C78"/>
    <w:rsid w:val="2AFF3F7D"/>
    <w:rsid w:val="2B195E21"/>
    <w:rsid w:val="2B3858D9"/>
    <w:rsid w:val="2B3A6318"/>
    <w:rsid w:val="2B5F402A"/>
    <w:rsid w:val="2B6172DA"/>
    <w:rsid w:val="2B7736F2"/>
    <w:rsid w:val="2B9D1376"/>
    <w:rsid w:val="2B9D6D28"/>
    <w:rsid w:val="2BA936A8"/>
    <w:rsid w:val="2BAB01E4"/>
    <w:rsid w:val="2BAD7C7B"/>
    <w:rsid w:val="2BB90747"/>
    <w:rsid w:val="2BBC1156"/>
    <w:rsid w:val="2BD70117"/>
    <w:rsid w:val="2BD9453B"/>
    <w:rsid w:val="2BDD32DF"/>
    <w:rsid w:val="2BE47802"/>
    <w:rsid w:val="2BE669CE"/>
    <w:rsid w:val="2C074F6E"/>
    <w:rsid w:val="2C0D0028"/>
    <w:rsid w:val="2C31056E"/>
    <w:rsid w:val="2C315A5A"/>
    <w:rsid w:val="2C470E4F"/>
    <w:rsid w:val="2C4B1C25"/>
    <w:rsid w:val="2C6C2DBB"/>
    <w:rsid w:val="2C6C792D"/>
    <w:rsid w:val="2C74521E"/>
    <w:rsid w:val="2C7D7A34"/>
    <w:rsid w:val="2C9D5276"/>
    <w:rsid w:val="2CB80543"/>
    <w:rsid w:val="2CC06104"/>
    <w:rsid w:val="2CCB7D54"/>
    <w:rsid w:val="2CDC76F7"/>
    <w:rsid w:val="2CE468F3"/>
    <w:rsid w:val="2CE83322"/>
    <w:rsid w:val="2CEA654F"/>
    <w:rsid w:val="2CF97211"/>
    <w:rsid w:val="2D0E2FCA"/>
    <w:rsid w:val="2D1968B7"/>
    <w:rsid w:val="2D1C5E1E"/>
    <w:rsid w:val="2D1F6A9D"/>
    <w:rsid w:val="2D200384"/>
    <w:rsid w:val="2D435A60"/>
    <w:rsid w:val="2D4660DE"/>
    <w:rsid w:val="2D5574E0"/>
    <w:rsid w:val="2D7C4425"/>
    <w:rsid w:val="2D842D84"/>
    <w:rsid w:val="2D896BF0"/>
    <w:rsid w:val="2D976431"/>
    <w:rsid w:val="2D9E56F5"/>
    <w:rsid w:val="2DB84F23"/>
    <w:rsid w:val="2DC6085A"/>
    <w:rsid w:val="2DC919DD"/>
    <w:rsid w:val="2DDE3E10"/>
    <w:rsid w:val="2DE468AE"/>
    <w:rsid w:val="2DF00EEA"/>
    <w:rsid w:val="2DF525F3"/>
    <w:rsid w:val="2E1E7A5A"/>
    <w:rsid w:val="2E214097"/>
    <w:rsid w:val="2E316856"/>
    <w:rsid w:val="2E495166"/>
    <w:rsid w:val="2E667F96"/>
    <w:rsid w:val="2E8226AB"/>
    <w:rsid w:val="2E8872E1"/>
    <w:rsid w:val="2E9C6DC8"/>
    <w:rsid w:val="2EA028A8"/>
    <w:rsid w:val="2EA124F7"/>
    <w:rsid w:val="2EA167C5"/>
    <w:rsid w:val="2EB71BF0"/>
    <w:rsid w:val="2EBF11E5"/>
    <w:rsid w:val="2EDC3F8D"/>
    <w:rsid w:val="2EE4423B"/>
    <w:rsid w:val="2EE739D2"/>
    <w:rsid w:val="2F0B0128"/>
    <w:rsid w:val="2F177B8A"/>
    <w:rsid w:val="2F222011"/>
    <w:rsid w:val="2F251157"/>
    <w:rsid w:val="2F3629BC"/>
    <w:rsid w:val="2F5543E8"/>
    <w:rsid w:val="2F735A10"/>
    <w:rsid w:val="2F7A259C"/>
    <w:rsid w:val="2F822D9F"/>
    <w:rsid w:val="2F8A5012"/>
    <w:rsid w:val="2F980D77"/>
    <w:rsid w:val="2F9B27AE"/>
    <w:rsid w:val="2FA21CB8"/>
    <w:rsid w:val="2FAA3EF7"/>
    <w:rsid w:val="2FB30D9F"/>
    <w:rsid w:val="2FBE3DE1"/>
    <w:rsid w:val="2FCA75B1"/>
    <w:rsid w:val="2FD065E6"/>
    <w:rsid w:val="2FD60C96"/>
    <w:rsid w:val="2FD96870"/>
    <w:rsid w:val="2FE42286"/>
    <w:rsid w:val="2FFD047A"/>
    <w:rsid w:val="30006F59"/>
    <w:rsid w:val="303D51C8"/>
    <w:rsid w:val="30440CC8"/>
    <w:rsid w:val="304516ED"/>
    <w:rsid w:val="304C78A2"/>
    <w:rsid w:val="305309F4"/>
    <w:rsid w:val="30580BC9"/>
    <w:rsid w:val="305A4251"/>
    <w:rsid w:val="307C0C72"/>
    <w:rsid w:val="307D0AE5"/>
    <w:rsid w:val="30800F8E"/>
    <w:rsid w:val="308B4DA8"/>
    <w:rsid w:val="30937603"/>
    <w:rsid w:val="3097173F"/>
    <w:rsid w:val="30B7164A"/>
    <w:rsid w:val="30B76FC4"/>
    <w:rsid w:val="30C70618"/>
    <w:rsid w:val="30E50C89"/>
    <w:rsid w:val="30EF4837"/>
    <w:rsid w:val="310E1809"/>
    <w:rsid w:val="311E2ED7"/>
    <w:rsid w:val="31355342"/>
    <w:rsid w:val="3136480E"/>
    <w:rsid w:val="31411A6D"/>
    <w:rsid w:val="314975D4"/>
    <w:rsid w:val="315619EE"/>
    <w:rsid w:val="31564213"/>
    <w:rsid w:val="315C449C"/>
    <w:rsid w:val="316F3322"/>
    <w:rsid w:val="317902F5"/>
    <w:rsid w:val="31890286"/>
    <w:rsid w:val="31891B76"/>
    <w:rsid w:val="31943A79"/>
    <w:rsid w:val="31A36584"/>
    <w:rsid w:val="31B14DB5"/>
    <w:rsid w:val="31B82709"/>
    <w:rsid w:val="31BA762E"/>
    <w:rsid w:val="31CE179E"/>
    <w:rsid w:val="31D05482"/>
    <w:rsid w:val="31FD04CA"/>
    <w:rsid w:val="31FD5535"/>
    <w:rsid w:val="322F5C2F"/>
    <w:rsid w:val="3237566D"/>
    <w:rsid w:val="3238734E"/>
    <w:rsid w:val="32400B34"/>
    <w:rsid w:val="32442A8A"/>
    <w:rsid w:val="326B6D6F"/>
    <w:rsid w:val="32771756"/>
    <w:rsid w:val="327D2927"/>
    <w:rsid w:val="329E6876"/>
    <w:rsid w:val="32A35499"/>
    <w:rsid w:val="32A50A4E"/>
    <w:rsid w:val="32AB0EA7"/>
    <w:rsid w:val="32BE336E"/>
    <w:rsid w:val="32C35AD4"/>
    <w:rsid w:val="32CA070A"/>
    <w:rsid w:val="32F67A23"/>
    <w:rsid w:val="32FE1AC6"/>
    <w:rsid w:val="32FE7C8C"/>
    <w:rsid w:val="3314013C"/>
    <w:rsid w:val="333015F2"/>
    <w:rsid w:val="33380C2C"/>
    <w:rsid w:val="333F01F8"/>
    <w:rsid w:val="334A7145"/>
    <w:rsid w:val="334B6320"/>
    <w:rsid w:val="334C502F"/>
    <w:rsid w:val="3351461D"/>
    <w:rsid w:val="33515B53"/>
    <w:rsid w:val="337E5FCF"/>
    <w:rsid w:val="338E7065"/>
    <w:rsid w:val="33991C3D"/>
    <w:rsid w:val="33A64096"/>
    <w:rsid w:val="33AF173E"/>
    <w:rsid w:val="33B44469"/>
    <w:rsid w:val="33B87AE5"/>
    <w:rsid w:val="33C90EDB"/>
    <w:rsid w:val="33CB5C11"/>
    <w:rsid w:val="33D934D4"/>
    <w:rsid w:val="33DB2B33"/>
    <w:rsid w:val="33DD29D0"/>
    <w:rsid w:val="33DF040A"/>
    <w:rsid w:val="33F04C60"/>
    <w:rsid w:val="33F52703"/>
    <w:rsid w:val="33FE2F6A"/>
    <w:rsid w:val="34066CCF"/>
    <w:rsid w:val="340C08E4"/>
    <w:rsid w:val="340E07E5"/>
    <w:rsid w:val="34134F02"/>
    <w:rsid w:val="341E2E58"/>
    <w:rsid w:val="34235BF7"/>
    <w:rsid w:val="342B0B5B"/>
    <w:rsid w:val="345C5C03"/>
    <w:rsid w:val="345C70AD"/>
    <w:rsid w:val="34823BEB"/>
    <w:rsid w:val="34867E75"/>
    <w:rsid w:val="349D555D"/>
    <w:rsid w:val="34B33DEB"/>
    <w:rsid w:val="34D0301A"/>
    <w:rsid w:val="35042CE4"/>
    <w:rsid w:val="3508373A"/>
    <w:rsid w:val="351F0D2F"/>
    <w:rsid w:val="354A22D6"/>
    <w:rsid w:val="35595998"/>
    <w:rsid w:val="355F7CC6"/>
    <w:rsid w:val="357F195A"/>
    <w:rsid w:val="358C5FA8"/>
    <w:rsid w:val="35B24996"/>
    <w:rsid w:val="35B60D17"/>
    <w:rsid w:val="35C15DF1"/>
    <w:rsid w:val="35D26B8C"/>
    <w:rsid w:val="35DC5EE0"/>
    <w:rsid w:val="35EC41A5"/>
    <w:rsid w:val="35EE7709"/>
    <w:rsid w:val="35FD10A3"/>
    <w:rsid w:val="36074A7F"/>
    <w:rsid w:val="3612266E"/>
    <w:rsid w:val="363B09B0"/>
    <w:rsid w:val="364755D4"/>
    <w:rsid w:val="364B0D52"/>
    <w:rsid w:val="3650748E"/>
    <w:rsid w:val="3661319A"/>
    <w:rsid w:val="3675546D"/>
    <w:rsid w:val="36923549"/>
    <w:rsid w:val="36B01B16"/>
    <w:rsid w:val="36B75FBF"/>
    <w:rsid w:val="36BB16BB"/>
    <w:rsid w:val="36BD0C45"/>
    <w:rsid w:val="36C9479D"/>
    <w:rsid w:val="36C95E2C"/>
    <w:rsid w:val="36F41638"/>
    <w:rsid w:val="37023F04"/>
    <w:rsid w:val="37165B5A"/>
    <w:rsid w:val="372802C7"/>
    <w:rsid w:val="372B59B4"/>
    <w:rsid w:val="372E4027"/>
    <w:rsid w:val="37392589"/>
    <w:rsid w:val="374609D3"/>
    <w:rsid w:val="374C26CA"/>
    <w:rsid w:val="375C2278"/>
    <w:rsid w:val="37650232"/>
    <w:rsid w:val="376932B2"/>
    <w:rsid w:val="376B6F8F"/>
    <w:rsid w:val="376C5525"/>
    <w:rsid w:val="37722E9D"/>
    <w:rsid w:val="37843987"/>
    <w:rsid w:val="3788007D"/>
    <w:rsid w:val="378E2AEC"/>
    <w:rsid w:val="379314FC"/>
    <w:rsid w:val="3793762C"/>
    <w:rsid w:val="37973628"/>
    <w:rsid w:val="379A2EE8"/>
    <w:rsid w:val="37A16E2A"/>
    <w:rsid w:val="37C939FF"/>
    <w:rsid w:val="37C93A30"/>
    <w:rsid w:val="37D07F2F"/>
    <w:rsid w:val="37D3586F"/>
    <w:rsid w:val="37DA16E0"/>
    <w:rsid w:val="37DC4211"/>
    <w:rsid w:val="37E00298"/>
    <w:rsid w:val="37E55270"/>
    <w:rsid w:val="37E760FA"/>
    <w:rsid w:val="37E92F7B"/>
    <w:rsid w:val="37F30475"/>
    <w:rsid w:val="380C4778"/>
    <w:rsid w:val="38275637"/>
    <w:rsid w:val="382D2531"/>
    <w:rsid w:val="382F22C6"/>
    <w:rsid w:val="382F6A1A"/>
    <w:rsid w:val="38582CED"/>
    <w:rsid w:val="385D0243"/>
    <w:rsid w:val="386D7FC3"/>
    <w:rsid w:val="3875092B"/>
    <w:rsid w:val="38885182"/>
    <w:rsid w:val="388E2DB1"/>
    <w:rsid w:val="38A05A64"/>
    <w:rsid w:val="38B302F9"/>
    <w:rsid w:val="38B3752F"/>
    <w:rsid w:val="38CC42EE"/>
    <w:rsid w:val="38F12CD3"/>
    <w:rsid w:val="38F94775"/>
    <w:rsid w:val="38FF5AE3"/>
    <w:rsid w:val="390E2BC9"/>
    <w:rsid w:val="391507F4"/>
    <w:rsid w:val="391A20AF"/>
    <w:rsid w:val="392971ED"/>
    <w:rsid w:val="39325651"/>
    <w:rsid w:val="393A0E94"/>
    <w:rsid w:val="396722E4"/>
    <w:rsid w:val="39767ACB"/>
    <w:rsid w:val="39853482"/>
    <w:rsid w:val="398608F3"/>
    <w:rsid w:val="398626B6"/>
    <w:rsid w:val="398A1A8A"/>
    <w:rsid w:val="39965A01"/>
    <w:rsid w:val="39A667FC"/>
    <w:rsid w:val="39AF226B"/>
    <w:rsid w:val="39B375B6"/>
    <w:rsid w:val="39CC1FD1"/>
    <w:rsid w:val="39DC420F"/>
    <w:rsid w:val="39F11A56"/>
    <w:rsid w:val="39F50D55"/>
    <w:rsid w:val="3A037740"/>
    <w:rsid w:val="3A18365C"/>
    <w:rsid w:val="3A306ACD"/>
    <w:rsid w:val="3A402728"/>
    <w:rsid w:val="3A5216B4"/>
    <w:rsid w:val="3A6B56CD"/>
    <w:rsid w:val="3A744D3E"/>
    <w:rsid w:val="3A79003E"/>
    <w:rsid w:val="3A7936F4"/>
    <w:rsid w:val="3A872856"/>
    <w:rsid w:val="3A986E82"/>
    <w:rsid w:val="3A9D17C9"/>
    <w:rsid w:val="3AA0330F"/>
    <w:rsid w:val="3AB11A98"/>
    <w:rsid w:val="3AB55489"/>
    <w:rsid w:val="3ABA7F5B"/>
    <w:rsid w:val="3AF22428"/>
    <w:rsid w:val="3AF50B30"/>
    <w:rsid w:val="3B256853"/>
    <w:rsid w:val="3B367AEF"/>
    <w:rsid w:val="3B3763D1"/>
    <w:rsid w:val="3B3D268E"/>
    <w:rsid w:val="3B507AD4"/>
    <w:rsid w:val="3B8839C3"/>
    <w:rsid w:val="3B8C631E"/>
    <w:rsid w:val="3BBC061A"/>
    <w:rsid w:val="3BBC7EAF"/>
    <w:rsid w:val="3BC15E86"/>
    <w:rsid w:val="3BC426A4"/>
    <w:rsid w:val="3BDC1DA1"/>
    <w:rsid w:val="3BE8257B"/>
    <w:rsid w:val="3C0523B4"/>
    <w:rsid w:val="3C0E4993"/>
    <w:rsid w:val="3C0F07D3"/>
    <w:rsid w:val="3C255ECC"/>
    <w:rsid w:val="3C2E1458"/>
    <w:rsid w:val="3C2E17A8"/>
    <w:rsid w:val="3C2F6E1E"/>
    <w:rsid w:val="3C3254BD"/>
    <w:rsid w:val="3C384B1E"/>
    <w:rsid w:val="3C3F041F"/>
    <w:rsid w:val="3C443427"/>
    <w:rsid w:val="3C446F30"/>
    <w:rsid w:val="3C467B31"/>
    <w:rsid w:val="3C476B3A"/>
    <w:rsid w:val="3C4F64BA"/>
    <w:rsid w:val="3C53630A"/>
    <w:rsid w:val="3C740488"/>
    <w:rsid w:val="3C7A0867"/>
    <w:rsid w:val="3C9115B1"/>
    <w:rsid w:val="3C9E19F3"/>
    <w:rsid w:val="3CAA48E2"/>
    <w:rsid w:val="3CCC6F78"/>
    <w:rsid w:val="3CDA245A"/>
    <w:rsid w:val="3D0D07FF"/>
    <w:rsid w:val="3D160919"/>
    <w:rsid w:val="3D164807"/>
    <w:rsid w:val="3D1D5D3F"/>
    <w:rsid w:val="3D1E06B7"/>
    <w:rsid w:val="3D2315F1"/>
    <w:rsid w:val="3D3035F9"/>
    <w:rsid w:val="3D34436B"/>
    <w:rsid w:val="3D691CEE"/>
    <w:rsid w:val="3D830761"/>
    <w:rsid w:val="3D8455A4"/>
    <w:rsid w:val="3D930A9A"/>
    <w:rsid w:val="3D9B3237"/>
    <w:rsid w:val="3D9F0BFE"/>
    <w:rsid w:val="3DA1212F"/>
    <w:rsid w:val="3DA16CF6"/>
    <w:rsid w:val="3DA71AC3"/>
    <w:rsid w:val="3DBF4946"/>
    <w:rsid w:val="3DDF7FF2"/>
    <w:rsid w:val="3E111FEB"/>
    <w:rsid w:val="3E4155C6"/>
    <w:rsid w:val="3E4B416E"/>
    <w:rsid w:val="3E4F4B58"/>
    <w:rsid w:val="3E521960"/>
    <w:rsid w:val="3E567C7B"/>
    <w:rsid w:val="3E5844CD"/>
    <w:rsid w:val="3E5C5AF1"/>
    <w:rsid w:val="3E674021"/>
    <w:rsid w:val="3E6F7F71"/>
    <w:rsid w:val="3EA85EAD"/>
    <w:rsid w:val="3EAE039F"/>
    <w:rsid w:val="3EC4461F"/>
    <w:rsid w:val="3ED84709"/>
    <w:rsid w:val="3EDA0523"/>
    <w:rsid w:val="3EDA2835"/>
    <w:rsid w:val="3EE43DFC"/>
    <w:rsid w:val="3F0A24F6"/>
    <w:rsid w:val="3F244F65"/>
    <w:rsid w:val="3F2C28F6"/>
    <w:rsid w:val="3F355371"/>
    <w:rsid w:val="3F6749BB"/>
    <w:rsid w:val="3F972D3D"/>
    <w:rsid w:val="3F9806CD"/>
    <w:rsid w:val="3FA34F6E"/>
    <w:rsid w:val="3FA43FD1"/>
    <w:rsid w:val="3FD21E75"/>
    <w:rsid w:val="40057639"/>
    <w:rsid w:val="401742B0"/>
    <w:rsid w:val="401A3A1B"/>
    <w:rsid w:val="401F167C"/>
    <w:rsid w:val="402B00E1"/>
    <w:rsid w:val="40325471"/>
    <w:rsid w:val="403E177F"/>
    <w:rsid w:val="405A13BB"/>
    <w:rsid w:val="40672388"/>
    <w:rsid w:val="406D2D6D"/>
    <w:rsid w:val="40745D57"/>
    <w:rsid w:val="407A6407"/>
    <w:rsid w:val="40805BFE"/>
    <w:rsid w:val="408B1472"/>
    <w:rsid w:val="409812C4"/>
    <w:rsid w:val="409829C2"/>
    <w:rsid w:val="40A3505A"/>
    <w:rsid w:val="40AA24EC"/>
    <w:rsid w:val="40AA27AF"/>
    <w:rsid w:val="40B710DB"/>
    <w:rsid w:val="40EC0DB5"/>
    <w:rsid w:val="40EE2531"/>
    <w:rsid w:val="40EF075D"/>
    <w:rsid w:val="40FC6370"/>
    <w:rsid w:val="411514A6"/>
    <w:rsid w:val="414F28A4"/>
    <w:rsid w:val="415B3ADF"/>
    <w:rsid w:val="41614E7E"/>
    <w:rsid w:val="41704027"/>
    <w:rsid w:val="41835AE8"/>
    <w:rsid w:val="41A33196"/>
    <w:rsid w:val="41B26232"/>
    <w:rsid w:val="41E4280D"/>
    <w:rsid w:val="41EC074B"/>
    <w:rsid w:val="41ED6A31"/>
    <w:rsid w:val="4200449D"/>
    <w:rsid w:val="42034C90"/>
    <w:rsid w:val="42085C07"/>
    <w:rsid w:val="420F67BB"/>
    <w:rsid w:val="42132BD4"/>
    <w:rsid w:val="4232216D"/>
    <w:rsid w:val="423A3BCC"/>
    <w:rsid w:val="423B74DC"/>
    <w:rsid w:val="4242371B"/>
    <w:rsid w:val="424E57D2"/>
    <w:rsid w:val="42591E6E"/>
    <w:rsid w:val="42642FF3"/>
    <w:rsid w:val="42644A62"/>
    <w:rsid w:val="42874D12"/>
    <w:rsid w:val="42874EF7"/>
    <w:rsid w:val="429B5F46"/>
    <w:rsid w:val="429D6419"/>
    <w:rsid w:val="42B26C49"/>
    <w:rsid w:val="42CB4E40"/>
    <w:rsid w:val="42CD2807"/>
    <w:rsid w:val="42D17578"/>
    <w:rsid w:val="42DB518A"/>
    <w:rsid w:val="42E1167A"/>
    <w:rsid w:val="42E40550"/>
    <w:rsid w:val="42E90B4A"/>
    <w:rsid w:val="42EC14D0"/>
    <w:rsid w:val="42EE2D8A"/>
    <w:rsid w:val="42F51137"/>
    <w:rsid w:val="43085033"/>
    <w:rsid w:val="43121BDE"/>
    <w:rsid w:val="4315719F"/>
    <w:rsid w:val="431A6DD2"/>
    <w:rsid w:val="43252CD9"/>
    <w:rsid w:val="4334358C"/>
    <w:rsid w:val="4337311A"/>
    <w:rsid w:val="43394C58"/>
    <w:rsid w:val="433A6FE6"/>
    <w:rsid w:val="43480868"/>
    <w:rsid w:val="434B10DD"/>
    <w:rsid w:val="4350713C"/>
    <w:rsid w:val="43574366"/>
    <w:rsid w:val="435C016E"/>
    <w:rsid w:val="435E091E"/>
    <w:rsid w:val="4364628F"/>
    <w:rsid w:val="436653E0"/>
    <w:rsid w:val="436D4EDD"/>
    <w:rsid w:val="43816E6D"/>
    <w:rsid w:val="43B614ED"/>
    <w:rsid w:val="43C074C3"/>
    <w:rsid w:val="43C4431A"/>
    <w:rsid w:val="43D016F4"/>
    <w:rsid w:val="43DB2C14"/>
    <w:rsid w:val="43DD7E08"/>
    <w:rsid w:val="43E918EB"/>
    <w:rsid w:val="43F77900"/>
    <w:rsid w:val="43FA681D"/>
    <w:rsid w:val="440D4635"/>
    <w:rsid w:val="441531B9"/>
    <w:rsid w:val="442B7A86"/>
    <w:rsid w:val="442F2D14"/>
    <w:rsid w:val="443321EB"/>
    <w:rsid w:val="44480BC2"/>
    <w:rsid w:val="44870821"/>
    <w:rsid w:val="44AD0C81"/>
    <w:rsid w:val="44B774A3"/>
    <w:rsid w:val="44B951CC"/>
    <w:rsid w:val="44C372FD"/>
    <w:rsid w:val="44CD14E0"/>
    <w:rsid w:val="44F054FA"/>
    <w:rsid w:val="44F068CC"/>
    <w:rsid w:val="44F20B0B"/>
    <w:rsid w:val="450612C3"/>
    <w:rsid w:val="45183767"/>
    <w:rsid w:val="45263389"/>
    <w:rsid w:val="452E5F4C"/>
    <w:rsid w:val="45324BB6"/>
    <w:rsid w:val="45332C5F"/>
    <w:rsid w:val="45512C22"/>
    <w:rsid w:val="45612018"/>
    <w:rsid w:val="456A2CC3"/>
    <w:rsid w:val="458946E9"/>
    <w:rsid w:val="45A47C0E"/>
    <w:rsid w:val="45C2270A"/>
    <w:rsid w:val="45CD6E94"/>
    <w:rsid w:val="45D27D2B"/>
    <w:rsid w:val="45DD65FC"/>
    <w:rsid w:val="45F562A6"/>
    <w:rsid w:val="460B7766"/>
    <w:rsid w:val="4614655C"/>
    <w:rsid w:val="46156E03"/>
    <w:rsid w:val="461734D8"/>
    <w:rsid w:val="46282D9D"/>
    <w:rsid w:val="462C7C15"/>
    <w:rsid w:val="46391DA7"/>
    <w:rsid w:val="463C473A"/>
    <w:rsid w:val="4644590A"/>
    <w:rsid w:val="46577FD6"/>
    <w:rsid w:val="46637265"/>
    <w:rsid w:val="46662AB7"/>
    <w:rsid w:val="46695F33"/>
    <w:rsid w:val="467F05BD"/>
    <w:rsid w:val="468E5F4E"/>
    <w:rsid w:val="46CE0A78"/>
    <w:rsid w:val="46D0154F"/>
    <w:rsid w:val="46D955A7"/>
    <w:rsid w:val="46DA3848"/>
    <w:rsid w:val="46FE35EF"/>
    <w:rsid w:val="46FE6D47"/>
    <w:rsid w:val="47133957"/>
    <w:rsid w:val="47223D1A"/>
    <w:rsid w:val="47230A03"/>
    <w:rsid w:val="4728042A"/>
    <w:rsid w:val="472B4A90"/>
    <w:rsid w:val="47413868"/>
    <w:rsid w:val="474B48B2"/>
    <w:rsid w:val="476A2E5A"/>
    <w:rsid w:val="477962E3"/>
    <w:rsid w:val="478072F5"/>
    <w:rsid w:val="478D23FF"/>
    <w:rsid w:val="479852DE"/>
    <w:rsid w:val="47A07E0C"/>
    <w:rsid w:val="47A85626"/>
    <w:rsid w:val="47AF1478"/>
    <w:rsid w:val="47BD2A4B"/>
    <w:rsid w:val="47C527D1"/>
    <w:rsid w:val="47C90346"/>
    <w:rsid w:val="47D333DD"/>
    <w:rsid w:val="47ED44A2"/>
    <w:rsid w:val="47ED7B4F"/>
    <w:rsid w:val="48012D61"/>
    <w:rsid w:val="482143F1"/>
    <w:rsid w:val="483F5C1E"/>
    <w:rsid w:val="484573CA"/>
    <w:rsid w:val="484A73DA"/>
    <w:rsid w:val="48590DA9"/>
    <w:rsid w:val="4870272E"/>
    <w:rsid w:val="48A2411A"/>
    <w:rsid w:val="48AC1250"/>
    <w:rsid w:val="48AF266B"/>
    <w:rsid w:val="48CC258F"/>
    <w:rsid w:val="48E52024"/>
    <w:rsid w:val="48F2191C"/>
    <w:rsid w:val="48FA2EA5"/>
    <w:rsid w:val="491141F1"/>
    <w:rsid w:val="492139EC"/>
    <w:rsid w:val="494277D1"/>
    <w:rsid w:val="4951082E"/>
    <w:rsid w:val="49524628"/>
    <w:rsid w:val="497228CA"/>
    <w:rsid w:val="49971D79"/>
    <w:rsid w:val="49984158"/>
    <w:rsid w:val="499C3754"/>
    <w:rsid w:val="499D5D48"/>
    <w:rsid w:val="49A01B37"/>
    <w:rsid w:val="49B63D73"/>
    <w:rsid w:val="49B809FF"/>
    <w:rsid w:val="49BC735D"/>
    <w:rsid w:val="49C32E12"/>
    <w:rsid w:val="49C80AEC"/>
    <w:rsid w:val="49DC7715"/>
    <w:rsid w:val="49E470B1"/>
    <w:rsid w:val="49EC7C10"/>
    <w:rsid w:val="49F3179D"/>
    <w:rsid w:val="4A023139"/>
    <w:rsid w:val="4A052839"/>
    <w:rsid w:val="4A1A5F48"/>
    <w:rsid w:val="4A254216"/>
    <w:rsid w:val="4A453D8C"/>
    <w:rsid w:val="4A473863"/>
    <w:rsid w:val="4A4B6CF4"/>
    <w:rsid w:val="4A553ED7"/>
    <w:rsid w:val="4A5A4E6B"/>
    <w:rsid w:val="4A6073C5"/>
    <w:rsid w:val="4A7B576F"/>
    <w:rsid w:val="4A8E0428"/>
    <w:rsid w:val="4A9D47EC"/>
    <w:rsid w:val="4AA64C94"/>
    <w:rsid w:val="4AB74DDC"/>
    <w:rsid w:val="4AD9258C"/>
    <w:rsid w:val="4AE12D61"/>
    <w:rsid w:val="4AF561A9"/>
    <w:rsid w:val="4B0F2812"/>
    <w:rsid w:val="4B1D7815"/>
    <w:rsid w:val="4B2C48CA"/>
    <w:rsid w:val="4B33458C"/>
    <w:rsid w:val="4B3C7F4E"/>
    <w:rsid w:val="4B427A3F"/>
    <w:rsid w:val="4B4E74CA"/>
    <w:rsid w:val="4B77117F"/>
    <w:rsid w:val="4B8657C3"/>
    <w:rsid w:val="4B8E269A"/>
    <w:rsid w:val="4B940708"/>
    <w:rsid w:val="4BB5720A"/>
    <w:rsid w:val="4BBC7EE7"/>
    <w:rsid w:val="4BC51026"/>
    <w:rsid w:val="4BDA250B"/>
    <w:rsid w:val="4BE13ACD"/>
    <w:rsid w:val="4BE53637"/>
    <w:rsid w:val="4BFE6383"/>
    <w:rsid w:val="4C076F07"/>
    <w:rsid w:val="4C097235"/>
    <w:rsid w:val="4C0E2061"/>
    <w:rsid w:val="4C1154B4"/>
    <w:rsid w:val="4C1718BA"/>
    <w:rsid w:val="4C2B525A"/>
    <w:rsid w:val="4C2D42B2"/>
    <w:rsid w:val="4C344502"/>
    <w:rsid w:val="4C455B5F"/>
    <w:rsid w:val="4C4A0649"/>
    <w:rsid w:val="4C586276"/>
    <w:rsid w:val="4C7E5ECA"/>
    <w:rsid w:val="4C876AA5"/>
    <w:rsid w:val="4C8F1F66"/>
    <w:rsid w:val="4CAF6381"/>
    <w:rsid w:val="4CB55899"/>
    <w:rsid w:val="4CBE2059"/>
    <w:rsid w:val="4CC513BA"/>
    <w:rsid w:val="4CD22BED"/>
    <w:rsid w:val="4CD826E8"/>
    <w:rsid w:val="4CDC308B"/>
    <w:rsid w:val="4CFF3650"/>
    <w:rsid w:val="4D0466E2"/>
    <w:rsid w:val="4D0E00FB"/>
    <w:rsid w:val="4D0E2694"/>
    <w:rsid w:val="4D150390"/>
    <w:rsid w:val="4D176606"/>
    <w:rsid w:val="4D1B617D"/>
    <w:rsid w:val="4D33066F"/>
    <w:rsid w:val="4D5273C0"/>
    <w:rsid w:val="4D535FFC"/>
    <w:rsid w:val="4D6244EB"/>
    <w:rsid w:val="4D707277"/>
    <w:rsid w:val="4D7678B6"/>
    <w:rsid w:val="4D84701B"/>
    <w:rsid w:val="4D99406E"/>
    <w:rsid w:val="4D9E3A62"/>
    <w:rsid w:val="4DA076CC"/>
    <w:rsid w:val="4DB269D9"/>
    <w:rsid w:val="4DCC69B2"/>
    <w:rsid w:val="4DE10005"/>
    <w:rsid w:val="4DEC4FB0"/>
    <w:rsid w:val="4DF06BAF"/>
    <w:rsid w:val="4DF468C3"/>
    <w:rsid w:val="4E0548B6"/>
    <w:rsid w:val="4E075D8A"/>
    <w:rsid w:val="4E085804"/>
    <w:rsid w:val="4E1E3991"/>
    <w:rsid w:val="4E273FA4"/>
    <w:rsid w:val="4E364CB4"/>
    <w:rsid w:val="4E386A90"/>
    <w:rsid w:val="4E812C10"/>
    <w:rsid w:val="4E882BFB"/>
    <w:rsid w:val="4E8A6316"/>
    <w:rsid w:val="4E9020E2"/>
    <w:rsid w:val="4E93713A"/>
    <w:rsid w:val="4E97709E"/>
    <w:rsid w:val="4EA56ACB"/>
    <w:rsid w:val="4EC00FAD"/>
    <w:rsid w:val="4EC80519"/>
    <w:rsid w:val="4ECC0A90"/>
    <w:rsid w:val="4EDB6E35"/>
    <w:rsid w:val="4EDE775D"/>
    <w:rsid w:val="4EE5033E"/>
    <w:rsid w:val="4EE84B9B"/>
    <w:rsid w:val="4EE861DB"/>
    <w:rsid w:val="4F095CDB"/>
    <w:rsid w:val="4F21327C"/>
    <w:rsid w:val="4F444770"/>
    <w:rsid w:val="4F460BBD"/>
    <w:rsid w:val="4F5456A6"/>
    <w:rsid w:val="4F5618BE"/>
    <w:rsid w:val="4F790C51"/>
    <w:rsid w:val="4F814A12"/>
    <w:rsid w:val="4F8C5937"/>
    <w:rsid w:val="4F9843DC"/>
    <w:rsid w:val="4FC400CF"/>
    <w:rsid w:val="4FC62A8C"/>
    <w:rsid w:val="4FD048B2"/>
    <w:rsid w:val="4FD053E4"/>
    <w:rsid w:val="4FDA3381"/>
    <w:rsid w:val="4FE20F0D"/>
    <w:rsid w:val="4FE51552"/>
    <w:rsid w:val="50083841"/>
    <w:rsid w:val="50160C33"/>
    <w:rsid w:val="50275CB6"/>
    <w:rsid w:val="50504C4B"/>
    <w:rsid w:val="5059342B"/>
    <w:rsid w:val="506565EC"/>
    <w:rsid w:val="506B7532"/>
    <w:rsid w:val="50845B41"/>
    <w:rsid w:val="50892831"/>
    <w:rsid w:val="508C719F"/>
    <w:rsid w:val="509C6E7C"/>
    <w:rsid w:val="50AE7791"/>
    <w:rsid w:val="50B73D85"/>
    <w:rsid w:val="50C72E4F"/>
    <w:rsid w:val="50C86F84"/>
    <w:rsid w:val="50D62890"/>
    <w:rsid w:val="50D63E56"/>
    <w:rsid w:val="50D752DC"/>
    <w:rsid w:val="50E347B0"/>
    <w:rsid w:val="510C2425"/>
    <w:rsid w:val="51147DDF"/>
    <w:rsid w:val="511F1EE0"/>
    <w:rsid w:val="512E36D3"/>
    <w:rsid w:val="51363E9D"/>
    <w:rsid w:val="5162104E"/>
    <w:rsid w:val="516832AB"/>
    <w:rsid w:val="51750B15"/>
    <w:rsid w:val="517C52F7"/>
    <w:rsid w:val="518A55AD"/>
    <w:rsid w:val="51913EF7"/>
    <w:rsid w:val="51A550C2"/>
    <w:rsid w:val="51D92333"/>
    <w:rsid w:val="51E72464"/>
    <w:rsid w:val="51F363F3"/>
    <w:rsid w:val="52126BEA"/>
    <w:rsid w:val="5218755B"/>
    <w:rsid w:val="52405EAC"/>
    <w:rsid w:val="524A629D"/>
    <w:rsid w:val="525C35C1"/>
    <w:rsid w:val="52623F84"/>
    <w:rsid w:val="52674CB1"/>
    <w:rsid w:val="526E504F"/>
    <w:rsid w:val="528C0D59"/>
    <w:rsid w:val="528F7D8A"/>
    <w:rsid w:val="52913C89"/>
    <w:rsid w:val="52B36A69"/>
    <w:rsid w:val="52DF6A2D"/>
    <w:rsid w:val="52E33AC0"/>
    <w:rsid w:val="52F465C4"/>
    <w:rsid w:val="52F55FC7"/>
    <w:rsid w:val="53070920"/>
    <w:rsid w:val="530D1247"/>
    <w:rsid w:val="53271451"/>
    <w:rsid w:val="53346CC3"/>
    <w:rsid w:val="534400A5"/>
    <w:rsid w:val="534E5B15"/>
    <w:rsid w:val="53557F55"/>
    <w:rsid w:val="536F1AF1"/>
    <w:rsid w:val="537B34A3"/>
    <w:rsid w:val="53801D98"/>
    <w:rsid w:val="538A1D9D"/>
    <w:rsid w:val="538C3945"/>
    <w:rsid w:val="53943704"/>
    <w:rsid w:val="53A039CC"/>
    <w:rsid w:val="53A1505A"/>
    <w:rsid w:val="53A9498A"/>
    <w:rsid w:val="53B37B46"/>
    <w:rsid w:val="53C05F5A"/>
    <w:rsid w:val="53DA7935"/>
    <w:rsid w:val="53DE0132"/>
    <w:rsid w:val="53E81719"/>
    <w:rsid w:val="54063E08"/>
    <w:rsid w:val="543437E8"/>
    <w:rsid w:val="54395084"/>
    <w:rsid w:val="54543148"/>
    <w:rsid w:val="547277F2"/>
    <w:rsid w:val="54733265"/>
    <w:rsid w:val="54834C91"/>
    <w:rsid w:val="54895477"/>
    <w:rsid w:val="548D0691"/>
    <w:rsid w:val="5492651D"/>
    <w:rsid w:val="54997BAD"/>
    <w:rsid w:val="54E53D2C"/>
    <w:rsid w:val="54E964CC"/>
    <w:rsid w:val="54F73313"/>
    <w:rsid w:val="54F80955"/>
    <w:rsid w:val="54FE594E"/>
    <w:rsid w:val="55056A41"/>
    <w:rsid w:val="550B4597"/>
    <w:rsid w:val="550B7D40"/>
    <w:rsid w:val="551A0106"/>
    <w:rsid w:val="552E7B06"/>
    <w:rsid w:val="552F123F"/>
    <w:rsid w:val="55396295"/>
    <w:rsid w:val="55451FF8"/>
    <w:rsid w:val="555170A7"/>
    <w:rsid w:val="55580B3D"/>
    <w:rsid w:val="555B4066"/>
    <w:rsid w:val="556C4EE1"/>
    <w:rsid w:val="557E646D"/>
    <w:rsid w:val="5587536D"/>
    <w:rsid w:val="5594468F"/>
    <w:rsid w:val="55967C64"/>
    <w:rsid w:val="559B174B"/>
    <w:rsid w:val="559B69E6"/>
    <w:rsid w:val="55A14AD9"/>
    <w:rsid w:val="55A52254"/>
    <w:rsid w:val="55AC72E3"/>
    <w:rsid w:val="55AD2F55"/>
    <w:rsid w:val="55B605F8"/>
    <w:rsid w:val="55CE0CF4"/>
    <w:rsid w:val="55D61145"/>
    <w:rsid w:val="55DC2F19"/>
    <w:rsid w:val="55F319BE"/>
    <w:rsid w:val="55F81F79"/>
    <w:rsid w:val="5635135E"/>
    <w:rsid w:val="563B40EC"/>
    <w:rsid w:val="564C74DB"/>
    <w:rsid w:val="56630114"/>
    <w:rsid w:val="5666469A"/>
    <w:rsid w:val="56686CE3"/>
    <w:rsid w:val="56762960"/>
    <w:rsid w:val="567F4FF1"/>
    <w:rsid w:val="56855766"/>
    <w:rsid w:val="568D729E"/>
    <w:rsid w:val="56925C5A"/>
    <w:rsid w:val="56A44655"/>
    <w:rsid w:val="56B06DDB"/>
    <w:rsid w:val="56B22A9C"/>
    <w:rsid w:val="56C47D58"/>
    <w:rsid w:val="56DC6C7C"/>
    <w:rsid w:val="56E64851"/>
    <w:rsid w:val="56EF7A32"/>
    <w:rsid w:val="56F07117"/>
    <w:rsid w:val="56FF52F0"/>
    <w:rsid w:val="570034B8"/>
    <w:rsid w:val="57046A76"/>
    <w:rsid w:val="57262E0D"/>
    <w:rsid w:val="57380366"/>
    <w:rsid w:val="578D279E"/>
    <w:rsid w:val="5790294B"/>
    <w:rsid w:val="57A223F7"/>
    <w:rsid w:val="57A411D6"/>
    <w:rsid w:val="57B72A76"/>
    <w:rsid w:val="57C2217B"/>
    <w:rsid w:val="57C3426C"/>
    <w:rsid w:val="57C4017F"/>
    <w:rsid w:val="57C62866"/>
    <w:rsid w:val="57CE1F93"/>
    <w:rsid w:val="57D130B4"/>
    <w:rsid w:val="57F44ECC"/>
    <w:rsid w:val="57F57EC1"/>
    <w:rsid w:val="5806127E"/>
    <w:rsid w:val="581121C0"/>
    <w:rsid w:val="58134413"/>
    <w:rsid w:val="5817544E"/>
    <w:rsid w:val="588743D1"/>
    <w:rsid w:val="5887701A"/>
    <w:rsid w:val="588F61CA"/>
    <w:rsid w:val="58914A8F"/>
    <w:rsid w:val="589D09D4"/>
    <w:rsid w:val="589E4E12"/>
    <w:rsid w:val="58B15EFB"/>
    <w:rsid w:val="58C714A1"/>
    <w:rsid w:val="58D159CC"/>
    <w:rsid w:val="58D67FCA"/>
    <w:rsid w:val="58EF4D4A"/>
    <w:rsid w:val="59053AFD"/>
    <w:rsid w:val="5927712F"/>
    <w:rsid w:val="5928328F"/>
    <w:rsid w:val="59432071"/>
    <w:rsid w:val="5945640C"/>
    <w:rsid w:val="594C5ED5"/>
    <w:rsid w:val="59504948"/>
    <w:rsid w:val="59527966"/>
    <w:rsid w:val="595E0B84"/>
    <w:rsid w:val="597662A2"/>
    <w:rsid w:val="59800D97"/>
    <w:rsid w:val="59837B94"/>
    <w:rsid w:val="59AA1DEE"/>
    <w:rsid w:val="59B93BBC"/>
    <w:rsid w:val="59BF65FF"/>
    <w:rsid w:val="59C0439F"/>
    <w:rsid w:val="59C4145B"/>
    <w:rsid w:val="59CB401C"/>
    <w:rsid w:val="59D476D9"/>
    <w:rsid w:val="59E564CE"/>
    <w:rsid w:val="5A0C054B"/>
    <w:rsid w:val="5A153003"/>
    <w:rsid w:val="5A1C1E0A"/>
    <w:rsid w:val="5A2D5B0F"/>
    <w:rsid w:val="5A2E41BB"/>
    <w:rsid w:val="5A376816"/>
    <w:rsid w:val="5A513E86"/>
    <w:rsid w:val="5A5E4D3B"/>
    <w:rsid w:val="5A702D5F"/>
    <w:rsid w:val="5A8E3236"/>
    <w:rsid w:val="5AB20948"/>
    <w:rsid w:val="5ABE2233"/>
    <w:rsid w:val="5AC20D5C"/>
    <w:rsid w:val="5AC347C0"/>
    <w:rsid w:val="5AD117E6"/>
    <w:rsid w:val="5ADF6F0C"/>
    <w:rsid w:val="5AF01470"/>
    <w:rsid w:val="5AF97755"/>
    <w:rsid w:val="5B026041"/>
    <w:rsid w:val="5B1F609B"/>
    <w:rsid w:val="5B20244B"/>
    <w:rsid w:val="5B490B80"/>
    <w:rsid w:val="5B5E27C8"/>
    <w:rsid w:val="5B8A7554"/>
    <w:rsid w:val="5B8F7579"/>
    <w:rsid w:val="5B91250C"/>
    <w:rsid w:val="5BCB2A02"/>
    <w:rsid w:val="5BD773A0"/>
    <w:rsid w:val="5BDA17BB"/>
    <w:rsid w:val="5BDF5D95"/>
    <w:rsid w:val="5BFE7528"/>
    <w:rsid w:val="5C3B519E"/>
    <w:rsid w:val="5C4F3BA4"/>
    <w:rsid w:val="5C550CD9"/>
    <w:rsid w:val="5C650D7C"/>
    <w:rsid w:val="5C682609"/>
    <w:rsid w:val="5C6B6A1C"/>
    <w:rsid w:val="5C732359"/>
    <w:rsid w:val="5C785FEC"/>
    <w:rsid w:val="5CA606C8"/>
    <w:rsid w:val="5CE0680A"/>
    <w:rsid w:val="5D182597"/>
    <w:rsid w:val="5D35617F"/>
    <w:rsid w:val="5D442BB9"/>
    <w:rsid w:val="5D4760FA"/>
    <w:rsid w:val="5D581669"/>
    <w:rsid w:val="5D635FD8"/>
    <w:rsid w:val="5D715890"/>
    <w:rsid w:val="5D780D8A"/>
    <w:rsid w:val="5D822B46"/>
    <w:rsid w:val="5D822E26"/>
    <w:rsid w:val="5D990224"/>
    <w:rsid w:val="5DCD609C"/>
    <w:rsid w:val="5DCE46F9"/>
    <w:rsid w:val="5DDA1DF0"/>
    <w:rsid w:val="5DDB4719"/>
    <w:rsid w:val="5DDC0B75"/>
    <w:rsid w:val="5DE731E2"/>
    <w:rsid w:val="5DF74FFA"/>
    <w:rsid w:val="5E0A204D"/>
    <w:rsid w:val="5E0A56C8"/>
    <w:rsid w:val="5E191E89"/>
    <w:rsid w:val="5E1D0FBD"/>
    <w:rsid w:val="5E2467F1"/>
    <w:rsid w:val="5E2E2DE0"/>
    <w:rsid w:val="5E2E403A"/>
    <w:rsid w:val="5E2F0501"/>
    <w:rsid w:val="5E3845BC"/>
    <w:rsid w:val="5E3B7E93"/>
    <w:rsid w:val="5E4073E0"/>
    <w:rsid w:val="5E46282E"/>
    <w:rsid w:val="5E510A6C"/>
    <w:rsid w:val="5E5A0C28"/>
    <w:rsid w:val="5E8D1DAD"/>
    <w:rsid w:val="5EAD067B"/>
    <w:rsid w:val="5EAF7E80"/>
    <w:rsid w:val="5ED34582"/>
    <w:rsid w:val="5ED91344"/>
    <w:rsid w:val="5EDF20C0"/>
    <w:rsid w:val="5EE017FC"/>
    <w:rsid w:val="5EE9089A"/>
    <w:rsid w:val="5EEF34C6"/>
    <w:rsid w:val="5EF4551E"/>
    <w:rsid w:val="5EFC0243"/>
    <w:rsid w:val="5F143761"/>
    <w:rsid w:val="5F185672"/>
    <w:rsid w:val="5F1A2B43"/>
    <w:rsid w:val="5F275A5E"/>
    <w:rsid w:val="5F8927F0"/>
    <w:rsid w:val="5FA66FD2"/>
    <w:rsid w:val="5FAA1296"/>
    <w:rsid w:val="5FB837BB"/>
    <w:rsid w:val="5FCA2E67"/>
    <w:rsid w:val="5FF65B0B"/>
    <w:rsid w:val="5FF75125"/>
    <w:rsid w:val="5FFC565A"/>
    <w:rsid w:val="600328D3"/>
    <w:rsid w:val="60053A78"/>
    <w:rsid w:val="600D1DD3"/>
    <w:rsid w:val="60236ADC"/>
    <w:rsid w:val="602F3C67"/>
    <w:rsid w:val="605319C7"/>
    <w:rsid w:val="60575A82"/>
    <w:rsid w:val="605A3522"/>
    <w:rsid w:val="606C6969"/>
    <w:rsid w:val="607648B5"/>
    <w:rsid w:val="6078621F"/>
    <w:rsid w:val="60787894"/>
    <w:rsid w:val="607D5D3B"/>
    <w:rsid w:val="6099124E"/>
    <w:rsid w:val="60C3268B"/>
    <w:rsid w:val="60CB53B2"/>
    <w:rsid w:val="60CC405A"/>
    <w:rsid w:val="60D44B50"/>
    <w:rsid w:val="60DA6C27"/>
    <w:rsid w:val="60F7691C"/>
    <w:rsid w:val="61014A89"/>
    <w:rsid w:val="610A2FB1"/>
    <w:rsid w:val="61162E7F"/>
    <w:rsid w:val="611639FD"/>
    <w:rsid w:val="6147295C"/>
    <w:rsid w:val="61572FE4"/>
    <w:rsid w:val="616E3B08"/>
    <w:rsid w:val="61790EE8"/>
    <w:rsid w:val="617F430B"/>
    <w:rsid w:val="6181064E"/>
    <w:rsid w:val="618141F1"/>
    <w:rsid w:val="61A307B5"/>
    <w:rsid w:val="61A649AC"/>
    <w:rsid w:val="61A905CB"/>
    <w:rsid w:val="61AA2758"/>
    <w:rsid w:val="61CE30A6"/>
    <w:rsid w:val="61CF13C6"/>
    <w:rsid w:val="61D75D9D"/>
    <w:rsid w:val="61DD65F9"/>
    <w:rsid w:val="61E215D8"/>
    <w:rsid w:val="621B3775"/>
    <w:rsid w:val="62332BDE"/>
    <w:rsid w:val="62364782"/>
    <w:rsid w:val="62B40B4E"/>
    <w:rsid w:val="62D84CC4"/>
    <w:rsid w:val="62DF47B8"/>
    <w:rsid w:val="62E8262E"/>
    <w:rsid w:val="62F543D4"/>
    <w:rsid w:val="6307539F"/>
    <w:rsid w:val="63134C6B"/>
    <w:rsid w:val="6324700E"/>
    <w:rsid w:val="6334008C"/>
    <w:rsid w:val="63367867"/>
    <w:rsid w:val="63447CE4"/>
    <w:rsid w:val="634E0D18"/>
    <w:rsid w:val="635B2B37"/>
    <w:rsid w:val="63610C05"/>
    <w:rsid w:val="63732C3E"/>
    <w:rsid w:val="638F2344"/>
    <w:rsid w:val="6394356A"/>
    <w:rsid w:val="63C61B2C"/>
    <w:rsid w:val="63D40BE9"/>
    <w:rsid w:val="63D757CD"/>
    <w:rsid w:val="63E775E6"/>
    <w:rsid w:val="63EB724E"/>
    <w:rsid w:val="63ED479F"/>
    <w:rsid w:val="63F83165"/>
    <w:rsid w:val="63FE69AC"/>
    <w:rsid w:val="64102431"/>
    <w:rsid w:val="643B780C"/>
    <w:rsid w:val="643F3F03"/>
    <w:rsid w:val="647E0DD6"/>
    <w:rsid w:val="64931B31"/>
    <w:rsid w:val="64A5243A"/>
    <w:rsid w:val="64B378DE"/>
    <w:rsid w:val="64C27D0A"/>
    <w:rsid w:val="64CD5C37"/>
    <w:rsid w:val="64DA48ED"/>
    <w:rsid w:val="64E15CCD"/>
    <w:rsid w:val="64E241E6"/>
    <w:rsid w:val="64E6199C"/>
    <w:rsid w:val="64F35681"/>
    <w:rsid w:val="64F531DE"/>
    <w:rsid w:val="64F54139"/>
    <w:rsid w:val="65181555"/>
    <w:rsid w:val="652E5C46"/>
    <w:rsid w:val="65373578"/>
    <w:rsid w:val="65405937"/>
    <w:rsid w:val="65494880"/>
    <w:rsid w:val="654E55AC"/>
    <w:rsid w:val="6557457C"/>
    <w:rsid w:val="655865A0"/>
    <w:rsid w:val="655A4011"/>
    <w:rsid w:val="65744139"/>
    <w:rsid w:val="659343D5"/>
    <w:rsid w:val="65B7026B"/>
    <w:rsid w:val="65C35E52"/>
    <w:rsid w:val="65D86A5F"/>
    <w:rsid w:val="65DC7384"/>
    <w:rsid w:val="65FF0668"/>
    <w:rsid w:val="66076A88"/>
    <w:rsid w:val="660F654D"/>
    <w:rsid w:val="66112C52"/>
    <w:rsid w:val="6636022E"/>
    <w:rsid w:val="66364E19"/>
    <w:rsid w:val="66384D01"/>
    <w:rsid w:val="663B6E4E"/>
    <w:rsid w:val="665D03F4"/>
    <w:rsid w:val="665F6931"/>
    <w:rsid w:val="66706804"/>
    <w:rsid w:val="66766D62"/>
    <w:rsid w:val="66783232"/>
    <w:rsid w:val="667E4F6D"/>
    <w:rsid w:val="669D3958"/>
    <w:rsid w:val="66B26434"/>
    <w:rsid w:val="66D84A02"/>
    <w:rsid w:val="66DA3242"/>
    <w:rsid w:val="66E36B20"/>
    <w:rsid w:val="66E574F6"/>
    <w:rsid w:val="66F16B5F"/>
    <w:rsid w:val="66FC2F81"/>
    <w:rsid w:val="67097700"/>
    <w:rsid w:val="6710030D"/>
    <w:rsid w:val="671518C6"/>
    <w:rsid w:val="671F124A"/>
    <w:rsid w:val="671F3154"/>
    <w:rsid w:val="67394076"/>
    <w:rsid w:val="67566D95"/>
    <w:rsid w:val="675A42E7"/>
    <w:rsid w:val="675D34C8"/>
    <w:rsid w:val="67620838"/>
    <w:rsid w:val="67781843"/>
    <w:rsid w:val="677A33C6"/>
    <w:rsid w:val="678A7C94"/>
    <w:rsid w:val="678F52F2"/>
    <w:rsid w:val="679129B6"/>
    <w:rsid w:val="6798316E"/>
    <w:rsid w:val="67BD2F50"/>
    <w:rsid w:val="67C31FD6"/>
    <w:rsid w:val="67CA5637"/>
    <w:rsid w:val="67D202E8"/>
    <w:rsid w:val="67DC5685"/>
    <w:rsid w:val="67DD296A"/>
    <w:rsid w:val="67DE2BE7"/>
    <w:rsid w:val="67E67751"/>
    <w:rsid w:val="68046F25"/>
    <w:rsid w:val="681F6961"/>
    <w:rsid w:val="682553A8"/>
    <w:rsid w:val="684F15E9"/>
    <w:rsid w:val="68512E4F"/>
    <w:rsid w:val="68610A2F"/>
    <w:rsid w:val="68615664"/>
    <w:rsid w:val="6872380D"/>
    <w:rsid w:val="68805514"/>
    <w:rsid w:val="688B273D"/>
    <w:rsid w:val="68B71907"/>
    <w:rsid w:val="68B84AC9"/>
    <w:rsid w:val="68CA49C1"/>
    <w:rsid w:val="68CB4A9E"/>
    <w:rsid w:val="68D423D1"/>
    <w:rsid w:val="68E9211E"/>
    <w:rsid w:val="69022DB3"/>
    <w:rsid w:val="69316E2F"/>
    <w:rsid w:val="693327EC"/>
    <w:rsid w:val="69355041"/>
    <w:rsid w:val="693F723F"/>
    <w:rsid w:val="694E2071"/>
    <w:rsid w:val="696166A5"/>
    <w:rsid w:val="69766163"/>
    <w:rsid w:val="69777E7C"/>
    <w:rsid w:val="697A3B33"/>
    <w:rsid w:val="697D4817"/>
    <w:rsid w:val="697F71C1"/>
    <w:rsid w:val="69845823"/>
    <w:rsid w:val="69BB4785"/>
    <w:rsid w:val="69D44760"/>
    <w:rsid w:val="69E66653"/>
    <w:rsid w:val="6A1D420B"/>
    <w:rsid w:val="6A520EC7"/>
    <w:rsid w:val="6A5465ED"/>
    <w:rsid w:val="6A571DA3"/>
    <w:rsid w:val="6A5A0964"/>
    <w:rsid w:val="6A5B5001"/>
    <w:rsid w:val="6A616BAA"/>
    <w:rsid w:val="6AA9684B"/>
    <w:rsid w:val="6AAA77A2"/>
    <w:rsid w:val="6AB13943"/>
    <w:rsid w:val="6AB478AB"/>
    <w:rsid w:val="6ABA31D8"/>
    <w:rsid w:val="6AC17E32"/>
    <w:rsid w:val="6AE35D31"/>
    <w:rsid w:val="6AF87E20"/>
    <w:rsid w:val="6B120F8F"/>
    <w:rsid w:val="6B1E2B06"/>
    <w:rsid w:val="6B212122"/>
    <w:rsid w:val="6B26780F"/>
    <w:rsid w:val="6B2C02A3"/>
    <w:rsid w:val="6B322639"/>
    <w:rsid w:val="6B52189E"/>
    <w:rsid w:val="6B7F042E"/>
    <w:rsid w:val="6B893F39"/>
    <w:rsid w:val="6BA96C38"/>
    <w:rsid w:val="6BBF50B5"/>
    <w:rsid w:val="6BC603B1"/>
    <w:rsid w:val="6BCB1B3A"/>
    <w:rsid w:val="6BD84F06"/>
    <w:rsid w:val="6BE4292B"/>
    <w:rsid w:val="6BFE105D"/>
    <w:rsid w:val="6C11541B"/>
    <w:rsid w:val="6C116547"/>
    <w:rsid w:val="6C245C6F"/>
    <w:rsid w:val="6C550D7A"/>
    <w:rsid w:val="6C5F5F61"/>
    <w:rsid w:val="6C636C38"/>
    <w:rsid w:val="6C64553D"/>
    <w:rsid w:val="6C6958C5"/>
    <w:rsid w:val="6C6A15E8"/>
    <w:rsid w:val="6C71449F"/>
    <w:rsid w:val="6C74195B"/>
    <w:rsid w:val="6C8A0E7C"/>
    <w:rsid w:val="6C8A5DCA"/>
    <w:rsid w:val="6CA842A5"/>
    <w:rsid w:val="6CC238C2"/>
    <w:rsid w:val="6CE966AD"/>
    <w:rsid w:val="6CEF045F"/>
    <w:rsid w:val="6CF52916"/>
    <w:rsid w:val="6CFB17B1"/>
    <w:rsid w:val="6D31739F"/>
    <w:rsid w:val="6D3F2CC0"/>
    <w:rsid w:val="6D4A3E60"/>
    <w:rsid w:val="6D5239F7"/>
    <w:rsid w:val="6D5A6758"/>
    <w:rsid w:val="6D740F3B"/>
    <w:rsid w:val="6D851219"/>
    <w:rsid w:val="6D851D7B"/>
    <w:rsid w:val="6D952B17"/>
    <w:rsid w:val="6DB34098"/>
    <w:rsid w:val="6DB545B6"/>
    <w:rsid w:val="6DE02FB4"/>
    <w:rsid w:val="6DE05D5B"/>
    <w:rsid w:val="6DF80149"/>
    <w:rsid w:val="6E11138F"/>
    <w:rsid w:val="6E1C7673"/>
    <w:rsid w:val="6E365487"/>
    <w:rsid w:val="6E3C20B7"/>
    <w:rsid w:val="6E4D1772"/>
    <w:rsid w:val="6E514CED"/>
    <w:rsid w:val="6E853E0C"/>
    <w:rsid w:val="6E883394"/>
    <w:rsid w:val="6E8A4504"/>
    <w:rsid w:val="6E8B1F0A"/>
    <w:rsid w:val="6EB1789D"/>
    <w:rsid w:val="6EB563D5"/>
    <w:rsid w:val="6EB92DC5"/>
    <w:rsid w:val="6EC651C3"/>
    <w:rsid w:val="6ED23E3F"/>
    <w:rsid w:val="6ED871A7"/>
    <w:rsid w:val="6ED92677"/>
    <w:rsid w:val="6EE41139"/>
    <w:rsid w:val="6EF369CA"/>
    <w:rsid w:val="6F013185"/>
    <w:rsid w:val="6F0E3C1F"/>
    <w:rsid w:val="6F0E7824"/>
    <w:rsid w:val="6F225983"/>
    <w:rsid w:val="6F2D39F6"/>
    <w:rsid w:val="6F451F96"/>
    <w:rsid w:val="6F573EE0"/>
    <w:rsid w:val="6F673DF2"/>
    <w:rsid w:val="6F675A4F"/>
    <w:rsid w:val="6F931052"/>
    <w:rsid w:val="6FA3004E"/>
    <w:rsid w:val="6FAB25F9"/>
    <w:rsid w:val="6FAC596A"/>
    <w:rsid w:val="6FC92FBB"/>
    <w:rsid w:val="6FD35151"/>
    <w:rsid w:val="6FD712B8"/>
    <w:rsid w:val="6FD91786"/>
    <w:rsid w:val="6FDD4EAE"/>
    <w:rsid w:val="6FE523BE"/>
    <w:rsid w:val="6FFC5590"/>
    <w:rsid w:val="6FFF1475"/>
    <w:rsid w:val="702A7856"/>
    <w:rsid w:val="70313027"/>
    <w:rsid w:val="703C6857"/>
    <w:rsid w:val="7047743E"/>
    <w:rsid w:val="704B250A"/>
    <w:rsid w:val="705007CF"/>
    <w:rsid w:val="70676C53"/>
    <w:rsid w:val="706D1DD0"/>
    <w:rsid w:val="70856B87"/>
    <w:rsid w:val="708626D2"/>
    <w:rsid w:val="70914989"/>
    <w:rsid w:val="70B74636"/>
    <w:rsid w:val="70BB7D19"/>
    <w:rsid w:val="70C8505D"/>
    <w:rsid w:val="70D527EE"/>
    <w:rsid w:val="70D8638A"/>
    <w:rsid w:val="70DE721A"/>
    <w:rsid w:val="70E40585"/>
    <w:rsid w:val="70F37291"/>
    <w:rsid w:val="70F76C5D"/>
    <w:rsid w:val="70F80771"/>
    <w:rsid w:val="70F81A9C"/>
    <w:rsid w:val="71102163"/>
    <w:rsid w:val="712902C8"/>
    <w:rsid w:val="714C4915"/>
    <w:rsid w:val="714D5D17"/>
    <w:rsid w:val="715640F9"/>
    <w:rsid w:val="715A5240"/>
    <w:rsid w:val="715B5300"/>
    <w:rsid w:val="715E3CD8"/>
    <w:rsid w:val="71640F3D"/>
    <w:rsid w:val="71770CCA"/>
    <w:rsid w:val="71775FD9"/>
    <w:rsid w:val="717D354F"/>
    <w:rsid w:val="71931760"/>
    <w:rsid w:val="719E7677"/>
    <w:rsid w:val="71A177F3"/>
    <w:rsid w:val="71B24112"/>
    <w:rsid w:val="71B62F62"/>
    <w:rsid w:val="71C5393A"/>
    <w:rsid w:val="71D27F8A"/>
    <w:rsid w:val="71F63D37"/>
    <w:rsid w:val="71FD554F"/>
    <w:rsid w:val="721020EB"/>
    <w:rsid w:val="721458FC"/>
    <w:rsid w:val="72207CF5"/>
    <w:rsid w:val="72232C96"/>
    <w:rsid w:val="722C6B3C"/>
    <w:rsid w:val="72335B5F"/>
    <w:rsid w:val="724447CA"/>
    <w:rsid w:val="72553024"/>
    <w:rsid w:val="726A15B0"/>
    <w:rsid w:val="727E7396"/>
    <w:rsid w:val="72900457"/>
    <w:rsid w:val="729E6E82"/>
    <w:rsid w:val="72A97873"/>
    <w:rsid w:val="72D1263A"/>
    <w:rsid w:val="72D859A7"/>
    <w:rsid w:val="730E6BE0"/>
    <w:rsid w:val="73122968"/>
    <w:rsid w:val="731367D5"/>
    <w:rsid w:val="731F5D5E"/>
    <w:rsid w:val="733F4899"/>
    <w:rsid w:val="73490B37"/>
    <w:rsid w:val="7349776F"/>
    <w:rsid w:val="735F6F22"/>
    <w:rsid w:val="73722286"/>
    <w:rsid w:val="737472C7"/>
    <w:rsid w:val="73786D28"/>
    <w:rsid w:val="73866638"/>
    <w:rsid w:val="738B6D8B"/>
    <w:rsid w:val="738E248A"/>
    <w:rsid w:val="73C31BFC"/>
    <w:rsid w:val="73C51AD5"/>
    <w:rsid w:val="73D72614"/>
    <w:rsid w:val="741756D6"/>
    <w:rsid w:val="741E793C"/>
    <w:rsid w:val="74351531"/>
    <w:rsid w:val="74392193"/>
    <w:rsid w:val="745E3944"/>
    <w:rsid w:val="746548E4"/>
    <w:rsid w:val="749510A2"/>
    <w:rsid w:val="749B7BE9"/>
    <w:rsid w:val="74A61DCD"/>
    <w:rsid w:val="74A627CD"/>
    <w:rsid w:val="74A71E6F"/>
    <w:rsid w:val="74CC33B4"/>
    <w:rsid w:val="74D31CFA"/>
    <w:rsid w:val="74E8105B"/>
    <w:rsid w:val="74E92ACF"/>
    <w:rsid w:val="74EB55BB"/>
    <w:rsid w:val="74F440DD"/>
    <w:rsid w:val="750D2AEB"/>
    <w:rsid w:val="75163B50"/>
    <w:rsid w:val="751B3165"/>
    <w:rsid w:val="751B3CDE"/>
    <w:rsid w:val="751E4523"/>
    <w:rsid w:val="752005EC"/>
    <w:rsid w:val="75291B90"/>
    <w:rsid w:val="753B6CE9"/>
    <w:rsid w:val="75574FA3"/>
    <w:rsid w:val="75624080"/>
    <w:rsid w:val="7569196E"/>
    <w:rsid w:val="75707187"/>
    <w:rsid w:val="757C1C95"/>
    <w:rsid w:val="75845910"/>
    <w:rsid w:val="75850703"/>
    <w:rsid w:val="75AC52BF"/>
    <w:rsid w:val="75BF3A49"/>
    <w:rsid w:val="75C55817"/>
    <w:rsid w:val="75D92E4C"/>
    <w:rsid w:val="76347C48"/>
    <w:rsid w:val="7635099D"/>
    <w:rsid w:val="763707AA"/>
    <w:rsid w:val="76590835"/>
    <w:rsid w:val="765C267A"/>
    <w:rsid w:val="766129FC"/>
    <w:rsid w:val="766E5D86"/>
    <w:rsid w:val="768A7C70"/>
    <w:rsid w:val="7691150A"/>
    <w:rsid w:val="76A14366"/>
    <w:rsid w:val="76AB7A21"/>
    <w:rsid w:val="76BA3BCC"/>
    <w:rsid w:val="76CD167C"/>
    <w:rsid w:val="76CF792A"/>
    <w:rsid w:val="76DD5674"/>
    <w:rsid w:val="76DE7B66"/>
    <w:rsid w:val="76E01D22"/>
    <w:rsid w:val="76E62A1C"/>
    <w:rsid w:val="76F206AF"/>
    <w:rsid w:val="76F32C73"/>
    <w:rsid w:val="771132AF"/>
    <w:rsid w:val="7729027F"/>
    <w:rsid w:val="772E0286"/>
    <w:rsid w:val="77376935"/>
    <w:rsid w:val="773F3172"/>
    <w:rsid w:val="773F3279"/>
    <w:rsid w:val="774A1E77"/>
    <w:rsid w:val="774A757C"/>
    <w:rsid w:val="776138C3"/>
    <w:rsid w:val="77662A6A"/>
    <w:rsid w:val="7767421D"/>
    <w:rsid w:val="77762421"/>
    <w:rsid w:val="77A34D51"/>
    <w:rsid w:val="77AF5424"/>
    <w:rsid w:val="77B56B1F"/>
    <w:rsid w:val="77B90635"/>
    <w:rsid w:val="77CE671C"/>
    <w:rsid w:val="77F01AD6"/>
    <w:rsid w:val="77F2017E"/>
    <w:rsid w:val="77F4117B"/>
    <w:rsid w:val="77F811CA"/>
    <w:rsid w:val="780F09F4"/>
    <w:rsid w:val="783C4979"/>
    <w:rsid w:val="7854712A"/>
    <w:rsid w:val="786F67EC"/>
    <w:rsid w:val="787354E1"/>
    <w:rsid w:val="7879089F"/>
    <w:rsid w:val="788204EE"/>
    <w:rsid w:val="78834720"/>
    <w:rsid w:val="78967F44"/>
    <w:rsid w:val="78A32B15"/>
    <w:rsid w:val="78A90480"/>
    <w:rsid w:val="78B33404"/>
    <w:rsid w:val="78BC00A7"/>
    <w:rsid w:val="78DD57EF"/>
    <w:rsid w:val="78E35A4C"/>
    <w:rsid w:val="78F214D6"/>
    <w:rsid w:val="78F9378E"/>
    <w:rsid w:val="7926236B"/>
    <w:rsid w:val="792D6A8A"/>
    <w:rsid w:val="79303DE3"/>
    <w:rsid w:val="793926E1"/>
    <w:rsid w:val="79476307"/>
    <w:rsid w:val="794C6999"/>
    <w:rsid w:val="795160B9"/>
    <w:rsid w:val="79751780"/>
    <w:rsid w:val="797E48CB"/>
    <w:rsid w:val="798238E1"/>
    <w:rsid w:val="798253B8"/>
    <w:rsid w:val="798A03B8"/>
    <w:rsid w:val="798F6246"/>
    <w:rsid w:val="79AE6152"/>
    <w:rsid w:val="79BB5B4C"/>
    <w:rsid w:val="79BE5328"/>
    <w:rsid w:val="79BF6786"/>
    <w:rsid w:val="79C36AB1"/>
    <w:rsid w:val="79D24C54"/>
    <w:rsid w:val="79DE7208"/>
    <w:rsid w:val="79E969C4"/>
    <w:rsid w:val="7A1A77ED"/>
    <w:rsid w:val="7A1C34E2"/>
    <w:rsid w:val="7A225A4B"/>
    <w:rsid w:val="7A364017"/>
    <w:rsid w:val="7A383399"/>
    <w:rsid w:val="7A39426D"/>
    <w:rsid w:val="7A4525D7"/>
    <w:rsid w:val="7A4F3F65"/>
    <w:rsid w:val="7A5B04BF"/>
    <w:rsid w:val="7A8265E1"/>
    <w:rsid w:val="7AA716F4"/>
    <w:rsid w:val="7AB40B3A"/>
    <w:rsid w:val="7ABE4142"/>
    <w:rsid w:val="7AC31ECE"/>
    <w:rsid w:val="7AE07354"/>
    <w:rsid w:val="7AED3106"/>
    <w:rsid w:val="7AFB1A5F"/>
    <w:rsid w:val="7B024D7D"/>
    <w:rsid w:val="7B216E3A"/>
    <w:rsid w:val="7B3366DC"/>
    <w:rsid w:val="7B3611C7"/>
    <w:rsid w:val="7B364826"/>
    <w:rsid w:val="7B3F7BFA"/>
    <w:rsid w:val="7B4720F8"/>
    <w:rsid w:val="7B686D42"/>
    <w:rsid w:val="7B7E5AFE"/>
    <w:rsid w:val="7B8276EE"/>
    <w:rsid w:val="7B841746"/>
    <w:rsid w:val="7B8964A7"/>
    <w:rsid w:val="7B8A2A89"/>
    <w:rsid w:val="7B995DE2"/>
    <w:rsid w:val="7B9C435D"/>
    <w:rsid w:val="7BAA3C1A"/>
    <w:rsid w:val="7BB60DB4"/>
    <w:rsid w:val="7BBD4F47"/>
    <w:rsid w:val="7BCE1863"/>
    <w:rsid w:val="7BF413FA"/>
    <w:rsid w:val="7C275765"/>
    <w:rsid w:val="7C2E4DE0"/>
    <w:rsid w:val="7C3C2BD1"/>
    <w:rsid w:val="7C3E29A9"/>
    <w:rsid w:val="7C462EB7"/>
    <w:rsid w:val="7C5E4D79"/>
    <w:rsid w:val="7C6C5AC7"/>
    <w:rsid w:val="7C840FF7"/>
    <w:rsid w:val="7C924FAA"/>
    <w:rsid w:val="7C93623E"/>
    <w:rsid w:val="7C957DCF"/>
    <w:rsid w:val="7C9D1ACE"/>
    <w:rsid w:val="7C9F71FC"/>
    <w:rsid w:val="7CAA1F3E"/>
    <w:rsid w:val="7CB44843"/>
    <w:rsid w:val="7CB81AEE"/>
    <w:rsid w:val="7CB84A97"/>
    <w:rsid w:val="7CC6544B"/>
    <w:rsid w:val="7CD457D8"/>
    <w:rsid w:val="7CD762DD"/>
    <w:rsid w:val="7CDA039A"/>
    <w:rsid w:val="7CDB761F"/>
    <w:rsid w:val="7CE11A72"/>
    <w:rsid w:val="7CEA250C"/>
    <w:rsid w:val="7CF64C71"/>
    <w:rsid w:val="7CF71E8E"/>
    <w:rsid w:val="7D0239FF"/>
    <w:rsid w:val="7D050616"/>
    <w:rsid w:val="7D1A586C"/>
    <w:rsid w:val="7D231660"/>
    <w:rsid w:val="7D280CB6"/>
    <w:rsid w:val="7D287D1C"/>
    <w:rsid w:val="7D2C6ADB"/>
    <w:rsid w:val="7D331CF8"/>
    <w:rsid w:val="7D3444F3"/>
    <w:rsid w:val="7D4953D8"/>
    <w:rsid w:val="7D4A5E1B"/>
    <w:rsid w:val="7D5D2D85"/>
    <w:rsid w:val="7D5E40CD"/>
    <w:rsid w:val="7D872CE9"/>
    <w:rsid w:val="7D8B1B11"/>
    <w:rsid w:val="7D9162AD"/>
    <w:rsid w:val="7D9340A4"/>
    <w:rsid w:val="7DA50CDB"/>
    <w:rsid w:val="7DA868DB"/>
    <w:rsid w:val="7DC1685E"/>
    <w:rsid w:val="7DC24B45"/>
    <w:rsid w:val="7DCD56F2"/>
    <w:rsid w:val="7DDF2070"/>
    <w:rsid w:val="7DE90DE6"/>
    <w:rsid w:val="7DFC1BF7"/>
    <w:rsid w:val="7DFE2A11"/>
    <w:rsid w:val="7E071F7B"/>
    <w:rsid w:val="7E150D71"/>
    <w:rsid w:val="7E3A6440"/>
    <w:rsid w:val="7E4511DB"/>
    <w:rsid w:val="7E4B5D07"/>
    <w:rsid w:val="7E7025B4"/>
    <w:rsid w:val="7E756EDC"/>
    <w:rsid w:val="7E854F5E"/>
    <w:rsid w:val="7EB068E5"/>
    <w:rsid w:val="7EB76E6E"/>
    <w:rsid w:val="7EBA186E"/>
    <w:rsid w:val="7ECD45DD"/>
    <w:rsid w:val="7ECE3092"/>
    <w:rsid w:val="7ED77208"/>
    <w:rsid w:val="7ED806AB"/>
    <w:rsid w:val="7EDB6E09"/>
    <w:rsid w:val="7F001CE7"/>
    <w:rsid w:val="7F104038"/>
    <w:rsid w:val="7F371FEC"/>
    <w:rsid w:val="7F4140A3"/>
    <w:rsid w:val="7F487938"/>
    <w:rsid w:val="7F4C1C1A"/>
    <w:rsid w:val="7F5D0EA3"/>
    <w:rsid w:val="7F676D8D"/>
    <w:rsid w:val="7FB4134D"/>
    <w:rsid w:val="7FB839FD"/>
    <w:rsid w:val="7FC0360D"/>
    <w:rsid w:val="7FDA38E3"/>
    <w:rsid w:val="7FDA73F0"/>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qFormat="1"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99"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spacing w:beforeLines="50" w:afterLines="50"/>
      <w:outlineLvl w:val="1"/>
    </w:pPr>
    <w:rPr>
      <w:b/>
      <w:bCs/>
      <w:sz w:val="32"/>
      <w:szCs w:val="32"/>
    </w:rPr>
  </w:style>
  <w:style w:type="paragraph" w:styleId="4">
    <w:name w:val="heading 3"/>
    <w:basedOn w:val="1"/>
    <w:next w:val="1"/>
    <w:qFormat/>
    <w:locked/>
    <w:uiPriority w:val="0"/>
    <w:pPr>
      <w:keepNext/>
      <w:keepLines/>
      <w:spacing w:line="500" w:lineRule="exact"/>
      <w:ind w:firstLine="602" w:firstLineChars="200"/>
      <w:outlineLvl w:val="2"/>
    </w:pPr>
    <w:rPr>
      <w:rFonts w:ascii="Calibri" w:hAnsi="Calibri" w:eastAsia="宋体"/>
      <w:b/>
      <w:bCs/>
      <w:sz w:val="28"/>
      <w:szCs w:val="32"/>
    </w:rPr>
  </w:style>
  <w:style w:type="paragraph" w:styleId="5">
    <w:name w:val="heading 4"/>
    <w:basedOn w:val="1"/>
    <w:next w:val="1"/>
    <w:link w:val="50"/>
    <w:qFormat/>
    <w:locked/>
    <w:uiPriority w:val="0"/>
    <w:pPr>
      <w:keepNext/>
      <w:jc w:val="center"/>
      <w:outlineLvl w:val="3"/>
    </w:pPr>
    <w:rPr>
      <w:sz w:val="28"/>
    </w:rPr>
  </w:style>
  <w:style w:type="character" w:default="1" w:styleId="34">
    <w:name w:val="Default Paragraph Font"/>
    <w:link w:val="35"/>
    <w:semiHidden/>
    <w:qFormat/>
    <w:uiPriority w:val="0"/>
  </w:style>
  <w:style w:type="table" w:default="1" w:styleId="32">
    <w:name w:val="Normal Table"/>
    <w:semiHidden/>
    <w:qFormat/>
    <w:uiPriority w:val="0"/>
    <w:tblPr>
      <w:tblCellMar>
        <w:top w:w="0" w:type="dxa"/>
        <w:left w:w="108" w:type="dxa"/>
        <w:bottom w:w="0" w:type="dxa"/>
        <w:right w:w="108" w:type="dxa"/>
      </w:tblCellMar>
    </w:tblPr>
  </w:style>
  <w:style w:type="paragraph" w:styleId="6">
    <w:name w:val="Normal Indent"/>
    <w:basedOn w:val="1"/>
    <w:next w:val="1"/>
    <w:qFormat/>
    <w:locked/>
    <w:uiPriority w:val="0"/>
    <w:pPr>
      <w:ind w:firstLine="420" w:firstLineChars="200"/>
    </w:pPr>
    <w:rPr>
      <w:szCs w:val="20"/>
    </w:rPr>
  </w:style>
  <w:style w:type="paragraph" w:styleId="7">
    <w:name w:val="caption"/>
    <w:basedOn w:val="1"/>
    <w:next w:val="1"/>
    <w:qFormat/>
    <w:locked/>
    <w:uiPriority w:val="35"/>
    <w:pPr>
      <w:widowControl/>
      <w:adjustRightInd/>
      <w:spacing w:line="440" w:lineRule="exact"/>
      <w:ind w:firstLine="480" w:firstLineChars="200"/>
      <w:jc w:val="left"/>
      <w:textAlignment w:val="auto"/>
    </w:pPr>
    <w:rPr>
      <w:rFonts w:ascii="Cambria" w:hAnsi="Cambria" w:eastAsia="黑体"/>
      <w:kern w:val="2"/>
      <w:sz w:val="20"/>
    </w:rPr>
  </w:style>
  <w:style w:type="paragraph" w:styleId="8">
    <w:name w:val="toa heading"/>
    <w:basedOn w:val="1"/>
    <w:next w:val="1"/>
    <w:qFormat/>
    <w:locked/>
    <w:uiPriority w:val="0"/>
    <w:pPr>
      <w:spacing w:before="120" w:beforeLines="0" w:beforeAutospacing="0"/>
    </w:pPr>
    <w:rPr>
      <w:rFonts w:ascii="Arial" w:hAnsi="Arial"/>
      <w:sz w:val="24"/>
    </w:rPr>
  </w:style>
  <w:style w:type="paragraph" w:styleId="9">
    <w:name w:val="annotation text"/>
    <w:basedOn w:val="1"/>
    <w:link w:val="51"/>
    <w:semiHidden/>
    <w:qFormat/>
    <w:uiPriority w:val="0"/>
    <w:pPr>
      <w:jc w:val="left"/>
    </w:pPr>
    <w:rPr>
      <w:kern w:val="0"/>
      <w:sz w:val="24"/>
      <w:szCs w:val="20"/>
    </w:rPr>
  </w:style>
  <w:style w:type="paragraph" w:styleId="10">
    <w:name w:val="Body Text"/>
    <w:basedOn w:val="1"/>
    <w:next w:val="11"/>
    <w:link w:val="48"/>
    <w:qFormat/>
    <w:uiPriority w:val="0"/>
    <w:pPr>
      <w:widowControl/>
      <w:snapToGrid w:val="0"/>
      <w:spacing w:before="60" w:after="160" w:line="259" w:lineRule="auto"/>
      <w:ind w:right="113"/>
    </w:pPr>
    <w:rPr>
      <w:kern w:val="0"/>
      <w:sz w:val="18"/>
      <w:szCs w:val="20"/>
    </w:rPr>
  </w:style>
  <w:style w:type="paragraph" w:styleId="11">
    <w:name w:val="Date"/>
    <w:basedOn w:val="1"/>
    <w:next w:val="1"/>
    <w:link w:val="49"/>
    <w:qFormat/>
    <w:uiPriority w:val="0"/>
    <w:pPr>
      <w:ind w:left="100" w:leftChars="2500"/>
    </w:pPr>
    <w:rPr>
      <w:kern w:val="0"/>
      <w:sz w:val="24"/>
      <w:szCs w:val="20"/>
    </w:rPr>
  </w:style>
  <w:style w:type="paragraph" w:styleId="12">
    <w:name w:val="Body Text Indent"/>
    <w:basedOn w:val="1"/>
    <w:link w:val="52"/>
    <w:qFormat/>
    <w:uiPriority w:val="0"/>
    <w:pPr>
      <w:spacing w:after="120"/>
      <w:ind w:left="420" w:leftChars="200"/>
    </w:pPr>
    <w:rPr>
      <w:kern w:val="0"/>
      <w:sz w:val="24"/>
      <w:szCs w:val="20"/>
    </w:rPr>
  </w:style>
  <w:style w:type="paragraph" w:styleId="13">
    <w:name w:val="Block Text"/>
    <w:basedOn w:val="1"/>
    <w:qFormat/>
    <w:locked/>
    <w:uiPriority w:val="0"/>
    <w:pPr>
      <w:ind w:left="-44" w:leftChars="-21" w:right="-105" w:rightChars="-50"/>
      <w:jc w:val="center"/>
    </w:pPr>
    <w:rPr>
      <w:rFonts w:ascii="宋体" w:hAnsi="宋体"/>
      <w:spacing w:val="-8"/>
      <w:szCs w:val="24"/>
    </w:rPr>
  </w:style>
  <w:style w:type="paragraph" w:styleId="14">
    <w:name w:val="toc 3"/>
    <w:basedOn w:val="1"/>
    <w:next w:val="1"/>
    <w:qFormat/>
    <w:locked/>
    <w:uiPriority w:val="39"/>
    <w:pPr>
      <w:ind w:left="420"/>
      <w:jc w:val="left"/>
    </w:pPr>
    <w:rPr>
      <w:rFonts w:ascii="Calibri" w:hAnsi="Calibri"/>
      <w:i/>
      <w:iCs/>
      <w:sz w:val="20"/>
      <w:szCs w:val="20"/>
    </w:rPr>
  </w:style>
  <w:style w:type="paragraph" w:styleId="15">
    <w:name w:val="Plain Text"/>
    <w:basedOn w:val="1"/>
    <w:qFormat/>
    <w:locked/>
    <w:uiPriority w:val="0"/>
    <w:rPr>
      <w:rFonts w:ascii="宋体" w:hAnsi="Courier New"/>
      <w:szCs w:val="21"/>
    </w:rPr>
  </w:style>
  <w:style w:type="paragraph" w:styleId="16">
    <w:name w:val="List Bullet 5"/>
    <w:basedOn w:val="1"/>
    <w:qFormat/>
    <w:locked/>
    <w:uiPriority w:val="0"/>
    <w:pPr>
      <w:numPr>
        <w:ilvl w:val="0"/>
        <w:numId w:val="1"/>
      </w:numPr>
    </w:pPr>
  </w:style>
  <w:style w:type="paragraph" w:styleId="17">
    <w:name w:val="Body Text Indent 2"/>
    <w:basedOn w:val="1"/>
    <w:qFormat/>
    <w:locked/>
    <w:uiPriority w:val="0"/>
    <w:pPr>
      <w:spacing w:line="540" w:lineRule="exact"/>
      <w:ind w:firstLine="480" w:firstLineChars="200"/>
    </w:pPr>
    <w:rPr>
      <w:sz w:val="24"/>
    </w:rPr>
  </w:style>
  <w:style w:type="paragraph" w:styleId="18">
    <w:name w:val="Balloon Text"/>
    <w:basedOn w:val="1"/>
    <w:link w:val="53"/>
    <w:semiHidden/>
    <w:qFormat/>
    <w:uiPriority w:val="0"/>
    <w:rPr>
      <w:kern w:val="0"/>
      <w:sz w:val="18"/>
      <w:szCs w:val="20"/>
    </w:rPr>
  </w:style>
  <w:style w:type="paragraph" w:styleId="19">
    <w:name w:val="footer"/>
    <w:basedOn w:val="1"/>
    <w:link w:val="54"/>
    <w:qFormat/>
    <w:uiPriority w:val="99"/>
    <w:pPr>
      <w:tabs>
        <w:tab w:val="center" w:pos="4153"/>
        <w:tab w:val="right" w:pos="8306"/>
      </w:tabs>
      <w:snapToGrid w:val="0"/>
      <w:jc w:val="left"/>
    </w:pPr>
    <w:rPr>
      <w:kern w:val="0"/>
      <w:sz w:val="18"/>
      <w:szCs w:val="20"/>
    </w:rPr>
  </w:style>
  <w:style w:type="paragraph" w:styleId="20">
    <w:name w:val="header"/>
    <w:basedOn w:val="1"/>
    <w:link w:val="55"/>
    <w:qFormat/>
    <w:uiPriority w:val="0"/>
    <w:pPr>
      <w:pBdr>
        <w:bottom w:val="single" w:color="auto" w:sz="6" w:space="1"/>
      </w:pBdr>
      <w:tabs>
        <w:tab w:val="center" w:pos="4153"/>
        <w:tab w:val="right" w:pos="8306"/>
      </w:tabs>
      <w:snapToGrid w:val="0"/>
      <w:jc w:val="center"/>
    </w:pPr>
    <w:rPr>
      <w:kern w:val="0"/>
      <w:sz w:val="18"/>
      <w:szCs w:val="20"/>
    </w:rPr>
  </w:style>
  <w:style w:type="paragraph" w:styleId="21">
    <w:name w:val="toc 1"/>
    <w:basedOn w:val="1"/>
    <w:next w:val="1"/>
    <w:qFormat/>
    <w:locked/>
    <w:uiPriority w:val="39"/>
    <w:pPr>
      <w:spacing w:before="120" w:after="120"/>
      <w:jc w:val="left"/>
    </w:pPr>
    <w:rPr>
      <w:rFonts w:ascii="Calibri" w:hAnsi="Calibri"/>
      <w:b/>
      <w:bCs/>
      <w:caps/>
      <w:sz w:val="20"/>
      <w:szCs w:val="20"/>
    </w:rPr>
  </w:style>
  <w:style w:type="paragraph" w:styleId="22">
    <w:name w:val="List"/>
    <w:basedOn w:val="1"/>
    <w:qFormat/>
    <w:locked/>
    <w:uiPriority w:val="0"/>
    <w:pPr>
      <w:spacing w:line="240" w:lineRule="atLeast"/>
      <w:ind w:left="0" w:firstLine="0" w:firstLineChars="0"/>
      <w:jc w:val="center"/>
    </w:pPr>
    <w:rPr>
      <w:rFonts w:ascii="Times New Roman" w:hAnsi="Times New Roman" w:cs="Times New Roman"/>
      <w:sz w:val="21"/>
      <w:szCs w:val="21"/>
    </w:rPr>
  </w:style>
  <w:style w:type="paragraph" w:styleId="23">
    <w:name w:val="Body Text Indent 3"/>
    <w:basedOn w:val="1"/>
    <w:qFormat/>
    <w:locked/>
    <w:uiPriority w:val="0"/>
    <w:pPr>
      <w:ind w:firstLine="630" w:firstLineChars="225"/>
    </w:pPr>
    <w:rPr>
      <w:sz w:val="28"/>
    </w:rPr>
  </w:style>
  <w:style w:type="paragraph" w:styleId="24">
    <w:name w:val="toc 2"/>
    <w:basedOn w:val="1"/>
    <w:next w:val="1"/>
    <w:qFormat/>
    <w:locked/>
    <w:uiPriority w:val="39"/>
    <w:pPr>
      <w:ind w:left="210"/>
      <w:jc w:val="left"/>
    </w:pPr>
    <w:rPr>
      <w:rFonts w:ascii="Calibri" w:hAnsi="Calibri"/>
      <w:smallCaps/>
      <w:sz w:val="20"/>
      <w:szCs w:val="20"/>
    </w:rPr>
  </w:style>
  <w:style w:type="paragraph" w:styleId="25">
    <w:name w:val="Body Text 2"/>
    <w:basedOn w:val="1"/>
    <w:qFormat/>
    <w:locked/>
    <w:uiPriority w:val="99"/>
    <w:rPr>
      <w:i/>
      <w:sz w:val="24"/>
    </w:rPr>
  </w:style>
  <w:style w:type="paragraph" w:styleId="26">
    <w:name w:val="Normal (Web)"/>
    <w:basedOn w:val="1"/>
    <w:link w:val="56"/>
    <w:qFormat/>
    <w:uiPriority w:val="0"/>
    <w:pPr>
      <w:widowControl/>
      <w:spacing w:before="100" w:beforeAutospacing="1" w:after="100" w:afterAutospacing="1"/>
      <w:jc w:val="left"/>
    </w:pPr>
    <w:rPr>
      <w:rFonts w:ascii="宋体" w:hAnsi="宋体"/>
      <w:kern w:val="0"/>
      <w:sz w:val="24"/>
      <w:szCs w:val="20"/>
    </w:rPr>
  </w:style>
  <w:style w:type="paragraph" w:styleId="27">
    <w:name w:val="index 1"/>
    <w:basedOn w:val="1"/>
    <w:next w:val="1"/>
    <w:semiHidden/>
    <w:qFormat/>
    <w:locked/>
    <w:uiPriority w:val="0"/>
    <w:pPr>
      <w:jc w:val="center"/>
    </w:pPr>
    <w:rPr>
      <w:rFonts w:ascii="宋体" w:hAnsi="宋体" w:cs="宋体"/>
      <w:spacing w:val="10"/>
      <w:kern w:val="0"/>
      <w:szCs w:val="21"/>
    </w:rPr>
  </w:style>
  <w:style w:type="paragraph" w:styleId="28">
    <w:name w:val="Title"/>
    <w:basedOn w:val="1"/>
    <w:qFormat/>
    <w:locked/>
    <w:uiPriority w:val="10"/>
    <w:pPr>
      <w:spacing w:before="240" w:beforeLines="0" w:beforeAutospacing="0" w:after="60" w:afterLines="0" w:afterAutospacing="0"/>
      <w:jc w:val="center"/>
      <w:outlineLvl w:val="0"/>
    </w:pPr>
    <w:rPr>
      <w:rFonts w:ascii="Arial" w:hAnsi="Arial"/>
      <w:b/>
      <w:sz w:val="32"/>
    </w:rPr>
  </w:style>
  <w:style w:type="paragraph" w:styleId="29">
    <w:name w:val="annotation subject"/>
    <w:basedOn w:val="9"/>
    <w:next w:val="9"/>
    <w:link w:val="57"/>
    <w:semiHidden/>
    <w:qFormat/>
    <w:uiPriority w:val="0"/>
    <w:rPr>
      <w:b/>
      <w:sz w:val="24"/>
      <w:szCs w:val="20"/>
    </w:rPr>
  </w:style>
  <w:style w:type="paragraph" w:styleId="30">
    <w:name w:val="Body Text First Indent"/>
    <w:basedOn w:val="10"/>
    <w:next w:val="1"/>
    <w:qFormat/>
    <w:locked/>
    <w:uiPriority w:val="0"/>
    <w:pPr>
      <w:widowControl/>
      <w:adjustRightInd w:val="0"/>
      <w:snapToGrid w:val="0"/>
      <w:spacing w:line="336" w:lineRule="auto"/>
      <w:ind w:firstLine="200" w:firstLineChars="200"/>
    </w:pPr>
    <w:rPr>
      <w:rFonts w:hAnsi="宋体"/>
      <w:snapToGrid w:val="0"/>
      <w:color w:val="000000"/>
      <w:kern w:val="0"/>
    </w:rPr>
  </w:style>
  <w:style w:type="paragraph" w:styleId="31">
    <w:name w:val="Body Text First Indent 2"/>
    <w:basedOn w:val="12"/>
    <w:qFormat/>
    <w:locked/>
    <w:uiPriority w:val="0"/>
    <w:pPr>
      <w:spacing w:after="120" w:line="360" w:lineRule="auto"/>
      <w:ind w:left="420" w:leftChars="200" w:firstLine="420"/>
    </w:pPr>
    <w:rPr>
      <w:rFonts w:ascii="宋体" w:hAnsi="Courier New"/>
      <w:sz w:val="21"/>
      <w:szCs w:val="22"/>
    </w:rPr>
  </w:style>
  <w:style w:type="table" w:styleId="33">
    <w:name w:val="Table Grid"/>
    <w:basedOn w:val="32"/>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5">
    <w:name w:val=" Char Char Char Char Char Char Char Char Char Char Char Char Char Char Char Char Char Char Char Char Char Char Char Char"/>
    <w:basedOn w:val="1"/>
    <w:link w:val="34"/>
    <w:qFormat/>
    <w:uiPriority w:val="0"/>
  </w:style>
  <w:style w:type="character" w:styleId="36">
    <w:name w:val="Strong"/>
    <w:basedOn w:val="34"/>
    <w:qFormat/>
    <w:locked/>
    <w:uiPriority w:val="0"/>
    <w:rPr>
      <w:b/>
    </w:rPr>
  </w:style>
  <w:style w:type="character" w:styleId="37">
    <w:name w:val="page number"/>
    <w:basedOn w:val="34"/>
    <w:qFormat/>
    <w:locked/>
    <w:uiPriority w:val="0"/>
  </w:style>
  <w:style w:type="character" w:styleId="38">
    <w:name w:val="Hyperlink"/>
    <w:basedOn w:val="34"/>
    <w:qFormat/>
    <w:locked/>
    <w:uiPriority w:val="0"/>
    <w:rPr>
      <w:color w:val="0000FF"/>
      <w:u w:val="single"/>
    </w:rPr>
  </w:style>
  <w:style w:type="character" w:styleId="39">
    <w:name w:val="annotation reference"/>
    <w:basedOn w:val="34"/>
    <w:semiHidden/>
    <w:qFormat/>
    <w:uiPriority w:val="0"/>
    <w:rPr>
      <w:sz w:val="21"/>
    </w:rPr>
  </w:style>
  <w:style w:type="paragraph" w:customStyle="1" w:styleId="40">
    <w:name w:val="专用表格"/>
    <w:basedOn w:val="1"/>
    <w:link w:val="115"/>
    <w:qFormat/>
    <w:uiPriority w:val="0"/>
    <w:pPr>
      <w:overflowPunct w:val="0"/>
      <w:topLinePunct/>
      <w:spacing w:line="240" w:lineRule="auto"/>
      <w:ind w:firstLine="0" w:firstLineChars="0"/>
      <w:jc w:val="center"/>
    </w:pPr>
    <w:rPr>
      <w:rFonts w:eastAsia="宋体"/>
      <w:color w:val="000000" w:themeColor="text1"/>
      <w:sz w:val="21"/>
      <w:szCs w:val="21"/>
      <w14:textFill>
        <w14:solidFill>
          <w14:schemeClr w14:val="tx1"/>
        </w14:solidFill>
      </w14:textFill>
    </w:rPr>
  </w:style>
  <w:style w:type="character" w:customStyle="1" w:styleId="41">
    <w:name w:val="表格 Char"/>
    <w:link w:val="42"/>
    <w:qFormat/>
    <w:locked/>
    <w:uiPriority w:val="0"/>
    <w:rPr>
      <w:rFonts w:ascii="宋体"/>
      <w:sz w:val="21"/>
    </w:rPr>
  </w:style>
  <w:style w:type="paragraph" w:customStyle="1" w:styleId="42">
    <w:name w:val="表格"/>
    <w:basedOn w:val="6"/>
    <w:next w:val="25"/>
    <w:link w:val="41"/>
    <w:qFormat/>
    <w:uiPriority w:val="0"/>
    <w:pPr>
      <w:adjustRightInd w:val="0"/>
      <w:snapToGrid w:val="0"/>
      <w:spacing w:beforeLines="10" w:afterLines="10" w:line="259" w:lineRule="auto"/>
      <w:jc w:val="center"/>
    </w:pPr>
    <w:rPr>
      <w:rFonts w:ascii="宋体"/>
      <w:kern w:val="0"/>
      <w:szCs w:val="20"/>
    </w:rPr>
  </w:style>
  <w:style w:type="paragraph" w:customStyle="1" w:styleId="43">
    <w:name w:val="[1]正文"/>
    <w:basedOn w:val="1"/>
    <w:qFormat/>
    <w:uiPriority w:val="0"/>
    <w:pPr>
      <w:wordWrap w:val="0"/>
      <w:adjustRightInd w:val="0"/>
      <w:snapToGrid w:val="0"/>
      <w:spacing w:line="500" w:lineRule="exact"/>
      <w:jc w:val="left"/>
    </w:pPr>
    <w:rPr>
      <w:kern w:val="0"/>
      <w:sz w:val="28"/>
      <w:szCs w:val="28"/>
    </w:rPr>
  </w:style>
  <w:style w:type="paragraph" w:customStyle="1" w:styleId="44">
    <w:name w:val="0正文"/>
    <w:basedOn w:val="45"/>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45">
    <w:name w:val="样式35"/>
    <w:basedOn w:val="1"/>
    <w:next w:val="46"/>
    <w:qFormat/>
    <w:uiPriority w:val="0"/>
    <w:pPr>
      <w:spacing w:line="312" w:lineRule="auto"/>
      <w:ind w:firstLine="567"/>
    </w:pPr>
    <w:rPr>
      <w:rFonts w:ascii="宋体"/>
      <w:sz w:val="28"/>
    </w:rPr>
  </w:style>
  <w:style w:type="paragraph" w:customStyle="1" w:styleId="46">
    <w:name w:val="font6"/>
    <w:basedOn w:val="1"/>
    <w:next w:val="24"/>
    <w:qFormat/>
    <w:uiPriority w:val="0"/>
    <w:pPr>
      <w:widowControl/>
      <w:spacing w:before="100" w:beforeAutospacing="1" w:after="100" w:afterAutospacing="1"/>
      <w:jc w:val="left"/>
    </w:pPr>
    <w:rPr>
      <w:rFonts w:hint="eastAsia" w:ascii="宋体" w:hAnsi="宋体"/>
      <w:b/>
      <w:bCs/>
      <w:color w:val="0000FF"/>
      <w:kern w:val="0"/>
      <w:sz w:val="22"/>
      <w:szCs w:val="22"/>
    </w:rPr>
  </w:style>
  <w:style w:type="paragraph" w:customStyle="1" w:styleId="47">
    <w:name w:val="报告书正文"/>
    <w:basedOn w:val="30"/>
    <w:next w:val="1"/>
    <w:qFormat/>
    <w:uiPriority w:val="0"/>
    <w:pPr>
      <w:spacing w:after="0" w:line="360" w:lineRule="auto"/>
      <w:ind w:firstLine="200" w:firstLineChars="200"/>
    </w:pPr>
    <w:rPr>
      <w:sz w:val="24"/>
      <w:szCs w:val="24"/>
      <w:lang w:val="en-US"/>
    </w:rPr>
  </w:style>
  <w:style w:type="character" w:customStyle="1" w:styleId="48">
    <w:name w:val="正文文本 Char"/>
    <w:link w:val="10"/>
    <w:qFormat/>
    <w:locked/>
    <w:uiPriority w:val="0"/>
    <w:rPr>
      <w:sz w:val="18"/>
    </w:rPr>
  </w:style>
  <w:style w:type="character" w:customStyle="1" w:styleId="49">
    <w:name w:val="日期 Char"/>
    <w:link w:val="11"/>
    <w:qFormat/>
    <w:locked/>
    <w:uiPriority w:val="0"/>
    <w:rPr>
      <w:rFonts w:ascii="Times New Roman" w:hAnsi="Times New Roman" w:eastAsia="宋体"/>
      <w:sz w:val="24"/>
    </w:rPr>
  </w:style>
  <w:style w:type="character" w:customStyle="1" w:styleId="50">
    <w:name w:val="标题 4 Char"/>
    <w:link w:val="5"/>
    <w:qFormat/>
    <w:uiPriority w:val="0"/>
    <w:rPr>
      <w:sz w:val="28"/>
    </w:rPr>
  </w:style>
  <w:style w:type="character" w:customStyle="1" w:styleId="51">
    <w:name w:val="批注文字 Char"/>
    <w:link w:val="9"/>
    <w:qFormat/>
    <w:locked/>
    <w:uiPriority w:val="0"/>
    <w:rPr>
      <w:rFonts w:ascii="Times New Roman" w:hAnsi="Times New Roman" w:eastAsia="宋体"/>
      <w:sz w:val="24"/>
    </w:rPr>
  </w:style>
  <w:style w:type="character" w:customStyle="1" w:styleId="52">
    <w:name w:val="正文文本缩进 Char"/>
    <w:link w:val="12"/>
    <w:semiHidden/>
    <w:qFormat/>
    <w:locked/>
    <w:uiPriority w:val="0"/>
    <w:rPr>
      <w:rFonts w:ascii="Times New Roman" w:hAnsi="Times New Roman" w:eastAsia="宋体"/>
      <w:sz w:val="24"/>
    </w:rPr>
  </w:style>
  <w:style w:type="character" w:customStyle="1" w:styleId="53">
    <w:name w:val="批注框文本 Char"/>
    <w:link w:val="18"/>
    <w:semiHidden/>
    <w:qFormat/>
    <w:locked/>
    <w:uiPriority w:val="0"/>
    <w:rPr>
      <w:rFonts w:ascii="Times New Roman" w:hAnsi="Times New Roman" w:eastAsia="宋体"/>
      <w:sz w:val="18"/>
    </w:rPr>
  </w:style>
  <w:style w:type="character" w:customStyle="1" w:styleId="54">
    <w:name w:val="页脚 Char"/>
    <w:link w:val="19"/>
    <w:qFormat/>
    <w:locked/>
    <w:uiPriority w:val="99"/>
    <w:rPr>
      <w:sz w:val="18"/>
    </w:rPr>
  </w:style>
  <w:style w:type="character" w:customStyle="1" w:styleId="55">
    <w:name w:val="页眉 Char"/>
    <w:link w:val="20"/>
    <w:qFormat/>
    <w:locked/>
    <w:uiPriority w:val="0"/>
    <w:rPr>
      <w:sz w:val="18"/>
    </w:rPr>
  </w:style>
  <w:style w:type="character" w:customStyle="1" w:styleId="56">
    <w:name w:val="普通(网站) Char"/>
    <w:link w:val="26"/>
    <w:qFormat/>
    <w:locked/>
    <w:uiPriority w:val="0"/>
    <w:rPr>
      <w:rFonts w:ascii="宋体" w:hAnsi="宋体" w:eastAsia="宋体"/>
      <w:sz w:val="24"/>
    </w:rPr>
  </w:style>
  <w:style w:type="character" w:customStyle="1" w:styleId="57">
    <w:name w:val="批注主题 Char"/>
    <w:link w:val="29"/>
    <w:semiHidden/>
    <w:qFormat/>
    <w:locked/>
    <w:uiPriority w:val="0"/>
    <w:rPr>
      <w:rFonts w:ascii="Times New Roman" w:hAnsi="Times New Roman" w:eastAsia="宋体"/>
      <w:b/>
      <w:kern w:val="2"/>
      <w:sz w:val="24"/>
    </w:rPr>
  </w:style>
  <w:style w:type="paragraph" w:customStyle="1" w:styleId="58">
    <w:name w:val="样式5"/>
    <w:basedOn w:val="59"/>
    <w:next w:val="60"/>
    <w:qFormat/>
    <w:uiPriority w:val="0"/>
    <w:pPr>
      <w:tabs>
        <w:tab w:val="left" w:pos="2093"/>
        <w:tab w:val="center" w:pos="4153"/>
        <w:tab w:val="right" w:pos="8306"/>
      </w:tabs>
      <w:snapToGrid w:val="0"/>
      <w:spacing w:line="360" w:lineRule="auto"/>
      <w:ind w:firstLine="510"/>
    </w:pPr>
    <w:rPr>
      <w:sz w:val="24"/>
    </w:rPr>
  </w:style>
  <w:style w:type="paragraph" w:customStyle="1" w:styleId="59">
    <w:name w:val="正文11"/>
    <w:basedOn w:val="1"/>
    <w:qFormat/>
    <w:uiPriority w:val="0"/>
    <w:pPr>
      <w:tabs>
        <w:tab w:val="left" w:pos="2093"/>
      </w:tabs>
      <w:adjustRightInd w:val="0"/>
      <w:spacing w:line="360" w:lineRule="auto"/>
      <w:ind w:firstLine="360" w:firstLineChars="150"/>
    </w:pPr>
    <w:rPr>
      <w:rFonts w:ascii="宋体" w:hAnsi="宋体"/>
      <w:sz w:val="24"/>
      <w:szCs w:val="24"/>
    </w:rPr>
  </w:style>
  <w:style w:type="paragraph" w:customStyle="1" w:styleId="60">
    <w:name w:val="正1"/>
    <w:basedOn w:val="61"/>
    <w:qFormat/>
    <w:uiPriority w:val="0"/>
    <w:pPr>
      <w:spacing w:before="60" w:after="60" w:line="400" w:lineRule="exact"/>
      <w:ind w:right="32" w:firstLine="612"/>
    </w:pPr>
    <w:rPr>
      <w:rFonts w:ascii="宋体" w:hAnsi="Calibri"/>
      <w:sz w:val="28"/>
      <w:szCs w:val="20"/>
    </w:rPr>
  </w:style>
  <w:style w:type="paragraph" w:customStyle="1" w:styleId="61">
    <w:name w:val="正文一"/>
    <w:basedOn w:val="1"/>
    <w:qFormat/>
    <w:uiPriority w:val="0"/>
    <w:pPr>
      <w:spacing w:before="0" w:line="440" w:lineRule="atLeast"/>
    </w:pPr>
    <w:rPr>
      <w:rFonts w:ascii="Times New Roman" w:hAnsi="Times New Roman"/>
      <w:szCs w:val="20"/>
    </w:rPr>
  </w:style>
  <w:style w:type="paragraph" w:customStyle="1" w:styleId="62">
    <w:name w:val="正文1"/>
    <w:basedOn w:val="19"/>
    <w:next w:val="1"/>
    <w:qFormat/>
    <w:uiPriority w:val="0"/>
    <w:pPr>
      <w:suppressAutoHyphens/>
      <w:spacing w:line="320" w:lineRule="exact"/>
      <w:ind w:firstLine="200" w:firstLineChars="200"/>
      <w:textAlignment w:val="center"/>
    </w:pPr>
    <w:rPr>
      <w:kern w:val="0"/>
      <w:szCs w:val="21"/>
    </w:rPr>
  </w:style>
  <w:style w:type="paragraph" w:customStyle="1" w:styleId="63">
    <w:name w:val="样式 正文缩进正文缩进2正文缩进 Char Char正文缩进 Char Char Char Char正文缩进 Char ..."/>
    <w:basedOn w:val="6"/>
    <w:qFormat/>
    <w:uiPriority w:val="0"/>
    <w:pPr>
      <w:spacing w:line="360" w:lineRule="auto"/>
      <w:ind w:firstLine="200"/>
    </w:pPr>
    <w:rPr>
      <w:rFonts w:cs="宋体"/>
      <w:sz w:val="24"/>
    </w:rPr>
  </w:style>
  <w:style w:type="character" w:customStyle="1" w:styleId="64">
    <w:name w:val="批注文字 字符1"/>
    <w:semiHidden/>
    <w:qFormat/>
    <w:uiPriority w:val="0"/>
    <w:rPr>
      <w:rFonts w:ascii="Times New Roman" w:hAnsi="Times New Roman" w:eastAsia="宋体"/>
      <w:sz w:val="24"/>
    </w:rPr>
  </w:style>
  <w:style w:type="character" w:customStyle="1" w:styleId="65">
    <w:name w:val="页脚 字符"/>
    <w:basedOn w:val="34"/>
    <w:qFormat/>
    <w:uiPriority w:val="99"/>
  </w:style>
  <w:style w:type="character" w:customStyle="1" w:styleId="66">
    <w:name w:val="日期 字符"/>
    <w:semiHidden/>
    <w:qFormat/>
    <w:uiPriority w:val="0"/>
    <w:rPr>
      <w:rFonts w:ascii="Times New Roman" w:hAnsi="Times New Roman" w:eastAsia="宋体"/>
      <w:sz w:val="24"/>
    </w:rPr>
  </w:style>
  <w:style w:type="character" w:customStyle="1" w:styleId="67">
    <w:name w:val="正文文本 字符1"/>
    <w:semiHidden/>
    <w:qFormat/>
    <w:uiPriority w:val="0"/>
    <w:rPr>
      <w:rFonts w:ascii="Times New Roman" w:hAnsi="Times New Roman" w:eastAsia="宋体"/>
      <w:sz w:val="24"/>
    </w:rPr>
  </w:style>
  <w:style w:type="paragraph" w:customStyle="1" w:styleId="68">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9">
    <w:name w:val="004正文"/>
    <w:basedOn w:val="1"/>
    <w:qFormat/>
    <w:uiPriority w:val="0"/>
    <w:pPr>
      <w:spacing w:line="440" w:lineRule="exact"/>
      <w:ind w:firstLine="200" w:firstLineChars="200"/>
    </w:pPr>
    <w:rPr>
      <w:rFonts w:cs="Times New Roman"/>
      <w:sz w:val="24"/>
      <w:szCs w:val="28"/>
    </w:rPr>
  </w:style>
  <w:style w:type="paragraph" w:customStyle="1" w:styleId="70">
    <w:name w:val="表名"/>
    <w:basedOn w:val="1"/>
    <w:next w:val="1"/>
    <w:qFormat/>
    <w:uiPriority w:val="0"/>
    <w:pPr>
      <w:keepNext/>
      <w:spacing w:before="120"/>
      <w:jc w:val="center"/>
    </w:pPr>
    <w:rPr>
      <w:b/>
    </w:rPr>
  </w:style>
  <w:style w:type="paragraph" w:customStyle="1" w:styleId="71">
    <w:name w:val="Other|1"/>
    <w:basedOn w:val="1"/>
    <w:qFormat/>
    <w:uiPriority w:val="0"/>
    <w:pPr>
      <w:widowControl w:val="0"/>
      <w:shd w:val="clear" w:color="auto" w:fill="auto"/>
      <w:spacing w:line="293" w:lineRule="exact"/>
    </w:pPr>
    <w:rPr>
      <w:rFonts w:ascii="宋体" w:hAnsi="宋体" w:eastAsia="宋体" w:cs="宋体"/>
      <w:sz w:val="22"/>
      <w:szCs w:val="22"/>
      <w:u w:val="none"/>
      <w:shd w:val="clear" w:color="auto" w:fill="auto"/>
      <w:lang w:val="zh-CN" w:eastAsia="zh-CN" w:bidi="zh-CN"/>
    </w:rPr>
  </w:style>
  <w:style w:type="paragraph" w:customStyle="1" w:styleId="72">
    <w:name w:val="005表格表题"/>
    <w:basedOn w:val="69"/>
    <w:qFormat/>
    <w:uiPriority w:val="0"/>
    <w:pPr>
      <w:spacing w:line="360" w:lineRule="exact"/>
      <w:ind w:firstLine="0" w:firstLineChars="0"/>
      <w:jc w:val="center"/>
    </w:pPr>
    <w:rPr>
      <w:sz w:val="21"/>
    </w:rPr>
  </w:style>
  <w:style w:type="paragraph" w:customStyle="1" w:styleId="73">
    <w:name w:val="环科院正文 Char"/>
    <w:basedOn w:val="1"/>
    <w:qFormat/>
    <w:uiPriority w:val="0"/>
    <w:pPr>
      <w:adjustRightInd w:val="0"/>
      <w:spacing w:before="60" w:after="60" w:line="360" w:lineRule="auto"/>
      <w:ind w:left="84" w:leftChars="40" w:right="84" w:rightChars="40" w:firstLine="480" w:firstLineChars="200"/>
      <w:textAlignment w:val="baseline"/>
    </w:pPr>
    <w:rPr>
      <w:rFonts w:cs="宋体"/>
      <w:bCs/>
      <w:color w:val="000000"/>
      <w:kern w:val="0"/>
      <w:sz w:val="24"/>
    </w:rPr>
  </w:style>
  <w:style w:type="paragraph" w:customStyle="1" w:styleId="74">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5">
    <w:name w:val="报告表正文"/>
    <w:basedOn w:val="17"/>
    <w:next w:val="17"/>
    <w:qFormat/>
    <w:uiPriority w:val="0"/>
    <w:pPr>
      <w:spacing w:line="360" w:lineRule="auto"/>
      <w:ind w:firstLine="200"/>
    </w:pPr>
  </w:style>
  <w:style w:type="paragraph" w:customStyle="1" w:styleId="76">
    <w:name w:val="1正文"/>
    <w:basedOn w:val="1"/>
    <w:qFormat/>
    <w:uiPriority w:val="0"/>
    <w:pPr>
      <w:spacing w:line="360" w:lineRule="auto"/>
      <w:ind w:firstLine="198" w:firstLineChars="200"/>
    </w:pPr>
    <w:rPr>
      <w:sz w:val="24"/>
    </w:rPr>
  </w:style>
  <w:style w:type="paragraph" w:customStyle="1" w:styleId="77">
    <w:name w:val="Default"/>
    <w:basedOn w:val="78"/>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8">
    <w:name w:val="纯文本1"/>
    <w:basedOn w:val="1"/>
    <w:qFormat/>
    <w:uiPriority w:val="0"/>
    <w:pPr>
      <w:adjustRightInd w:val="0"/>
    </w:pPr>
    <w:rPr>
      <w:rFonts w:hAnsi="Courier New"/>
      <w:szCs w:val="20"/>
    </w:rPr>
  </w:style>
  <w:style w:type="paragraph" w:customStyle="1" w:styleId="79">
    <w:name w:val="样式1"/>
    <w:basedOn w:val="1"/>
    <w:qFormat/>
    <w:uiPriority w:val="0"/>
    <w:pPr>
      <w:kinsoku w:val="0"/>
      <w:overflowPunct w:val="0"/>
      <w:autoSpaceDE w:val="0"/>
      <w:autoSpaceDN w:val="0"/>
      <w:adjustRightInd w:val="0"/>
      <w:snapToGrid w:val="0"/>
      <w:spacing w:line="560" w:lineRule="exact"/>
    </w:pPr>
    <w:rPr>
      <w:rFonts w:ascii="宋体"/>
      <w:snapToGrid w:val="0"/>
      <w:kern w:val="0"/>
      <w:sz w:val="24"/>
      <w:szCs w:val="20"/>
    </w:rPr>
  </w:style>
  <w:style w:type="paragraph" w:customStyle="1" w:styleId="80">
    <w:name w:val="标题2"/>
    <w:basedOn w:val="3"/>
    <w:qFormat/>
    <w:uiPriority w:val="0"/>
    <w:pPr>
      <w:spacing w:beforeLines="0" w:afterLines="0" w:line="560" w:lineRule="exact"/>
      <w:jc w:val="left"/>
    </w:pPr>
    <w:rPr>
      <w:rFonts w:ascii="黑体" w:hAnsi="Arial" w:eastAsia="黑体"/>
      <w:sz w:val="28"/>
      <w:szCs w:val="24"/>
    </w:rPr>
  </w:style>
  <w:style w:type="paragraph" w:customStyle="1" w:styleId="81">
    <w:name w:val="表格001"/>
    <w:basedOn w:val="1"/>
    <w:qFormat/>
    <w:uiPriority w:val="0"/>
    <w:pPr>
      <w:jc w:val="center"/>
    </w:pPr>
    <w:rPr>
      <w:szCs w:val="20"/>
    </w:rPr>
  </w:style>
  <w:style w:type="paragraph" w:customStyle="1" w:styleId="82">
    <w:name w:val="WPSOffice手动目录 2"/>
    <w:qFormat/>
    <w:uiPriority w:val="0"/>
    <w:pPr>
      <w:ind w:left="200" w:leftChars="200"/>
    </w:pPr>
    <w:rPr>
      <w:rFonts w:ascii="Calibri" w:hAnsi="Calibri" w:eastAsia="宋体" w:cs="Times New Roman"/>
      <w:lang w:val="en-US" w:eastAsia="zh-CN" w:bidi="ar-SA"/>
    </w:rPr>
  </w:style>
  <w:style w:type="paragraph" w:customStyle="1" w:styleId="83">
    <w:name w:val="Table Paragraph"/>
    <w:basedOn w:val="1"/>
    <w:qFormat/>
    <w:uiPriority w:val="1"/>
    <w:rPr>
      <w:rFonts w:ascii="宋体" w:hAnsi="宋体" w:eastAsia="宋体" w:cs="宋体"/>
      <w:lang w:val="zh-CN" w:eastAsia="zh-CN" w:bidi="zh-CN"/>
    </w:rPr>
  </w:style>
  <w:style w:type="table" w:customStyle="1" w:styleId="84">
    <w:name w:val="Table Normal"/>
    <w:unhideWhenUsed/>
    <w:qFormat/>
    <w:uiPriority w:val="2"/>
    <w:tblPr>
      <w:tblCellMar>
        <w:top w:w="0" w:type="dxa"/>
        <w:left w:w="0" w:type="dxa"/>
        <w:bottom w:w="0" w:type="dxa"/>
        <w:right w:w="0" w:type="dxa"/>
      </w:tblCellMar>
    </w:tblPr>
  </w:style>
  <w:style w:type="paragraph" w:customStyle="1" w:styleId="85">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86">
    <w:name w:val="晓丹"/>
    <w:basedOn w:val="30"/>
    <w:qFormat/>
    <w:uiPriority w:val="0"/>
    <w:pPr>
      <w:adjustRightInd w:val="0"/>
      <w:snapToGrid w:val="0"/>
      <w:spacing w:after="0" w:line="360" w:lineRule="auto"/>
      <w:ind w:firstLine="200" w:firstLineChars="200"/>
      <w:textAlignment w:val="baseline"/>
    </w:pPr>
    <w:rPr>
      <w:rFonts w:ascii="宋体" w:hAnsi="宋体"/>
      <w:color w:val="000000"/>
      <w:spacing w:val="6"/>
      <w:kern w:val="0"/>
      <w:sz w:val="24"/>
      <w:szCs w:val="20"/>
    </w:rPr>
  </w:style>
  <w:style w:type="paragraph" w:customStyle="1" w:styleId="87">
    <w:name w:val="【表中文字】"/>
    <w:basedOn w:val="1"/>
    <w:qFormat/>
    <w:uiPriority w:val="0"/>
    <w:pPr>
      <w:widowControl/>
      <w:adjustRightInd/>
      <w:spacing w:line="240" w:lineRule="auto"/>
      <w:jc w:val="center"/>
      <w:textAlignment w:val="auto"/>
    </w:pPr>
    <w:rPr>
      <w:rFonts w:ascii="宋体"/>
      <w:sz w:val="24"/>
    </w:rPr>
  </w:style>
  <w:style w:type="character" w:customStyle="1" w:styleId="88">
    <w:name w:val="font61"/>
    <w:basedOn w:val="34"/>
    <w:qFormat/>
    <w:uiPriority w:val="0"/>
    <w:rPr>
      <w:rFonts w:hint="eastAsia" w:ascii="宋体" w:hAnsi="宋体" w:eastAsia="宋体" w:cs="宋体"/>
      <w:color w:val="000000"/>
      <w:sz w:val="21"/>
      <w:szCs w:val="21"/>
      <w:u w:val="none"/>
    </w:rPr>
  </w:style>
  <w:style w:type="character" w:customStyle="1" w:styleId="89">
    <w:name w:val="font71"/>
    <w:basedOn w:val="34"/>
    <w:qFormat/>
    <w:uiPriority w:val="0"/>
    <w:rPr>
      <w:rFonts w:hint="eastAsia" w:ascii="宋体" w:hAnsi="宋体" w:eastAsia="宋体" w:cs="宋体"/>
      <w:color w:val="000000"/>
      <w:sz w:val="22"/>
      <w:szCs w:val="22"/>
      <w:u w:val="none"/>
    </w:rPr>
  </w:style>
  <w:style w:type="paragraph" w:customStyle="1" w:styleId="90">
    <w:name w:val="样式7"/>
    <w:basedOn w:val="58"/>
    <w:qFormat/>
    <w:uiPriority w:val="0"/>
    <w:pPr>
      <w:numPr>
        <w:ilvl w:val="3"/>
        <w:numId w:val="2"/>
      </w:numPr>
      <w:outlineLvl w:val="3"/>
    </w:pPr>
    <w:rPr>
      <w:szCs w:val="21"/>
    </w:rPr>
  </w:style>
  <w:style w:type="paragraph" w:customStyle="1" w:styleId="91">
    <w:name w:val="HP 表格标题"/>
    <w:qFormat/>
    <w:uiPriority w:val="0"/>
    <w:pPr>
      <w:spacing w:line="440" w:lineRule="exact"/>
      <w:jc w:val="center"/>
    </w:pPr>
    <w:rPr>
      <w:rFonts w:ascii="Times New Roman" w:hAnsi="Times New Roman" w:eastAsia="宋体" w:cs="Times New Roman"/>
      <w:b/>
      <w:sz w:val="24"/>
      <w:szCs w:val="24"/>
      <w:lang w:val="en-US" w:eastAsia="zh-CN" w:bidi="ar-SA"/>
    </w:rPr>
  </w:style>
  <w:style w:type="paragraph" w:customStyle="1" w:styleId="92">
    <w:name w:val="1表格"/>
    <w:basedOn w:val="1"/>
    <w:qFormat/>
    <w:uiPriority w:val="0"/>
    <w:pPr>
      <w:widowControl w:val="0"/>
      <w:snapToGrid w:val="0"/>
      <w:jc w:val="center"/>
      <w:outlineLvl w:val="4"/>
    </w:pPr>
    <w:rPr>
      <w:rFonts w:ascii="Times New Roman" w:hAnsi="Times New Roman" w:cs="Times New Roman"/>
      <w:spacing w:val="4"/>
      <w:kern w:val="2"/>
      <w:sz w:val="21"/>
    </w:rPr>
  </w:style>
  <w:style w:type="paragraph" w:customStyle="1" w:styleId="93">
    <w:name w:val="(文字) (文字)"/>
    <w:basedOn w:val="1"/>
    <w:qFormat/>
    <w:uiPriority w:val="0"/>
    <w:pPr>
      <w:widowControl/>
      <w:adjustRightInd/>
      <w:spacing w:line="240" w:lineRule="auto"/>
      <w:jc w:val="left"/>
      <w:textAlignment w:val="auto"/>
    </w:pPr>
    <w:rPr>
      <w:kern w:val="2"/>
      <w:szCs w:val="24"/>
    </w:rPr>
  </w:style>
  <w:style w:type="paragraph" w:customStyle="1" w:styleId="94">
    <w:name w:val="【正文】"/>
    <w:basedOn w:val="1"/>
    <w:qFormat/>
    <w:uiPriority w:val="0"/>
    <w:pPr>
      <w:spacing w:line="440" w:lineRule="exact"/>
      <w:ind w:firstLine="544" w:firstLineChars="200"/>
    </w:pPr>
    <w:rPr>
      <w:rFonts w:cs="宋体"/>
      <w:spacing w:val="16"/>
      <w:sz w:val="24"/>
      <w:szCs w:val="20"/>
    </w:rPr>
  </w:style>
  <w:style w:type="paragraph" w:customStyle="1" w:styleId="95">
    <w:name w:val="ENFI正文"/>
    <w:basedOn w:val="1"/>
    <w:qFormat/>
    <w:uiPriority w:val="0"/>
    <w:pPr>
      <w:adjustRightInd w:val="0"/>
      <w:snapToGrid w:val="0"/>
      <w:spacing w:line="500" w:lineRule="exact"/>
      <w:ind w:firstLine="567"/>
    </w:pPr>
    <w:rPr>
      <w:rFonts w:eastAsia="仿宋_GB2312"/>
      <w:snapToGrid w:val="0"/>
      <w:color w:val="000000"/>
      <w:kern w:val="0"/>
      <w:sz w:val="28"/>
    </w:rPr>
  </w:style>
  <w:style w:type="paragraph" w:customStyle="1" w:styleId="96">
    <w:name w:val="表格内容"/>
    <w:basedOn w:val="1"/>
    <w:qFormat/>
    <w:uiPriority w:val="0"/>
    <w:pPr>
      <w:autoSpaceDE/>
      <w:autoSpaceDN/>
      <w:adjustRightInd w:val="0"/>
      <w:spacing w:line="400" w:lineRule="atLeast"/>
      <w:ind w:firstLine="0" w:firstLineChars="0"/>
      <w:jc w:val="center"/>
    </w:pPr>
    <w:rPr>
      <w:szCs w:val="24"/>
      <w:lang w:bidi="ar-SA"/>
    </w:rPr>
  </w:style>
  <w:style w:type="paragraph" w:customStyle="1" w:styleId="97">
    <w:name w:val="样式4"/>
    <w:basedOn w:val="1"/>
    <w:qFormat/>
    <w:uiPriority w:val="99"/>
    <w:pPr>
      <w:numPr>
        <w:ilvl w:val="1"/>
        <w:numId w:val="3"/>
      </w:numPr>
      <w:tabs>
        <w:tab w:val="left" w:pos="987"/>
        <w:tab w:val="left" w:pos="1086"/>
      </w:tabs>
      <w:snapToGrid w:val="0"/>
      <w:spacing w:before="50" w:beforeLines="50" w:after="50" w:afterLines="50" w:line="360" w:lineRule="auto"/>
      <w:outlineLvl w:val="1"/>
    </w:pPr>
    <w:rPr>
      <w:rFonts w:eastAsia="黑体"/>
      <w:b/>
      <w:kern w:val="2"/>
      <w:sz w:val="28"/>
      <w:szCs w:val="24"/>
    </w:rPr>
  </w:style>
  <w:style w:type="paragraph" w:customStyle="1" w:styleId="98">
    <w:name w:val="样式6"/>
    <w:basedOn w:val="97"/>
    <w:next w:val="97"/>
    <w:qFormat/>
    <w:uiPriority w:val="0"/>
    <w:pPr>
      <w:numPr>
        <w:ilvl w:val="2"/>
        <w:numId w:val="3"/>
      </w:numPr>
      <w:tabs>
        <w:tab w:val="left" w:leader="dot" w:pos="1092"/>
        <w:tab w:val="left" w:pos="1260"/>
        <w:tab w:val="clear" w:pos="987"/>
        <w:tab w:val="clear" w:pos="1086"/>
      </w:tabs>
      <w:outlineLvl w:val="2"/>
    </w:pPr>
    <w:rPr>
      <w:rFonts w:eastAsia="宋体"/>
      <w:b w:val="0"/>
    </w:rPr>
  </w:style>
  <w:style w:type="character" w:customStyle="1" w:styleId="99">
    <w:name w:val="font21"/>
    <w:basedOn w:val="34"/>
    <w:qFormat/>
    <w:uiPriority w:val="0"/>
    <w:rPr>
      <w:rFonts w:hint="default" w:ascii="Times New Roman" w:hAnsi="Times New Roman" w:cs="Times New Roman"/>
      <w:color w:val="000000"/>
      <w:sz w:val="21"/>
      <w:szCs w:val="21"/>
      <w:u w:val="none"/>
    </w:rPr>
  </w:style>
  <w:style w:type="character" w:customStyle="1" w:styleId="100">
    <w:name w:val="font11"/>
    <w:basedOn w:val="34"/>
    <w:qFormat/>
    <w:uiPriority w:val="0"/>
    <w:rPr>
      <w:rFonts w:hint="eastAsia" w:ascii="宋体" w:hAnsi="宋体" w:eastAsia="宋体" w:cs="宋体"/>
      <w:color w:val="000000"/>
      <w:sz w:val="21"/>
      <w:szCs w:val="21"/>
      <w:u w:val="none"/>
    </w:rPr>
  </w:style>
  <w:style w:type="paragraph" w:customStyle="1" w:styleId="101">
    <w:name w:val="A正文1"/>
    <w:basedOn w:val="1"/>
    <w:qFormat/>
    <w:uiPriority w:val="0"/>
    <w:pPr>
      <w:spacing w:line="360" w:lineRule="auto"/>
      <w:ind w:firstLine="480" w:firstLineChars="200"/>
    </w:pPr>
    <w:rPr>
      <w:sz w:val="24"/>
      <w:szCs w:val="28"/>
    </w:rPr>
  </w:style>
  <w:style w:type="paragraph" w:customStyle="1" w:styleId="102">
    <w:name w:val="lh-表格文字-报告表"/>
    <w:basedOn w:val="1"/>
    <w:qFormat/>
    <w:uiPriority w:val="0"/>
    <w:pPr>
      <w:jc w:val="center"/>
    </w:pPr>
    <w:rPr>
      <w:kern w:val="0"/>
    </w:rPr>
  </w:style>
  <w:style w:type="character" w:customStyle="1" w:styleId="103">
    <w:name w:val="font31"/>
    <w:basedOn w:val="34"/>
    <w:qFormat/>
    <w:uiPriority w:val="0"/>
    <w:rPr>
      <w:rFonts w:hint="default" w:ascii="Times New Roman" w:hAnsi="Times New Roman" w:cs="Times New Roman"/>
      <w:b/>
      <w:bCs/>
      <w:color w:val="000000"/>
      <w:sz w:val="21"/>
      <w:szCs w:val="21"/>
      <w:u w:val="none"/>
      <w:vertAlign w:val="superscript"/>
    </w:rPr>
  </w:style>
  <w:style w:type="character" w:customStyle="1" w:styleId="104">
    <w:name w:val="font01"/>
    <w:qFormat/>
    <w:uiPriority w:val="0"/>
    <w:rPr>
      <w:rFonts w:hint="eastAsia" w:ascii="宋体" w:hAnsi="宋体" w:eastAsia="宋体" w:cs="宋体"/>
      <w:color w:val="000000"/>
      <w:sz w:val="24"/>
      <w:szCs w:val="24"/>
      <w:u w:val="none"/>
    </w:rPr>
  </w:style>
  <w:style w:type="character" w:customStyle="1" w:styleId="105">
    <w:name w:val="font41"/>
    <w:basedOn w:val="34"/>
    <w:qFormat/>
    <w:uiPriority w:val="0"/>
    <w:rPr>
      <w:rFonts w:hint="default" w:ascii="Times New Roman" w:hAnsi="Times New Roman" w:cs="Times New Roman"/>
      <w:color w:val="000000"/>
      <w:sz w:val="24"/>
      <w:szCs w:val="24"/>
      <w:u w:val="none"/>
    </w:rPr>
  </w:style>
  <w:style w:type="paragraph" w:customStyle="1" w:styleId="106">
    <w:name w:val="表格调整"/>
    <w:basedOn w:val="1"/>
    <w:qFormat/>
    <w:uiPriority w:val="0"/>
    <w:pPr>
      <w:jc w:val="center"/>
    </w:pPr>
    <w:rPr>
      <w:szCs w:val="21"/>
    </w:rPr>
  </w:style>
  <w:style w:type="paragraph" w:customStyle="1" w:styleId="107">
    <w:name w:val="w表格内标题"/>
    <w:basedOn w:val="1"/>
    <w:qFormat/>
    <w:uiPriority w:val="0"/>
    <w:pPr>
      <w:adjustRightInd w:val="0"/>
      <w:snapToGrid w:val="0"/>
      <w:spacing w:before="50" w:beforeLines="50" w:line="360" w:lineRule="auto"/>
      <w:ind w:left="120" w:leftChars="50"/>
      <w:jc w:val="left"/>
    </w:pPr>
    <w:rPr>
      <w:b/>
      <w:bCs/>
      <w:szCs w:val="21"/>
    </w:rPr>
  </w:style>
  <w:style w:type="paragraph" w:customStyle="1" w:styleId="108">
    <w:name w:val="表"/>
    <w:basedOn w:val="1"/>
    <w:qFormat/>
    <w:uiPriority w:val="0"/>
    <w:pPr>
      <w:jc w:val="center"/>
    </w:pPr>
    <w:rPr>
      <w:color w:val="000000"/>
      <w:sz w:val="21"/>
      <w:szCs w:val="21"/>
    </w:rPr>
  </w:style>
  <w:style w:type="paragraph" w:customStyle="1" w:styleId="109">
    <w:name w:val="样式 首行缩进:  2 字符"/>
    <w:next w:val="77"/>
    <w:qFormat/>
    <w:uiPriority w:val="0"/>
    <w:pPr>
      <w:widowControl w:val="0"/>
      <w:autoSpaceDE w:val="0"/>
      <w:autoSpaceDN w:val="0"/>
      <w:adjustRightInd w:val="0"/>
      <w:snapToGrid w:val="0"/>
      <w:spacing w:line="360" w:lineRule="auto"/>
      <w:ind w:firstLine="200" w:firstLineChars="200"/>
      <w:jc w:val="both"/>
    </w:pPr>
    <w:rPr>
      <w:rFonts w:ascii="宋体" w:hAnsi="Arial" w:eastAsia="宋体" w:cs="Arial"/>
      <w:color w:val="000000"/>
      <w:sz w:val="24"/>
      <w:szCs w:val="24"/>
      <w:lang w:val="en-US" w:eastAsia="zh-CN" w:bidi="ar-SA"/>
    </w:rPr>
  </w:style>
  <w:style w:type="character" w:customStyle="1" w:styleId="110">
    <w:name w:val="font51"/>
    <w:basedOn w:val="34"/>
    <w:qFormat/>
    <w:uiPriority w:val="0"/>
    <w:rPr>
      <w:rFonts w:hint="default" w:ascii="Times New Roman" w:hAnsi="Times New Roman" w:cs="Times New Roman"/>
      <w:color w:val="000000"/>
      <w:sz w:val="21"/>
      <w:szCs w:val="21"/>
      <w:u w:val="none"/>
      <w:vertAlign w:val="superscript"/>
    </w:rPr>
  </w:style>
  <w:style w:type="paragraph" w:customStyle="1" w:styleId="111">
    <w:name w:val="表内文字"/>
    <w:basedOn w:val="10"/>
    <w:qFormat/>
    <w:uiPriority w:val="0"/>
    <w:pPr>
      <w:spacing w:after="0" w:line="240" w:lineRule="auto"/>
      <w:ind w:firstLine="0" w:firstLineChars="0"/>
      <w:jc w:val="center"/>
    </w:pPr>
    <w:rPr>
      <w:rFonts w:cs="黑体"/>
      <w:sz w:val="21"/>
      <w:szCs w:val="22"/>
    </w:rPr>
  </w:style>
  <w:style w:type="paragraph" w:customStyle="1" w:styleId="112">
    <w:name w:val="Table Text"/>
    <w:basedOn w:val="1"/>
    <w:semiHidden/>
    <w:qFormat/>
    <w:uiPriority w:val="0"/>
    <w:rPr>
      <w:rFonts w:ascii="宋体" w:hAnsi="宋体" w:eastAsia="宋体" w:cs="宋体"/>
      <w:sz w:val="20"/>
      <w:szCs w:val="20"/>
      <w:lang w:val="en-US" w:eastAsia="en-US" w:bidi="ar-SA"/>
    </w:rPr>
  </w:style>
  <w:style w:type="paragraph" w:customStyle="1" w:styleId="113">
    <w:name w:val="z正文"/>
    <w:basedOn w:val="1"/>
    <w:qFormat/>
    <w:uiPriority w:val="0"/>
    <w:pPr>
      <w:spacing w:line="360" w:lineRule="auto"/>
      <w:ind w:firstLine="1440" w:firstLineChars="200"/>
      <w:jc w:val="both"/>
    </w:pPr>
    <w:rPr>
      <w:rFonts w:hint="eastAsia" w:ascii="Times New Roman" w:hAnsi="Times New Roman" w:cs="Times New Roman"/>
      <w:color w:val="000000" w:themeColor="text1"/>
      <w:sz w:val="24"/>
      <w14:textFill>
        <w14:solidFill>
          <w14:schemeClr w14:val="tx1"/>
        </w14:solidFill>
      </w14:textFill>
    </w:rPr>
  </w:style>
  <w:style w:type="paragraph" w:customStyle="1" w:styleId="114">
    <w:name w:val="我的表格"/>
    <w:basedOn w:val="1"/>
    <w:next w:val="1"/>
    <w:qFormat/>
    <w:uiPriority w:val="0"/>
    <w:pPr>
      <w:spacing w:line="240" w:lineRule="auto"/>
      <w:ind w:firstLine="0" w:firstLineChars="0"/>
      <w:jc w:val="center"/>
    </w:pPr>
    <w:rPr>
      <w:sz w:val="21"/>
      <w:szCs w:val="21"/>
    </w:rPr>
  </w:style>
  <w:style w:type="character" w:customStyle="1" w:styleId="115">
    <w:name w:val="专用表格 Char"/>
    <w:link w:val="40"/>
    <w:qFormat/>
    <w:uiPriority w:val="0"/>
    <w:rPr>
      <w:rFonts w:eastAsia="宋体"/>
      <w:color w:val="000000" w:themeColor="text1"/>
      <w:sz w:val="21"/>
      <w:szCs w:val="21"/>
      <w14:textFill>
        <w14:solidFill>
          <w14:schemeClr w14:val="tx1"/>
        </w14:solidFill>
      </w14:textFill>
    </w:rPr>
  </w:style>
  <w:style w:type="paragraph" w:customStyle="1" w:styleId="116">
    <w:name w:val="普通(网站)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17">
    <w:name w:val="正文样式100"/>
    <w:basedOn w:val="1"/>
    <w:qFormat/>
    <w:uiPriority w:val="0"/>
    <w:pPr>
      <w:spacing w:line="360" w:lineRule="auto"/>
      <w:ind w:firstLine="480" w:firstLineChars="200"/>
    </w:pPr>
    <w:rPr>
      <w:rFonts w:hAnsi="Courier New" w:cs="Courier New"/>
      <w:sz w:val="24"/>
      <w:szCs w:val="21"/>
    </w:rPr>
  </w:style>
  <w:style w:type="paragraph" w:customStyle="1" w:styleId="118">
    <w:name w:val="zw"/>
    <w:basedOn w:val="1"/>
    <w:autoRedefine/>
    <w:qFormat/>
    <w:uiPriority w:val="0"/>
    <w:pPr>
      <w:shd w:val="clear" w:color="auto" w:fill="FFFFFF"/>
      <w:adjustRightInd w:val="0"/>
      <w:snapToGrid w:val="0"/>
      <w:spacing w:line="360" w:lineRule="auto"/>
      <w:ind w:firstLine="480" w:firstLineChars="200"/>
    </w:pPr>
    <w:rPr>
      <w:rFonts w:ascii="楷体_GB2312" w:hAnsi="楷体_GB2312" w:eastAsia="Tahoma" w:cs="Tahoma"/>
      <w:snapToGrid w:val="0"/>
      <w:color w:val="51585D"/>
      <w:kern w:val="0"/>
      <w:sz w:val="24"/>
    </w:rPr>
  </w:style>
  <w:style w:type="paragraph" w:customStyle="1" w:styleId="119">
    <w:name w:val="楷体三号"/>
    <w:basedOn w:val="1"/>
    <w:autoRedefine/>
    <w:qFormat/>
    <w:uiPriority w:val="0"/>
    <w:pPr>
      <w:shd w:val="clear" w:color="auto" w:fill="FFFFFF"/>
      <w:adjustRightInd w:val="0"/>
      <w:snapToGrid w:val="0"/>
      <w:spacing w:line="300" w:lineRule="auto"/>
      <w:outlineLvl w:val="1"/>
    </w:pPr>
    <w:rPr>
      <w:rFonts w:ascii="ˎ̥" w:hAnsi="Tahoma" w:eastAsia="ˎ̥" w:cs="Courier New"/>
      <w:b/>
      <w:sz w:val="32"/>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58.jpeg"/><Relationship Id="rId98" Type="http://schemas.openxmlformats.org/officeDocument/2006/relationships/image" Target="media/image57.jpeg"/><Relationship Id="rId97" Type="http://schemas.openxmlformats.org/officeDocument/2006/relationships/image" Target="media/image56.jpeg"/><Relationship Id="rId96" Type="http://schemas.openxmlformats.org/officeDocument/2006/relationships/image" Target="media/image55.jpeg"/><Relationship Id="rId95" Type="http://schemas.openxmlformats.org/officeDocument/2006/relationships/image" Target="media/image54.jpeg"/><Relationship Id="rId94" Type="http://schemas.openxmlformats.org/officeDocument/2006/relationships/image" Target="media/image53.jpeg"/><Relationship Id="rId93" Type="http://schemas.openxmlformats.org/officeDocument/2006/relationships/image" Target="media/image52.jpeg"/><Relationship Id="rId92" Type="http://schemas.openxmlformats.org/officeDocument/2006/relationships/image" Target="media/image51.jpeg"/><Relationship Id="rId91" Type="http://schemas.openxmlformats.org/officeDocument/2006/relationships/image" Target="media/image50.jpeg"/><Relationship Id="rId90" Type="http://schemas.openxmlformats.org/officeDocument/2006/relationships/image" Target="media/image49.jpeg"/><Relationship Id="rId9" Type="http://schemas.openxmlformats.org/officeDocument/2006/relationships/footer" Target="footer6.xml"/><Relationship Id="rId89" Type="http://schemas.openxmlformats.org/officeDocument/2006/relationships/image" Target="media/image48.jpeg"/><Relationship Id="rId88" Type="http://schemas.openxmlformats.org/officeDocument/2006/relationships/image" Target="media/image47.jpeg"/><Relationship Id="rId87" Type="http://schemas.openxmlformats.org/officeDocument/2006/relationships/image" Target="media/image46.jpeg"/><Relationship Id="rId86" Type="http://schemas.openxmlformats.org/officeDocument/2006/relationships/image" Target="media/image45.jpeg"/><Relationship Id="rId85" Type="http://schemas.openxmlformats.org/officeDocument/2006/relationships/image" Target="media/image44.jpeg"/><Relationship Id="rId84" Type="http://schemas.openxmlformats.org/officeDocument/2006/relationships/image" Target="media/image43.jpeg"/><Relationship Id="rId83" Type="http://schemas.openxmlformats.org/officeDocument/2006/relationships/image" Target="media/image42.jpeg"/><Relationship Id="rId82" Type="http://schemas.openxmlformats.org/officeDocument/2006/relationships/image" Target="media/image41.png"/><Relationship Id="rId81" Type="http://schemas.openxmlformats.org/officeDocument/2006/relationships/image" Target="media/image40.png"/><Relationship Id="rId80" Type="http://schemas.openxmlformats.org/officeDocument/2006/relationships/image" Target="media/image39.png"/><Relationship Id="rId8" Type="http://schemas.openxmlformats.org/officeDocument/2006/relationships/footer" Target="footer5.xml"/><Relationship Id="rId79" Type="http://schemas.openxmlformats.org/officeDocument/2006/relationships/image" Target="media/image38.png"/><Relationship Id="rId78" Type="http://schemas.openxmlformats.org/officeDocument/2006/relationships/image" Target="media/image37.png"/><Relationship Id="rId77" Type="http://schemas.openxmlformats.org/officeDocument/2006/relationships/image" Target="media/image36.png"/><Relationship Id="rId76" Type="http://schemas.openxmlformats.org/officeDocument/2006/relationships/image" Target="media/image35.png"/><Relationship Id="rId75" Type="http://schemas.openxmlformats.org/officeDocument/2006/relationships/image" Target="media/image34.png"/><Relationship Id="rId74" Type="http://schemas.openxmlformats.org/officeDocument/2006/relationships/image" Target="media/image33.png"/><Relationship Id="rId73" Type="http://schemas.openxmlformats.org/officeDocument/2006/relationships/image" Target="media/image32.png"/><Relationship Id="rId72" Type="http://schemas.openxmlformats.org/officeDocument/2006/relationships/image" Target="media/image31.wmf"/><Relationship Id="rId71" Type="http://schemas.openxmlformats.org/officeDocument/2006/relationships/image" Target="media/image30.wmf"/><Relationship Id="rId70" Type="http://schemas.openxmlformats.org/officeDocument/2006/relationships/image" Target="media/image29.wmf"/><Relationship Id="rId7" Type="http://schemas.openxmlformats.org/officeDocument/2006/relationships/header" Target="header1.xml"/><Relationship Id="rId69" Type="http://schemas.openxmlformats.org/officeDocument/2006/relationships/image" Target="media/image28.wmf"/><Relationship Id="rId68" Type="http://schemas.openxmlformats.org/officeDocument/2006/relationships/oleObject" Target="embeddings/oleObject19.bin"/><Relationship Id="rId67" Type="http://schemas.openxmlformats.org/officeDocument/2006/relationships/oleObject" Target="embeddings/oleObject18.bin"/><Relationship Id="rId66" Type="http://schemas.openxmlformats.org/officeDocument/2006/relationships/oleObject" Target="embeddings/oleObject17.bin"/><Relationship Id="rId65" Type="http://schemas.openxmlformats.org/officeDocument/2006/relationships/oleObject" Target="embeddings/oleObject16.bin"/><Relationship Id="rId64" Type="http://schemas.openxmlformats.org/officeDocument/2006/relationships/oleObject" Target="embeddings/oleObject15.bin"/><Relationship Id="rId63" Type="http://schemas.openxmlformats.org/officeDocument/2006/relationships/oleObject" Target="embeddings/oleObject14.bin"/><Relationship Id="rId62" Type="http://schemas.openxmlformats.org/officeDocument/2006/relationships/oleObject" Target="embeddings/oleObject13.bin"/><Relationship Id="rId61" Type="http://schemas.openxmlformats.org/officeDocument/2006/relationships/oleObject" Target="embeddings/oleObject12.bin"/><Relationship Id="rId60" Type="http://schemas.openxmlformats.org/officeDocument/2006/relationships/image" Target="media/image27.wmf"/><Relationship Id="rId6" Type="http://schemas.openxmlformats.org/officeDocument/2006/relationships/footer" Target="footer4.xml"/><Relationship Id="rId59" Type="http://schemas.openxmlformats.org/officeDocument/2006/relationships/oleObject" Target="embeddings/oleObject11.bin"/><Relationship Id="rId58" Type="http://schemas.openxmlformats.org/officeDocument/2006/relationships/image" Target="media/image26.png"/><Relationship Id="rId57" Type="http://schemas.openxmlformats.org/officeDocument/2006/relationships/image" Target="media/image25.png"/><Relationship Id="rId56" Type="http://schemas.openxmlformats.org/officeDocument/2006/relationships/image" Target="media/image24.png"/><Relationship Id="rId55" Type="http://schemas.openxmlformats.org/officeDocument/2006/relationships/image" Target="media/image23.wmf"/><Relationship Id="rId54" Type="http://schemas.openxmlformats.org/officeDocument/2006/relationships/image" Target="media/image22.jpeg"/><Relationship Id="rId53" Type="http://schemas.openxmlformats.org/officeDocument/2006/relationships/image" Target="media/image21.png"/><Relationship Id="rId52" Type="http://schemas.openxmlformats.org/officeDocument/2006/relationships/image" Target="media/image20.png"/><Relationship Id="rId51" Type="http://schemas.openxmlformats.org/officeDocument/2006/relationships/image" Target="media/image19.jpeg"/><Relationship Id="rId50" Type="http://schemas.openxmlformats.org/officeDocument/2006/relationships/image" Target="media/image18.jpeg"/><Relationship Id="rId5" Type="http://schemas.openxmlformats.org/officeDocument/2006/relationships/footer" Target="footer3.xml"/><Relationship Id="rId49" Type="http://schemas.openxmlformats.org/officeDocument/2006/relationships/image" Target="media/image17.wmf"/><Relationship Id="rId48" Type="http://schemas.openxmlformats.org/officeDocument/2006/relationships/oleObject" Target="embeddings/oleObject10.bin"/><Relationship Id="rId47" Type="http://schemas.openxmlformats.org/officeDocument/2006/relationships/image" Target="media/image16.jpeg"/><Relationship Id="rId46" Type="http://schemas.openxmlformats.org/officeDocument/2006/relationships/image" Target="media/image15.jpeg"/><Relationship Id="rId45" Type="http://schemas.openxmlformats.org/officeDocument/2006/relationships/image" Target="media/image14.jpeg"/><Relationship Id="rId44" Type="http://schemas.openxmlformats.org/officeDocument/2006/relationships/image" Target="media/image13.wmf"/><Relationship Id="rId43" Type="http://schemas.openxmlformats.org/officeDocument/2006/relationships/image" Target="media/image12.wmf"/><Relationship Id="rId42" Type="http://schemas.openxmlformats.org/officeDocument/2006/relationships/image" Target="media/image11.jpeg"/><Relationship Id="rId41" Type="http://schemas.openxmlformats.org/officeDocument/2006/relationships/image" Target="media/image10.jpeg"/><Relationship Id="rId40" Type="http://schemas.openxmlformats.org/officeDocument/2006/relationships/image" Target="media/image9.emf"/><Relationship Id="rId4" Type="http://schemas.openxmlformats.org/officeDocument/2006/relationships/footer" Target="footer2.xml"/><Relationship Id="rId39" Type="http://schemas.openxmlformats.org/officeDocument/2006/relationships/oleObject" Target="embeddings/oleObject9.bin"/><Relationship Id="rId38" Type="http://schemas.openxmlformats.org/officeDocument/2006/relationships/image" Target="media/image8.emf"/><Relationship Id="rId37" Type="http://schemas.openxmlformats.org/officeDocument/2006/relationships/oleObject" Target="embeddings/oleObject8.bin"/><Relationship Id="rId36" Type="http://schemas.openxmlformats.org/officeDocument/2006/relationships/image" Target="media/image7.emf"/><Relationship Id="rId35" Type="http://schemas.openxmlformats.org/officeDocument/2006/relationships/oleObject" Target="embeddings/oleObject7.bin"/><Relationship Id="rId34" Type="http://schemas.openxmlformats.org/officeDocument/2006/relationships/image" Target="media/image6.emf"/><Relationship Id="rId33" Type="http://schemas.openxmlformats.org/officeDocument/2006/relationships/oleObject" Target="embeddings/oleObject6.bin"/><Relationship Id="rId32" Type="http://schemas.openxmlformats.org/officeDocument/2006/relationships/image" Target="media/image5.emf"/><Relationship Id="rId31" Type="http://schemas.openxmlformats.org/officeDocument/2006/relationships/oleObject" Target="embeddings/oleObject5.bin"/><Relationship Id="rId30" Type="http://schemas.openxmlformats.org/officeDocument/2006/relationships/image" Target="media/image4.emf"/><Relationship Id="rId3" Type="http://schemas.openxmlformats.org/officeDocument/2006/relationships/footer" Target="footer1.xml"/><Relationship Id="rId29" Type="http://schemas.openxmlformats.org/officeDocument/2006/relationships/oleObject" Target="embeddings/oleObject4.bin"/><Relationship Id="rId28" Type="http://schemas.openxmlformats.org/officeDocument/2006/relationships/image" Target="media/image3.emf"/><Relationship Id="rId27" Type="http://schemas.openxmlformats.org/officeDocument/2006/relationships/oleObject" Target="embeddings/oleObject3.bin"/><Relationship Id="rId26" Type="http://schemas.openxmlformats.org/officeDocument/2006/relationships/image" Target="media/image2.emf"/><Relationship Id="rId25" Type="http://schemas.openxmlformats.org/officeDocument/2006/relationships/oleObject" Target="embeddings/oleObject2.bin"/><Relationship Id="rId24" Type="http://schemas.openxmlformats.org/officeDocument/2006/relationships/image" Target="media/image1.emf"/><Relationship Id="rId23" Type="http://schemas.openxmlformats.org/officeDocument/2006/relationships/oleObject" Target="embeddings/oleObject1.bin"/><Relationship Id="rId22" Type="http://schemas.openxmlformats.org/officeDocument/2006/relationships/theme" Target="theme/theme1.xml"/><Relationship Id="rId21" Type="http://schemas.openxmlformats.org/officeDocument/2006/relationships/footer" Target="footer14.xml"/><Relationship Id="rId20" Type="http://schemas.openxmlformats.org/officeDocument/2006/relationships/header" Target="header5.xml"/><Relationship Id="rId2" Type="http://schemas.openxmlformats.org/officeDocument/2006/relationships/settings" Target="settings.xml"/><Relationship Id="rId19" Type="http://schemas.openxmlformats.org/officeDocument/2006/relationships/footer" Target="footer13.xml"/><Relationship Id="rId18" Type="http://schemas.openxmlformats.org/officeDocument/2006/relationships/footer" Target="footer12.xml"/><Relationship Id="rId17" Type="http://schemas.openxmlformats.org/officeDocument/2006/relationships/footer" Target="footer11.xml"/><Relationship Id="rId16" Type="http://schemas.openxmlformats.org/officeDocument/2006/relationships/footer" Target="footer10.xml"/><Relationship Id="rId15" Type="http://schemas.openxmlformats.org/officeDocument/2006/relationships/header" Target="header4.xml"/><Relationship Id="rId14" Type="http://schemas.openxmlformats.org/officeDocument/2006/relationships/footer" Target="footer9.xml"/><Relationship Id="rId13" Type="http://schemas.openxmlformats.org/officeDocument/2006/relationships/footer" Target="footer8.xml"/><Relationship Id="rId127" Type="http://schemas.openxmlformats.org/officeDocument/2006/relationships/fontTable" Target="fontTable.xml"/><Relationship Id="rId126" Type="http://schemas.openxmlformats.org/officeDocument/2006/relationships/numbering" Target="numbering.xml"/><Relationship Id="rId125" Type="http://schemas.openxmlformats.org/officeDocument/2006/relationships/customXml" Target="../customXml/item1.xml"/><Relationship Id="rId124" Type="http://schemas.openxmlformats.org/officeDocument/2006/relationships/image" Target="media/image83.jpeg"/><Relationship Id="rId123" Type="http://schemas.openxmlformats.org/officeDocument/2006/relationships/image" Target="media/image82.jpeg"/><Relationship Id="rId122" Type="http://schemas.openxmlformats.org/officeDocument/2006/relationships/image" Target="media/image81.jpeg"/><Relationship Id="rId121" Type="http://schemas.openxmlformats.org/officeDocument/2006/relationships/image" Target="media/image80.jpeg"/><Relationship Id="rId120" Type="http://schemas.openxmlformats.org/officeDocument/2006/relationships/image" Target="media/image79.png"/><Relationship Id="rId12" Type="http://schemas.openxmlformats.org/officeDocument/2006/relationships/header" Target="header3.xml"/><Relationship Id="rId119" Type="http://schemas.openxmlformats.org/officeDocument/2006/relationships/image" Target="media/image78.jpeg"/><Relationship Id="rId118" Type="http://schemas.openxmlformats.org/officeDocument/2006/relationships/image" Target="media/image77.jpeg"/><Relationship Id="rId117" Type="http://schemas.openxmlformats.org/officeDocument/2006/relationships/image" Target="media/image76.jpeg"/><Relationship Id="rId116" Type="http://schemas.openxmlformats.org/officeDocument/2006/relationships/image" Target="media/image75.jpeg"/><Relationship Id="rId115" Type="http://schemas.openxmlformats.org/officeDocument/2006/relationships/image" Target="media/image74.jpeg"/><Relationship Id="rId114" Type="http://schemas.openxmlformats.org/officeDocument/2006/relationships/image" Target="media/image73.jpeg"/><Relationship Id="rId113" Type="http://schemas.openxmlformats.org/officeDocument/2006/relationships/image" Target="media/image72.png"/><Relationship Id="rId112" Type="http://schemas.openxmlformats.org/officeDocument/2006/relationships/image" Target="media/image71.jpeg"/><Relationship Id="rId111" Type="http://schemas.openxmlformats.org/officeDocument/2006/relationships/image" Target="media/image70.png"/><Relationship Id="rId110" Type="http://schemas.openxmlformats.org/officeDocument/2006/relationships/image" Target="media/image69.png"/><Relationship Id="rId11" Type="http://schemas.openxmlformats.org/officeDocument/2006/relationships/header" Target="header2.xml"/><Relationship Id="rId109" Type="http://schemas.openxmlformats.org/officeDocument/2006/relationships/image" Target="media/image68.png"/><Relationship Id="rId108" Type="http://schemas.openxmlformats.org/officeDocument/2006/relationships/image" Target="media/image67.png"/><Relationship Id="rId107" Type="http://schemas.openxmlformats.org/officeDocument/2006/relationships/image" Target="media/image66.png"/><Relationship Id="rId106" Type="http://schemas.openxmlformats.org/officeDocument/2006/relationships/image" Target="media/image65.jpeg"/><Relationship Id="rId105" Type="http://schemas.openxmlformats.org/officeDocument/2006/relationships/image" Target="media/image64.jpeg"/><Relationship Id="rId104" Type="http://schemas.openxmlformats.org/officeDocument/2006/relationships/image" Target="media/image63.jpeg"/><Relationship Id="rId103" Type="http://schemas.openxmlformats.org/officeDocument/2006/relationships/image" Target="media/image62.jpeg"/><Relationship Id="rId102" Type="http://schemas.openxmlformats.org/officeDocument/2006/relationships/image" Target="media/image61.png"/><Relationship Id="rId101" Type="http://schemas.openxmlformats.org/officeDocument/2006/relationships/image" Target="media/image60.jpeg"/><Relationship Id="rId100" Type="http://schemas.openxmlformats.org/officeDocument/2006/relationships/image" Target="media/image59.jpeg"/><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260</Pages>
  <Words>13580</Words>
  <Characters>14390</Characters>
  <Lines>1</Lines>
  <Paragraphs>1</Paragraphs>
  <TotalTime>3</TotalTime>
  <ScaleCrop>false</ScaleCrop>
  <LinksUpToDate>false</LinksUpToDate>
  <CharactersWithSpaces>14457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畅晓娟</cp:lastModifiedBy>
  <cp:lastPrinted>2025-11-13T02:07:00Z</cp:lastPrinted>
  <dcterms:modified xsi:type="dcterms:W3CDTF">2026-03-23T00:49:04Z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BE9426488910471EAC42B973737FE69E_13</vt:lpwstr>
  </property>
  <property fmtid="{D5CDD505-2E9C-101B-9397-08002B2CF9AE}" pid="4" name="KSOTemplateDocerSaveRecord">
    <vt:lpwstr>eyJoZGlkIjoiMzQzZWVjNDNkOWVlN2JiNWRiZDk5YWU0ZTYxNDE4OGEiLCJ1c2VySWQiOiI1ODY1ODM0NzMifQ==</vt:lpwstr>
  </property>
</Properties>
</file>