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89A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3C68CAC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0C7A34A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40A4C29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1EDE20BC">
      <w:pPr>
        <w:pStyle w:val="8"/>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cs="方正仿宋_GBK"/>
          <w:color w:val="auto"/>
          <w:sz w:val="32"/>
          <w:szCs w:val="32"/>
        </w:rPr>
      </w:pPr>
    </w:p>
    <w:p w14:paraId="1E7A6FE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293921A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72CB5EB3">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eastAsia" w:ascii="Times New Roman" w:hAnsi="Times New Roman" w:eastAsia="方正仿宋_GBK" w:cs="方正仿宋_GBK"/>
          <w:b w:val="0"/>
          <w:bCs w:val="0"/>
          <w:color w:val="auto"/>
          <w:sz w:val="32"/>
          <w:szCs w:val="32"/>
        </w:rPr>
      </w:pPr>
    </w:p>
    <w:p w14:paraId="42362F83">
      <w:pPr>
        <w:keepNext w:val="0"/>
        <w:keepLines w:val="0"/>
        <w:pageBreakBefore w:val="0"/>
        <w:widowControl w:val="0"/>
        <w:kinsoku/>
        <w:wordWrap/>
        <w:overflowPunct/>
        <w:topLinePunct w:val="0"/>
        <w:autoSpaceDE/>
        <w:autoSpaceDN/>
        <w:bidi w:val="0"/>
        <w:adjustRightInd/>
        <w:spacing w:line="560" w:lineRule="exact"/>
        <w:ind w:left="0" w:firstLine="640" w:firstLineChars="200"/>
        <w:jc w:val="center"/>
        <w:textAlignment w:val="auto"/>
        <w:rPr>
          <w:rFonts w:hint="eastAsia" w:ascii="Times New Roman" w:hAnsi="Times New Roman" w:eastAsia="方正仿宋_GB2312" w:cs="方正仿宋_GB2312"/>
          <w:b w:val="0"/>
          <w:bCs w:val="0"/>
          <w:color w:val="auto"/>
          <w:sz w:val="32"/>
          <w:szCs w:val="32"/>
          <w:highlight w:val="none"/>
          <w:lang w:eastAsia="zh-CN"/>
        </w:rPr>
      </w:pPr>
    </w:p>
    <w:p w14:paraId="04B2E7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2312" w:cs="方正仿宋_GB2312"/>
          <w:b w:val="0"/>
          <w:bCs w:val="0"/>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eastAsia="zh-CN"/>
        </w:rPr>
        <w:t>包环管</w:t>
      </w:r>
      <w:r>
        <w:rPr>
          <w:rFonts w:hint="eastAsia" w:ascii="Times New Roman" w:hAnsi="Times New Roman" w:eastAsia="方正仿宋_GB2312" w:cs="方正仿宋_GB2312"/>
          <w:b w:val="0"/>
          <w:bCs w:val="0"/>
          <w:color w:val="auto"/>
          <w:sz w:val="32"/>
          <w:szCs w:val="32"/>
          <w:highlight w:val="none"/>
        </w:rPr>
        <w:t>字</w:t>
      </w:r>
      <w:r>
        <w:rPr>
          <w:rFonts w:hint="eastAsia" w:ascii="Times New Roman" w:hAnsi="Times New Roman" w:eastAsia="方正仿宋_GB2312" w:cs="方正仿宋_GB2312"/>
          <w:b w:val="0"/>
          <w:bCs w:val="0"/>
          <w:color w:val="auto"/>
          <w:sz w:val="32"/>
          <w:szCs w:val="32"/>
          <w:highlight w:val="none"/>
          <w:lang w:val="en-US" w:eastAsia="zh-CN"/>
        </w:rPr>
        <w:t>150202</w:t>
      </w:r>
      <w:r>
        <w:rPr>
          <w:rFonts w:hint="eastAsia" w:ascii="Times New Roman" w:hAnsi="Times New Roman" w:eastAsia="方正仿宋_GB2312" w:cs="方正仿宋_GB2312"/>
          <w:b w:val="0"/>
          <w:bCs w:val="0"/>
          <w:color w:val="auto"/>
          <w:sz w:val="32"/>
          <w:szCs w:val="32"/>
          <w:highlight w:val="none"/>
        </w:rPr>
        <w:t>[202</w:t>
      </w:r>
      <w:r>
        <w:rPr>
          <w:rFonts w:hint="eastAsia" w:eastAsia="方正仿宋_GB2312" w:cs="方正仿宋_GB2312"/>
          <w:b w:val="0"/>
          <w:bCs w:val="0"/>
          <w:color w:val="auto"/>
          <w:sz w:val="32"/>
          <w:szCs w:val="32"/>
          <w:highlight w:val="none"/>
          <w:lang w:val="en-US" w:eastAsia="zh-CN"/>
        </w:rPr>
        <w:t>6</w:t>
      </w:r>
      <w:r>
        <w:rPr>
          <w:rFonts w:hint="eastAsia" w:ascii="Times New Roman" w:hAnsi="Times New Roman" w:eastAsia="方正仿宋_GB2312" w:cs="方正仿宋_GB2312"/>
          <w:b w:val="0"/>
          <w:bCs w:val="0"/>
          <w:color w:val="auto"/>
          <w:sz w:val="32"/>
          <w:szCs w:val="32"/>
          <w:highlight w:val="none"/>
        </w:rPr>
        <w:t>]</w:t>
      </w:r>
      <w:r>
        <w:rPr>
          <w:rFonts w:hint="eastAsia" w:eastAsia="方正仿宋_GB2312" w:cs="方正仿宋_GB2312"/>
          <w:b w:val="0"/>
          <w:bCs w:val="0"/>
          <w:color w:val="auto"/>
          <w:sz w:val="32"/>
          <w:szCs w:val="32"/>
          <w:highlight w:val="none"/>
          <w:lang w:val="en-US" w:eastAsia="zh-CN"/>
        </w:rPr>
        <w:t>1</w:t>
      </w:r>
      <w:r>
        <w:rPr>
          <w:rFonts w:hint="eastAsia" w:ascii="Times New Roman" w:hAnsi="Times New Roman" w:eastAsia="方正仿宋_GB2312" w:cs="方正仿宋_GB2312"/>
          <w:b w:val="0"/>
          <w:bCs w:val="0"/>
          <w:color w:val="auto"/>
          <w:sz w:val="32"/>
          <w:szCs w:val="32"/>
          <w:highlight w:val="none"/>
        </w:rPr>
        <w:t>号</w:t>
      </w:r>
    </w:p>
    <w:p w14:paraId="4548624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outlineLvl w:val="0"/>
        <w:rPr>
          <w:rFonts w:hint="eastAsia" w:ascii="Times New Roman" w:hAnsi="Times New Roman" w:eastAsia="方正小标宋简体" w:cs="方正小标宋简体"/>
          <w:b w:val="0"/>
          <w:bCs w:val="0"/>
          <w:color w:val="auto"/>
          <w:sz w:val="44"/>
          <w:szCs w:val="44"/>
          <w:lang w:eastAsia="zh-CN"/>
        </w:rPr>
      </w:pPr>
    </w:p>
    <w:p w14:paraId="40FA9AC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关于包头盛泰汽车零部件制造有限公司</w:t>
      </w:r>
    </w:p>
    <w:p w14:paraId="4A01DD9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自备应急LNG气化站项目环境</w:t>
      </w:r>
    </w:p>
    <w:p w14:paraId="3E982EE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影响</w:t>
      </w:r>
      <w:r>
        <w:rPr>
          <w:rFonts w:hint="eastAsia" w:eastAsia="方正小标宋简体" w:cs="方正小标宋简体"/>
          <w:b w:val="0"/>
          <w:bCs w:val="0"/>
          <w:color w:val="auto"/>
          <w:sz w:val="44"/>
          <w:szCs w:val="44"/>
          <w:lang w:eastAsia="zh-CN"/>
        </w:rPr>
        <w:t>报告表</w:t>
      </w:r>
      <w:r>
        <w:rPr>
          <w:rFonts w:hint="eastAsia" w:ascii="Times New Roman" w:hAnsi="Times New Roman" w:eastAsia="方正小标宋简体" w:cs="方正小标宋简体"/>
          <w:b w:val="0"/>
          <w:bCs w:val="0"/>
          <w:color w:val="auto"/>
          <w:sz w:val="44"/>
          <w:szCs w:val="44"/>
          <w:lang w:eastAsia="zh-CN"/>
        </w:rPr>
        <w:t>的批复</w:t>
      </w:r>
    </w:p>
    <w:p w14:paraId="6189CCD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方正仿宋_GBK" w:cs="方正仿宋_GBK"/>
          <w:b w:val="0"/>
          <w:bCs w:val="0"/>
          <w:color w:val="auto"/>
          <w:sz w:val="32"/>
          <w:szCs w:val="32"/>
        </w:rPr>
      </w:pPr>
    </w:p>
    <w:p w14:paraId="613903CE">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2312" w:cs="方正仿宋_GB2312"/>
          <w:color w:val="auto"/>
          <w:kern w:val="2"/>
          <w:sz w:val="32"/>
          <w:szCs w:val="32"/>
          <w:highlight w:val="none"/>
          <w:u w:val="none"/>
          <w:lang w:val="en-US" w:eastAsia="zh-CN" w:bidi="ar-SA"/>
        </w:rPr>
        <w:t>包</w:t>
      </w:r>
      <w:r>
        <w:rPr>
          <w:rFonts w:hint="eastAsia" w:ascii="Times New Roman" w:hAnsi="Times New Roman" w:eastAsia="方正仿宋_GBK" w:cs="方正仿宋_GBK"/>
          <w:color w:val="auto"/>
          <w:kern w:val="2"/>
          <w:sz w:val="32"/>
          <w:szCs w:val="32"/>
          <w:highlight w:val="none"/>
          <w:u w:val="none"/>
          <w:lang w:val="en-US" w:eastAsia="zh-CN" w:bidi="ar-SA"/>
        </w:rPr>
        <w:t>头盛泰汽车零部件制造有限公司：</w:t>
      </w:r>
    </w:p>
    <w:p w14:paraId="48309B41">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你公司报送的《包头盛泰汽车零部件制造有限公司自备应急LNG气化站项目环境影响报告表》（以下简称《报告表》）已收悉，根据《包头盛泰汽车零部件制造有限公司自备应急LNG气化站项目环境影响报告表技术评估报告》，经研究，批复如下：</w:t>
      </w:r>
    </w:p>
    <w:p w14:paraId="775F77B4">
      <w:pPr>
        <w:keepNext w:val="0"/>
        <w:keepLines w:val="0"/>
        <w:pageBreakBefore w:val="0"/>
        <w:widowControl w:val="0"/>
        <w:numPr>
          <w:ilvl w:val="0"/>
          <w:numId w:val="0"/>
        </w:numPr>
        <w:tabs>
          <w:tab w:val="left" w:pos="7740"/>
        </w:tabs>
        <w:kinsoku/>
        <w:wordWrap/>
        <w:overflowPunct/>
        <w:topLinePunct w:val="0"/>
        <w:autoSpaceDE/>
        <w:autoSpaceDN/>
        <w:bidi w:val="0"/>
        <w:adjustRightInd/>
        <w:snapToGrid/>
        <w:spacing w:line="560" w:lineRule="exact"/>
        <w:ind w:left="0" w:right="0" w:rightChars="0" w:firstLine="643" w:firstLineChars="200"/>
        <w:textAlignment w:val="auto"/>
        <w:rPr>
          <w:rFonts w:hint="eastAsia" w:ascii="黑体" w:hAnsi="黑体" w:eastAsia="黑体" w:cs="黑体"/>
          <w:b/>
          <w:bCs/>
          <w:color w:val="auto"/>
          <w:kern w:val="2"/>
          <w:sz w:val="32"/>
          <w:szCs w:val="32"/>
          <w:highlight w:val="none"/>
          <w:u w:val="none"/>
          <w:lang w:val="en-US" w:eastAsia="zh-CN" w:bidi="ar-SA"/>
        </w:rPr>
      </w:pPr>
      <w:r>
        <w:rPr>
          <w:rFonts w:hint="eastAsia" w:ascii="黑体" w:hAnsi="黑体" w:eastAsia="黑体" w:cs="黑体"/>
          <w:b/>
          <w:bCs/>
          <w:color w:val="auto"/>
          <w:kern w:val="2"/>
          <w:sz w:val="32"/>
          <w:szCs w:val="32"/>
          <w:highlight w:val="none"/>
          <w:u w:val="none"/>
          <w:lang w:val="en-US" w:eastAsia="zh-CN" w:bidi="ar-SA"/>
        </w:rPr>
        <w:t>一、项目基本情况</w:t>
      </w:r>
      <w:bookmarkStart w:id="0" w:name="_Hlk99299642"/>
    </w:p>
    <w:bookmarkEnd w:id="0"/>
    <w:p w14:paraId="66E777D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本项目位于包头市包头铝业产业园区包头盛泰汽车零部件制造有限公司现有厂区内，中心坐标为东经</w:t>
      </w:r>
      <w:r>
        <w:rPr>
          <w:rFonts w:hint="eastAsia" w:ascii="Times New Roman" w:hAnsi="Times New Roman" w:eastAsia="方正仿宋_GBK" w:cs="方正仿宋_GBK"/>
          <w:color w:val="auto"/>
          <w:sz w:val="32"/>
          <w:szCs w:val="32"/>
        </w:rPr>
        <w:t>110°07′17.17</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北纬</w:t>
      </w:r>
      <w:r>
        <w:rPr>
          <w:rFonts w:hint="eastAsia" w:ascii="Times New Roman" w:hAnsi="Times New Roman" w:eastAsia="方正仿宋_GBK" w:cs="方正仿宋_GBK"/>
          <w:color w:val="auto"/>
          <w:sz w:val="32"/>
          <w:szCs w:val="32"/>
        </w:rPr>
        <w:t>40°33′15.06</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w:t>
      </w:r>
      <w:r>
        <w:rPr>
          <w:rFonts w:hint="eastAsia" w:eastAsia="方正仿宋_GBK" w:cs="方正仿宋_GBK"/>
          <w:color w:val="auto"/>
          <w:sz w:val="32"/>
          <w:szCs w:val="32"/>
          <w:lang w:val="en-US" w:eastAsia="zh-CN"/>
        </w:rPr>
        <w:t>项目</w:t>
      </w:r>
      <w:r>
        <w:rPr>
          <w:rFonts w:hint="eastAsia" w:ascii="Times New Roman" w:hAnsi="Times New Roman" w:eastAsia="方正仿宋_GBK" w:cs="方正仿宋_GBK"/>
          <w:color w:val="auto"/>
          <w:sz w:val="32"/>
          <w:szCs w:val="32"/>
          <w:lang w:val="en-US" w:eastAsia="zh-CN"/>
        </w:rPr>
        <w:t>北侧为四通</w:t>
      </w:r>
      <w:r>
        <w:rPr>
          <w:rFonts w:hint="eastAsia" w:eastAsia="方正仿宋_GBK" w:cs="方正仿宋_GBK"/>
          <w:color w:val="auto"/>
          <w:sz w:val="32"/>
          <w:szCs w:val="32"/>
          <w:lang w:val="en-US" w:eastAsia="zh-CN"/>
        </w:rPr>
        <w:t>新材料</w:t>
      </w:r>
      <w:r>
        <w:rPr>
          <w:rFonts w:hint="eastAsia" w:ascii="Times New Roman" w:hAnsi="Times New Roman" w:eastAsia="方正仿宋_GBK" w:cs="方正仿宋_GBK"/>
          <w:color w:val="auto"/>
          <w:sz w:val="32"/>
          <w:szCs w:val="32"/>
          <w:lang w:val="en-US" w:eastAsia="zh-CN"/>
        </w:rPr>
        <w:t>和纬三路，东侧</w:t>
      </w:r>
      <w:r>
        <w:rPr>
          <w:rFonts w:hint="eastAsia" w:eastAsia="方正仿宋_GBK" w:cs="方正仿宋_GBK"/>
          <w:color w:val="auto"/>
          <w:sz w:val="32"/>
          <w:szCs w:val="32"/>
          <w:lang w:val="en-US" w:eastAsia="zh-CN"/>
        </w:rPr>
        <w:t>为</w:t>
      </w:r>
      <w:r>
        <w:rPr>
          <w:rFonts w:hint="eastAsia" w:ascii="Times New Roman" w:hAnsi="Times New Roman" w:eastAsia="方正仿宋_GBK" w:cs="方正仿宋_GBK"/>
          <w:color w:val="auto"/>
          <w:sz w:val="32"/>
          <w:szCs w:val="32"/>
          <w:lang w:val="en-US" w:eastAsia="zh-CN"/>
        </w:rPr>
        <w:t>三号路，隔路为园区变电站、金重和格格乳业，南侧</w:t>
      </w:r>
      <w:r>
        <w:rPr>
          <w:rFonts w:hint="eastAsia" w:eastAsia="方正仿宋_GBK" w:cs="方正仿宋_GBK"/>
          <w:color w:val="auto"/>
          <w:sz w:val="32"/>
          <w:szCs w:val="32"/>
          <w:lang w:val="en-US" w:eastAsia="zh-CN"/>
        </w:rPr>
        <w:t>为</w:t>
      </w:r>
      <w:r>
        <w:rPr>
          <w:rFonts w:hint="eastAsia" w:ascii="Times New Roman" w:hAnsi="Times New Roman" w:eastAsia="方正仿宋_GBK" w:cs="方正仿宋_GBK"/>
          <w:color w:val="auto"/>
          <w:sz w:val="32"/>
          <w:szCs w:val="32"/>
          <w:lang w:val="en-US" w:eastAsia="zh-CN"/>
        </w:rPr>
        <w:t>纬四路，西侧</w:t>
      </w:r>
      <w:r>
        <w:rPr>
          <w:rFonts w:hint="eastAsia" w:eastAsia="方正仿宋_GBK" w:cs="方正仿宋_GBK"/>
          <w:color w:val="auto"/>
          <w:sz w:val="32"/>
          <w:szCs w:val="32"/>
          <w:lang w:val="en-US" w:eastAsia="zh-CN"/>
        </w:rPr>
        <w:t>为</w:t>
      </w:r>
      <w:r>
        <w:rPr>
          <w:rFonts w:hint="eastAsia" w:ascii="Times New Roman" w:hAnsi="Times New Roman" w:eastAsia="方正仿宋_GBK" w:cs="方正仿宋_GBK"/>
          <w:color w:val="auto"/>
          <w:sz w:val="32"/>
          <w:szCs w:val="32"/>
          <w:lang w:val="en-US" w:eastAsia="zh-CN"/>
        </w:rPr>
        <w:t>五号路，隔路为汇众铝合金锻造公司。</w:t>
      </w:r>
    </w:p>
    <w:p w14:paraId="536A7866">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本项目占地面积为300m</w:t>
      </w:r>
      <w:r>
        <w:rPr>
          <w:rFonts w:hint="eastAsia" w:ascii="Times New Roman" w:hAnsi="Times New Roman" w:eastAsia="方正仿宋_GBK" w:cs="方正仿宋_GBK"/>
          <w:color w:val="auto"/>
          <w:kern w:val="2"/>
          <w:sz w:val="32"/>
          <w:szCs w:val="32"/>
          <w:vertAlign w:val="superscript"/>
          <w:lang w:val="en-US" w:eastAsia="zh-CN" w:bidi="ar-SA"/>
        </w:rPr>
        <w:t>2</w:t>
      </w:r>
      <w:r>
        <w:rPr>
          <w:rFonts w:hint="eastAsia" w:ascii="Times New Roman" w:hAnsi="Times New Roman" w:eastAsia="方正仿宋_GBK" w:cs="方正仿宋_GBK"/>
          <w:color w:val="auto"/>
          <w:kern w:val="2"/>
          <w:sz w:val="32"/>
          <w:szCs w:val="32"/>
          <w:lang w:val="en-US" w:eastAsia="zh-CN" w:bidi="ar-SA"/>
        </w:rPr>
        <w:t>，利用现有厂区闲置空地建设LNG气化站1座，设置2座容积为50m</w:t>
      </w:r>
      <w:r>
        <w:rPr>
          <w:rFonts w:hint="eastAsia" w:ascii="Times New Roman" w:hAnsi="Times New Roman" w:eastAsia="方正仿宋_GBK" w:cs="方正仿宋_GBK"/>
          <w:color w:val="auto"/>
          <w:kern w:val="2"/>
          <w:sz w:val="32"/>
          <w:szCs w:val="32"/>
          <w:vertAlign w:val="superscript"/>
          <w:lang w:val="en-US" w:eastAsia="zh-CN" w:bidi="ar-SA"/>
        </w:rPr>
        <w:t>3</w:t>
      </w:r>
      <w:r>
        <w:rPr>
          <w:rFonts w:hint="eastAsia" w:ascii="Times New Roman" w:hAnsi="Times New Roman" w:eastAsia="方正仿宋_GBK" w:cs="方正仿宋_GBK"/>
          <w:color w:val="auto"/>
          <w:kern w:val="2"/>
          <w:sz w:val="32"/>
          <w:szCs w:val="32"/>
          <w:lang w:val="en-US" w:eastAsia="zh-CN" w:bidi="ar-SA"/>
        </w:rPr>
        <w:t>立式LNG低温储罐，总容积为100m</w:t>
      </w:r>
      <w:r>
        <w:rPr>
          <w:rFonts w:hint="eastAsia" w:ascii="Times New Roman" w:hAnsi="Times New Roman" w:eastAsia="方正仿宋_GBK" w:cs="方正仿宋_GBK"/>
          <w:color w:val="auto"/>
          <w:kern w:val="2"/>
          <w:sz w:val="32"/>
          <w:szCs w:val="32"/>
          <w:vertAlign w:val="superscript"/>
          <w:lang w:val="en-US" w:eastAsia="zh-CN" w:bidi="ar-SA"/>
        </w:rPr>
        <w:t>3</w:t>
      </w:r>
      <w:r>
        <w:rPr>
          <w:rFonts w:hint="eastAsia" w:ascii="Times New Roman" w:hAnsi="Times New Roman" w:eastAsia="方正仿宋_GBK" w:cs="方正仿宋_GBK"/>
          <w:color w:val="auto"/>
          <w:kern w:val="2"/>
          <w:sz w:val="32"/>
          <w:szCs w:val="32"/>
          <w:lang w:val="en-US" w:eastAsia="zh-CN" w:bidi="ar-SA"/>
        </w:rPr>
        <w:t>，天然气管网、消防水池、事故水池、危废暂存间等公辅设施依托现有工程，项目建成后可实现日供气量为5.959万m</w:t>
      </w:r>
      <w:r>
        <w:rPr>
          <w:rFonts w:hint="eastAsia" w:ascii="Times New Roman" w:hAnsi="Times New Roman" w:eastAsia="方正仿宋_GBK" w:cs="方正仿宋_GBK"/>
          <w:color w:val="auto"/>
          <w:kern w:val="2"/>
          <w:sz w:val="32"/>
          <w:szCs w:val="32"/>
          <w:vertAlign w:val="superscript"/>
          <w:lang w:val="en-US" w:eastAsia="zh-CN" w:bidi="ar-SA"/>
        </w:rPr>
        <w:t>3</w:t>
      </w:r>
      <w:r>
        <w:rPr>
          <w:rFonts w:hint="eastAsia" w:ascii="Times New Roman" w:hAnsi="Times New Roman" w:eastAsia="方正仿宋_GBK" w:cs="方正仿宋_GBK"/>
          <w:color w:val="auto"/>
          <w:kern w:val="2"/>
          <w:sz w:val="32"/>
          <w:szCs w:val="32"/>
          <w:lang w:val="en-US" w:eastAsia="zh-CN" w:bidi="ar-SA"/>
        </w:rPr>
        <w:t>。</w:t>
      </w:r>
    </w:p>
    <w:p w14:paraId="137A1F7A">
      <w:pPr>
        <w:keepNext w:val="0"/>
        <w:keepLines w:val="0"/>
        <w:pageBreakBefore w:val="0"/>
        <w:widowControl w:val="0"/>
        <w:kinsoku/>
        <w:wordWrap/>
        <w:overflowPunct/>
        <w:topLinePunct w:val="0"/>
        <w:autoSpaceDE/>
        <w:autoSpaceDN/>
        <w:bidi w:val="0"/>
        <w:adjustRightInd/>
        <w:spacing w:line="560" w:lineRule="exact"/>
        <w:ind w:left="0" w:right="0" w:rightChars="0" w:firstLine="643"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bCs/>
          <w:color w:val="auto"/>
          <w:kern w:val="2"/>
          <w:sz w:val="32"/>
          <w:szCs w:val="32"/>
          <w:highlight w:val="none"/>
          <w:u w:val="none"/>
          <w:lang w:val="en-US" w:eastAsia="zh-CN" w:bidi="ar-SA"/>
        </w:rPr>
        <w:t>本项目主要生产工艺流程</w:t>
      </w:r>
      <w:r>
        <w:rPr>
          <w:rFonts w:hint="eastAsia" w:ascii="Times New Roman" w:hAnsi="Times New Roman" w:eastAsia="方正仿宋_GBK" w:cs="方正仿宋_GBK"/>
          <w:color w:val="auto"/>
          <w:kern w:val="2"/>
          <w:sz w:val="32"/>
          <w:szCs w:val="32"/>
          <w:highlight w:val="none"/>
          <w:u w:val="none"/>
          <w:lang w:val="en-US" w:eastAsia="zh-CN" w:bidi="ar-SA"/>
        </w:rPr>
        <w:t>：</w:t>
      </w:r>
    </w:p>
    <w:p w14:paraId="6653B9B6">
      <w:pPr>
        <w:pStyle w:val="4"/>
        <w:keepNext w:val="0"/>
        <w:keepLines w:val="0"/>
        <w:pageBreakBefore w:val="0"/>
        <w:widowControl w:val="0"/>
        <w:tabs>
          <w:tab w:val="left" w:pos="0"/>
        </w:tabs>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LNG槽车运来后，经过储存系统，气化系统，调压计量及加臭系统进入管网供用户使用。</w:t>
      </w:r>
    </w:p>
    <w:p w14:paraId="0914560B">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项目位于包头铝业产业园区生态铝业园区，属于包头盛泰汽车零部件制造有限公司的配套项目，根据《报告表》和《评估报告》结论，</w:t>
      </w:r>
      <w:r>
        <w:rPr>
          <w:rFonts w:hint="eastAsia" w:ascii="Times New Roman" w:hAnsi="Times New Roman" w:eastAsia="方正仿宋_GBK" w:cs="方正仿宋_GBK"/>
          <w:color w:val="auto"/>
          <w:kern w:val="2"/>
          <w:sz w:val="32"/>
          <w:szCs w:val="32"/>
          <w:highlight w:val="none"/>
          <w:lang w:val="zh-CN" w:eastAsia="zh-CN" w:bidi="ar-SA"/>
        </w:rPr>
        <w:t>符合规划及生态环境分区管控清单要求，选址合理。项目已取得</w:t>
      </w:r>
      <w:r>
        <w:rPr>
          <w:rFonts w:hint="eastAsia" w:ascii="Times New Roman" w:hAnsi="Times New Roman" w:eastAsia="方正仿宋_GBK" w:cs="方正仿宋_GBK"/>
          <w:color w:val="auto"/>
          <w:kern w:val="2"/>
          <w:sz w:val="32"/>
          <w:szCs w:val="32"/>
          <w:highlight w:val="none"/>
          <w:lang w:val="en-US" w:eastAsia="zh-CN" w:bidi="ar-SA"/>
        </w:rPr>
        <w:t>东河区发展和改革委员会出具的项目备案文件</w:t>
      </w:r>
      <w:r>
        <w:rPr>
          <w:rFonts w:hint="eastAsia" w:ascii="Times New Roman" w:hAnsi="Times New Roman" w:eastAsia="方正仿宋_GBK" w:cs="方正仿宋_GBK"/>
          <w:color w:val="auto"/>
          <w:kern w:val="2"/>
          <w:sz w:val="32"/>
          <w:szCs w:val="32"/>
          <w:highlight w:val="none"/>
          <w:lang w:val="zh-CN" w:eastAsia="zh-CN" w:bidi="ar-SA"/>
        </w:rPr>
        <w:t>，符合国家产业政策。</w:t>
      </w:r>
      <w:r>
        <w:rPr>
          <w:rFonts w:hint="eastAsia" w:ascii="Times New Roman" w:hAnsi="Times New Roman" w:eastAsia="方正仿宋_GBK" w:cs="方正仿宋_GBK"/>
          <w:color w:val="auto"/>
          <w:kern w:val="2"/>
          <w:sz w:val="32"/>
          <w:szCs w:val="32"/>
          <w:highlight w:val="none"/>
          <w:lang w:val="en-US" w:eastAsia="zh-CN" w:bidi="ar-SA"/>
        </w:rPr>
        <w:t>在落实《报告表》提出的各项污染防治措施后，不利环境影响能够得到缓解和控制。从生态环境保护角度分析，我局原则同意你公司按照《报告表》所列建设项目的性质、规模、地点、采用的生产工艺和环境保护措施进行建设。</w:t>
      </w:r>
    </w:p>
    <w:p w14:paraId="5BAE3192">
      <w:pPr>
        <w:keepNext w:val="0"/>
        <w:keepLines w:val="0"/>
        <w:pageBreakBefore w:val="0"/>
        <w:widowControl w:val="0"/>
        <w:numPr>
          <w:ilvl w:val="0"/>
          <w:numId w:val="0"/>
        </w:numPr>
        <w:tabs>
          <w:tab w:val="left" w:pos="7740"/>
        </w:tabs>
        <w:kinsoku/>
        <w:wordWrap/>
        <w:overflowPunct/>
        <w:topLinePunct w:val="0"/>
        <w:autoSpaceDE/>
        <w:autoSpaceDN/>
        <w:bidi w:val="0"/>
        <w:adjustRightInd/>
        <w:snapToGrid/>
        <w:spacing w:line="560" w:lineRule="exact"/>
        <w:ind w:left="0" w:right="0" w:rightChars="0" w:firstLine="643" w:firstLineChars="200"/>
        <w:textAlignment w:val="auto"/>
        <w:rPr>
          <w:rFonts w:hint="eastAsia" w:ascii="黑体" w:hAnsi="黑体" w:eastAsia="黑体" w:cs="黑体"/>
          <w:b/>
          <w:bCs/>
          <w:color w:val="auto"/>
          <w:kern w:val="2"/>
          <w:sz w:val="32"/>
          <w:szCs w:val="32"/>
          <w:highlight w:val="none"/>
          <w:u w:val="none"/>
          <w:lang w:val="en-US" w:eastAsia="zh-CN" w:bidi="ar-SA"/>
        </w:rPr>
      </w:pPr>
      <w:r>
        <w:rPr>
          <w:rFonts w:hint="eastAsia" w:ascii="黑体" w:hAnsi="黑体" w:eastAsia="黑体" w:cs="黑体"/>
          <w:b/>
          <w:bCs/>
          <w:color w:val="auto"/>
          <w:kern w:val="2"/>
          <w:sz w:val="32"/>
          <w:szCs w:val="32"/>
          <w:highlight w:val="none"/>
          <w:u w:val="none"/>
          <w:lang w:val="en-US" w:eastAsia="zh-CN" w:bidi="ar-SA"/>
        </w:rPr>
        <w:t>二、项目建设必须做好以下工作</w:t>
      </w:r>
    </w:p>
    <w:p w14:paraId="067FA123">
      <w:pPr>
        <w:keepNext w:val="0"/>
        <w:keepLines w:val="0"/>
        <w:pageBreakBefore w:val="0"/>
        <w:widowControl w:val="0"/>
        <w:tabs>
          <w:tab w:val="left" w:pos="428"/>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方正仿宋_GBK" w:cs="方正仿宋_GBK"/>
          <w:bCs/>
          <w:color w:val="auto"/>
          <w:kern w:val="2"/>
          <w:sz w:val="32"/>
          <w:szCs w:val="32"/>
          <w:lang w:val="en-US" w:eastAsia="zh-CN" w:bidi="ar-SA"/>
        </w:rPr>
      </w:pPr>
      <w:bookmarkStart w:id="1" w:name="_Hlk98955246"/>
      <w:r>
        <w:rPr>
          <w:rFonts w:hint="eastAsia" w:ascii="Times New Roman" w:hAnsi="Times New Roman" w:eastAsia="方正仿宋_GBK" w:cs="方正仿宋_GBK"/>
          <w:color w:val="auto"/>
          <w:kern w:val="2"/>
          <w:sz w:val="32"/>
          <w:szCs w:val="32"/>
          <w:highlight w:val="none"/>
          <w:u w:val="none"/>
          <w:lang w:val="en-US" w:eastAsia="zh-CN" w:bidi="ar-SA"/>
        </w:rPr>
        <w:t>1.本项目运营期产生的废气主要为BOG废气（闪蒸气）和非正常工况下产生的EAG废气（放空天然气）以及检修废气。液化天然气卸车进行到末段槽车内的低温天然气由于压力变化而产生闪蒸天然气，通过卸车台气相管道回收调压汇合后输入用气管网，不外排；EAG废气（放空天然气）通过放散管排放；检修废气无组织逸散。</w:t>
      </w:r>
      <w:r>
        <w:rPr>
          <w:rFonts w:hint="eastAsia" w:eastAsia="方正仿宋_GBK" w:cs="方正仿宋_GBK"/>
          <w:color w:val="auto"/>
          <w:kern w:val="2"/>
          <w:sz w:val="32"/>
          <w:szCs w:val="32"/>
          <w:highlight w:val="none"/>
          <w:u w:val="none"/>
          <w:lang w:val="en-US" w:eastAsia="zh-CN" w:bidi="ar-SA"/>
        </w:rPr>
        <w:t>厂界无组织</w:t>
      </w:r>
      <w:r>
        <w:rPr>
          <w:rFonts w:hint="eastAsia" w:ascii="Times New Roman" w:hAnsi="Times New Roman" w:eastAsia="方正仿宋_GBK" w:cs="方正仿宋_GBK"/>
          <w:color w:val="auto"/>
          <w:kern w:val="2"/>
          <w:sz w:val="32"/>
          <w:szCs w:val="32"/>
          <w:highlight w:val="none"/>
          <w:u w:val="none"/>
          <w:lang w:val="en-US" w:eastAsia="zh-CN" w:bidi="ar-SA"/>
        </w:rPr>
        <w:t>非甲烷总烃</w:t>
      </w:r>
      <w:r>
        <w:rPr>
          <w:rFonts w:hint="eastAsia" w:eastAsia="方正仿宋_GBK" w:cs="方正仿宋_GBK"/>
          <w:color w:val="auto"/>
          <w:kern w:val="2"/>
          <w:sz w:val="32"/>
          <w:szCs w:val="32"/>
          <w:highlight w:val="none"/>
          <w:u w:val="none"/>
          <w:lang w:val="en-US" w:eastAsia="zh-CN" w:bidi="ar-SA"/>
        </w:rPr>
        <w:t>排放</w:t>
      </w:r>
      <w:r>
        <w:rPr>
          <w:rFonts w:hint="eastAsia" w:ascii="Times New Roman" w:hAnsi="Times New Roman" w:eastAsia="方正仿宋_GBK" w:cs="方正仿宋_GBK"/>
          <w:color w:val="auto"/>
          <w:kern w:val="2"/>
          <w:sz w:val="32"/>
          <w:szCs w:val="32"/>
          <w:highlight w:val="none"/>
          <w:u w:val="none"/>
          <w:lang w:val="en-US" w:eastAsia="zh-CN" w:bidi="ar-SA"/>
        </w:rPr>
        <w:t>满足</w:t>
      </w:r>
      <w:r>
        <w:rPr>
          <w:rFonts w:hint="eastAsia" w:ascii="Times New Roman" w:hAnsi="Times New Roman" w:eastAsia="方正仿宋_GBK" w:cs="方正仿宋_GBK"/>
          <w:color w:val="auto"/>
          <w:kern w:val="2"/>
          <w:sz w:val="32"/>
          <w:szCs w:val="32"/>
          <w:highlight w:val="none"/>
          <w:u w:val="none"/>
          <w:lang w:val="en-US" w:eastAsia="zh-CN" w:bidi="ar-SA"/>
        </w:rPr>
        <w:t>《大气污染物综合排放标准》（GB16297-1996）</w:t>
      </w:r>
      <w:r>
        <w:rPr>
          <w:rFonts w:hint="eastAsia" w:eastAsia="方正仿宋_GBK" w:cs="方正仿宋_GBK"/>
          <w:color w:val="auto"/>
          <w:kern w:val="2"/>
          <w:sz w:val="32"/>
          <w:szCs w:val="32"/>
          <w:highlight w:val="none"/>
          <w:u w:val="none"/>
          <w:lang w:val="en-US" w:eastAsia="zh-CN" w:bidi="ar-SA"/>
        </w:rPr>
        <w:t>表2</w:t>
      </w:r>
      <w:r>
        <w:rPr>
          <w:rFonts w:hint="eastAsia" w:ascii="Times New Roman" w:hAnsi="Times New Roman" w:eastAsia="方正仿宋_GBK" w:cs="方正仿宋_GBK"/>
          <w:color w:val="auto"/>
          <w:kern w:val="2"/>
          <w:sz w:val="32"/>
          <w:szCs w:val="32"/>
          <w:highlight w:val="none"/>
          <w:u w:val="none"/>
          <w:lang w:val="en-US" w:eastAsia="zh-CN" w:bidi="ar-SA"/>
        </w:rPr>
        <w:t>无组织浓度监控值，气化站外非甲烷总烃</w:t>
      </w:r>
      <w:r>
        <w:rPr>
          <w:rFonts w:hint="eastAsia" w:eastAsia="方正仿宋_GBK" w:cs="方正仿宋_GBK"/>
          <w:color w:val="auto"/>
          <w:kern w:val="2"/>
          <w:sz w:val="32"/>
          <w:szCs w:val="32"/>
          <w:highlight w:val="none"/>
          <w:u w:val="none"/>
          <w:lang w:val="en-US" w:eastAsia="zh-CN" w:bidi="ar-SA"/>
        </w:rPr>
        <w:t>排放</w:t>
      </w:r>
      <w:r>
        <w:rPr>
          <w:rFonts w:hint="eastAsia" w:ascii="Times New Roman" w:hAnsi="Times New Roman" w:eastAsia="方正仿宋_GBK" w:cs="方正仿宋_GBK"/>
          <w:color w:val="auto"/>
          <w:kern w:val="2"/>
          <w:sz w:val="32"/>
          <w:szCs w:val="32"/>
          <w:highlight w:val="none"/>
          <w:u w:val="none"/>
          <w:lang w:val="en-US" w:eastAsia="zh-CN" w:bidi="ar-SA"/>
        </w:rPr>
        <w:t>满足《挥发性有机物无组织排放控制标准》（GB37822-2019）附录A中表A.1排放限值要求；臭气浓度</w:t>
      </w:r>
      <w:r>
        <w:rPr>
          <w:rFonts w:hint="eastAsia" w:eastAsia="方正仿宋_GBK" w:cs="方正仿宋_GBK"/>
          <w:color w:val="auto"/>
          <w:kern w:val="2"/>
          <w:sz w:val="32"/>
          <w:szCs w:val="32"/>
          <w:highlight w:val="none"/>
          <w:u w:val="none"/>
          <w:lang w:val="en-US" w:eastAsia="zh-CN" w:bidi="ar-SA"/>
        </w:rPr>
        <w:t>排放</w:t>
      </w:r>
      <w:r>
        <w:rPr>
          <w:rFonts w:hint="eastAsia" w:ascii="Times New Roman" w:hAnsi="Times New Roman" w:eastAsia="方正仿宋_GBK" w:cs="方正仿宋_GBK"/>
          <w:color w:val="auto"/>
          <w:kern w:val="2"/>
          <w:sz w:val="32"/>
          <w:szCs w:val="32"/>
          <w:highlight w:val="none"/>
          <w:u w:val="none"/>
          <w:lang w:val="en-US" w:eastAsia="zh-CN" w:bidi="ar-SA"/>
        </w:rPr>
        <w:t>满足《恶臭污染物排放标准》（GB 14554-1993）</w:t>
      </w:r>
      <w:r>
        <w:rPr>
          <w:rFonts w:hint="eastAsia" w:ascii="仿宋_GB2312" w:hAnsi="仿宋_GB2312" w:eastAsia="仿宋_GB2312" w:cs="仿宋_GB2312"/>
          <w:color w:val="auto"/>
          <w:spacing w:val="-11"/>
          <w:sz w:val="32"/>
          <w:szCs w:val="32"/>
          <w:lang w:val="en-US" w:eastAsia="zh-CN"/>
        </w:rPr>
        <w:t>表1恶臭污染物厂界二级标准值</w:t>
      </w:r>
      <w:r>
        <w:rPr>
          <w:rFonts w:hint="eastAsia" w:ascii="Times New Roman" w:hAnsi="Times New Roman" w:eastAsia="方正仿宋_GBK" w:cs="方正仿宋_GBK"/>
          <w:color w:val="auto"/>
          <w:kern w:val="2"/>
          <w:sz w:val="32"/>
          <w:szCs w:val="32"/>
          <w:highlight w:val="none"/>
          <w:u w:val="none"/>
          <w:lang w:val="en-US" w:eastAsia="zh-CN" w:bidi="ar-SA"/>
        </w:rPr>
        <w:t>。</w:t>
      </w:r>
    </w:p>
    <w:bookmarkEnd w:id="1"/>
    <w:p w14:paraId="2B95D4B3">
      <w:pPr>
        <w:keepNext w:val="0"/>
        <w:keepLines w:val="0"/>
        <w:pageBreakBefore w:val="0"/>
        <w:widowControl w:val="0"/>
        <w:tabs>
          <w:tab w:val="left" w:pos="428"/>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2.本项目不新增劳动定员，无新增生活污水，无生产废水产生。</w:t>
      </w:r>
    </w:p>
    <w:p w14:paraId="3DD9EBC5">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3.</w:t>
      </w:r>
      <w:bookmarkStart w:id="2" w:name="_GoBack"/>
      <w:r>
        <w:rPr>
          <w:rFonts w:hint="default" w:ascii="Times New Roman" w:hAnsi="Times New Roman" w:eastAsia="方正仿宋_GB2312" w:cs="方正仿宋_GB2312"/>
          <w:color w:val="auto"/>
          <w:kern w:val="2"/>
          <w:sz w:val="32"/>
          <w:szCs w:val="32"/>
          <w:highlight w:val="none"/>
          <w:u w:val="none"/>
          <w:lang w:val="en-US" w:eastAsia="zh-CN" w:bidi="ar-SA"/>
        </w:rPr>
        <w:t>项目</w:t>
      </w:r>
      <w:r>
        <w:rPr>
          <w:rFonts w:hint="eastAsia" w:ascii="Times New Roman" w:hAnsi="Times New Roman" w:eastAsia="方正仿宋_GBK" w:cs="方正仿宋_GBK"/>
          <w:b w:val="0"/>
          <w:color w:val="auto"/>
          <w:kern w:val="2"/>
          <w:sz w:val="32"/>
          <w:szCs w:val="32"/>
          <w:highlight w:val="none"/>
          <w:lang w:val="en-US" w:eastAsia="zh-CN" w:bidi="ar-SA"/>
        </w:rPr>
        <w:t>营运期</w:t>
      </w:r>
      <w:r>
        <w:rPr>
          <w:rFonts w:hint="default" w:ascii="Times New Roman" w:hAnsi="Times New Roman" w:eastAsia="方正仿宋_GB2312" w:cs="方正仿宋_GB2312"/>
          <w:color w:val="auto"/>
          <w:kern w:val="2"/>
          <w:sz w:val="32"/>
          <w:szCs w:val="32"/>
          <w:highlight w:val="none"/>
          <w:u w:val="none"/>
          <w:lang w:val="en-US" w:eastAsia="zh-CN" w:bidi="ar-SA"/>
        </w:rPr>
        <w:t>噪声</w:t>
      </w:r>
      <w:r>
        <w:rPr>
          <w:rFonts w:hint="eastAsia" w:ascii="Times New Roman" w:hAnsi="Times New Roman" w:eastAsia="方正仿宋_GB2312" w:cs="方正仿宋_GB2312"/>
          <w:color w:val="auto"/>
          <w:kern w:val="2"/>
          <w:sz w:val="32"/>
          <w:szCs w:val="32"/>
          <w:highlight w:val="none"/>
          <w:u w:val="none"/>
          <w:lang w:val="en-US" w:eastAsia="zh-CN" w:bidi="ar-SA"/>
        </w:rPr>
        <w:t>主要为</w:t>
      </w:r>
      <w:r>
        <w:rPr>
          <w:rFonts w:hint="eastAsia" w:ascii="Times New Roman" w:hAnsi="Times New Roman" w:eastAsia="方正仿宋_GBK" w:cs="方正仿宋_GBK"/>
          <w:color w:val="auto"/>
          <w:kern w:val="2"/>
          <w:sz w:val="32"/>
          <w:szCs w:val="32"/>
          <w:highlight w:val="none"/>
          <w:u w:val="none"/>
          <w:lang w:val="en-US" w:eastAsia="zh-CN" w:bidi="ar-SA"/>
        </w:rPr>
        <w:t>主要为</w:t>
      </w:r>
      <w:r>
        <w:rPr>
          <w:rFonts w:hint="eastAsia" w:ascii="Times New Roman" w:hAnsi="Times New Roman" w:eastAsia="方正仿宋_GBK" w:cs="方正仿宋_GBK"/>
          <w:bCs/>
          <w:color w:val="auto"/>
          <w:kern w:val="2"/>
          <w:sz w:val="32"/>
          <w:szCs w:val="32"/>
          <w:highlight w:val="none"/>
          <w:lang w:val="en-US" w:eastAsia="zh-CN"/>
        </w:rPr>
        <w:t>空压机、增压撬、气化器、加臭撬等设施运行时产生的噪声</w:t>
      </w:r>
      <w:r>
        <w:rPr>
          <w:rFonts w:hint="eastAsia" w:ascii="Times New Roman" w:hAnsi="Times New Roman" w:eastAsia="方正仿宋_GBK" w:cs="方正仿宋_GBK"/>
          <w:color w:val="auto"/>
          <w:kern w:val="2"/>
          <w:sz w:val="32"/>
          <w:szCs w:val="32"/>
          <w:highlight w:val="none"/>
          <w:u w:val="none"/>
          <w:lang w:val="en-US" w:eastAsia="zh-CN" w:bidi="ar-SA"/>
        </w:rPr>
        <w:t>。</w:t>
      </w:r>
      <w:r>
        <w:rPr>
          <w:rFonts w:hint="eastAsia" w:ascii="Times New Roman" w:hAnsi="Times New Roman" w:eastAsia="方正仿宋_GBK" w:cs="方正仿宋_GBK"/>
          <w:b w:val="0"/>
          <w:bCs/>
          <w:color w:val="auto"/>
          <w:kern w:val="2"/>
          <w:sz w:val="32"/>
          <w:szCs w:val="32"/>
          <w:lang w:val="en-US" w:eastAsia="zh-CN" w:bidi="ar-SA"/>
        </w:rPr>
        <w:t>通过选取</w:t>
      </w:r>
      <w:r>
        <w:rPr>
          <w:rFonts w:hint="eastAsia" w:ascii="Times New Roman" w:hAnsi="Times New Roman" w:eastAsia="方正仿宋_GBK" w:cs="方正仿宋_GBK"/>
          <w:b w:val="0"/>
          <w:bCs/>
          <w:color w:val="auto"/>
          <w:kern w:val="2"/>
          <w:sz w:val="32"/>
          <w:szCs w:val="32"/>
          <w:lang w:val="en-US" w:eastAsia="zh-CN" w:bidi="ar-SA"/>
        </w:rPr>
        <w:t>低噪声设备、采取基础减振</w:t>
      </w:r>
      <w:r>
        <w:rPr>
          <w:rFonts w:hint="eastAsia" w:ascii="Times New Roman" w:hAnsi="Times New Roman" w:eastAsia="方正仿宋_GBK" w:cs="方正仿宋_GBK"/>
          <w:b w:val="0"/>
          <w:bCs/>
          <w:color w:val="auto"/>
          <w:kern w:val="2"/>
          <w:sz w:val="32"/>
          <w:szCs w:val="32"/>
          <w:lang w:val="en-US" w:eastAsia="zh-CN" w:bidi="ar-SA"/>
        </w:rPr>
        <w:t>等措施，</w:t>
      </w:r>
      <w:r>
        <w:rPr>
          <w:rFonts w:hint="eastAsia" w:ascii="Times New Roman" w:hAnsi="Times New Roman" w:eastAsia="方正仿宋_GBK" w:cs="方正仿宋_GBK"/>
          <w:bCs/>
          <w:color w:val="auto"/>
          <w:kern w:val="2"/>
          <w:sz w:val="32"/>
          <w:szCs w:val="32"/>
          <w:highlight w:val="none"/>
          <w:lang w:val="en-US" w:eastAsia="zh-CN"/>
        </w:rPr>
        <w:t>厂界噪声</w:t>
      </w:r>
      <w:r>
        <w:rPr>
          <w:rFonts w:hint="eastAsia" w:eastAsia="方正仿宋_GBK" w:cs="方正仿宋_GBK"/>
          <w:bCs/>
          <w:color w:val="auto"/>
          <w:kern w:val="2"/>
          <w:sz w:val="32"/>
          <w:szCs w:val="32"/>
          <w:highlight w:val="none"/>
          <w:lang w:val="en-US" w:eastAsia="zh-CN"/>
        </w:rPr>
        <w:t>排放</w:t>
      </w:r>
      <w:r>
        <w:rPr>
          <w:rFonts w:hint="eastAsia" w:ascii="Times New Roman" w:hAnsi="Times New Roman" w:eastAsia="方正仿宋_GBK" w:cs="方正仿宋_GBK"/>
          <w:bCs/>
          <w:color w:val="auto"/>
          <w:kern w:val="2"/>
          <w:sz w:val="32"/>
          <w:szCs w:val="32"/>
          <w:highlight w:val="none"/>
          <w:lang w:val="en-US" w:eastAsia="zh-CN"/>
        </w:rPr>
        <w:t>满足《工业企业厂界环境噪声排放标准》（GB12348-2008）表1工业企业厂界环境噪声排放限值中3类区排放标准。</w:t>
      </w:r>
      <w:bookmarkEnd w:id="2"/>
    </w:p>
    <w:p w14:paraId="31B0B805">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b w:val="0"/>
          <w:color w:val="auto"/>
          <w:kern w:val="2"/>
          <w:sz w:val="32"/>
          <w:szCs w:val="32"/>
          <w:highlight w:val="none"/>
          <w:lang w:val="zh-CN" w:eastAsia="zh-CN" w:bidi="ar-SA"/>
        </w:rPr>
      </w:pPr>
      <w:r>
        <w:rPr>
          <w:rFonts w:hint="eastAsia" w:ascii="Times New Roman" w:hAnsi="Times New Roman" w:eastAsia="方正仿宋_GBK" w:cs="方正仿宋_GBK"/>
          <w:b w:val="0"/>
          <w:color w:val="auto"/>
          <w:kern w:val="2"/>
          <w:sz w:val="32"/>
          <w:szCs w:val="32"/>
          <w:highlight w:val="none"/>
          <w:lang w:val="en-US" w:eastAsia="zh-CN" w:bidi="ar-SA"/>
        </w:rPr>
        <w:t>4.本项目营运期间产生的固体废物主要为</w:t>
      </w:r>
      <w:r>
        <w:rPr>
          <w:rFonts w:hint="eastAsia" w:ascii="Times New Roman" w:hAnsi="Times New Roman" w:eastAsia="方正仿宋_GBK" w:cs="方正仿宋_GBK"/>
          <w:b w:val="0"/>
          <w:bCs/>
          <w:color w:val="auto"/>
          <w:kern w:val="2"/>
          <w:sz w:val="32"/>
          <w:szCs w:val="32"/>
          <w:lang w:val="en-US" w:eastAsia="zh-CN" w:bidi="ar-SA"/>
        </w:rPr>
        <w:t>储罐沉渣、</w:t>
      </w:r>
      <w:r>
        <w:rPr>
          <w:rFonts w:hint="eastAsia" w:eastAsia="方正仿宋_GBK" w:cs="方正仿宋_GBK"/>
          <w:b w:val="0"/>
          <w:bCs/>
          <w:color w:val="auto"/>
          <w:kern w:val="2"/>
          <w:sz w:val="32"/>
          <w:szCs w:val="32"/>
          <w:lang w:val="en-US" w:eastAsia="zh-CN" w:bidi="ar-SA"/>
        </w:rPr>
        <w:t>设备</w:t>
      </w:r>
      <w:r>
        <w:rPr>
          <w:rFonts w:hint="eastAsia" w:ascii="Times New Roman" w:hAnsi="Times New Roman" w:eastAsia="方正仿宋_GBK" w:cs="方正仿宋_GBK"/>
          <w:b w:val="0"/>
          <w:bCs/>
          <w:color w:val="auto"/>
          <w:kern w:val="2"/>
          <w:sz w:val="32"/>
          <w:szCs w:val="32"/>
          <w:lang w:val="en-US" w:eastAsia="zh-CN" w:bidi="ar-SA"/>
        </w:rPr>
        <w:t>维修及养护产生的废润滑油</w:t>
      </w:r>
      <w:r>
        <w:rPr>
          <w:rFonts w:hint="eastAsia" w:ascii="Times New Roman" w:hAnsi="Times New Roman" w:eastAsia="方正仿宋_GBK" w:cs="方正仿宋_GBK"/>
          <w:b w:val="0"/>
          <w:color w:val="auto"/>
          <w:kern w:val="2"/>
          <w:sz w:val="32"/>
          <w:szCs w:val="32"/>
          <w:highlight w:val="none"/>
          <w:lang w:val="en-US" w:eastAsia="zh-CN" w:bidi="ar-SA"/>
        </w:rPr>
        <w:t>，均</w:t>
      </w:r>
      <w:r>
        <w:rPr>
          <w:rFonts w:hint="eastAsia" w:ascii="Times New Roman" w:hAnsi="Times New Roman" w:eastAsia="方正仿宋_GBK" w:cs="方正仿宋_GBK"/>
          <w:b w:val="0"/>
          <w:bCs/>
          <w:color w:val="auto"/>
          <w:kern w:val="2"/>
          <w:sz w:val="32"/>
          <w:szCs w:val="32"/>
          <w:lang w:val="en-US" w:eastAsia="zh-CN" w:bidi="ar-SA"/>
        </w:rPr>
        <w:t>暂存至现有危废暂存间内，定期委托有资质的单位进行处置。</w:t>
      </w:r>
    </w:p>
    <w:p w14:paraId="25C1A8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5.强化各项环境风险防范措施及安全生产管理制度要求。按照报告表要求，对重点污</w:t>
      </w:r>
      <w:r>
        <w:rPr>
          <w:rFonts w:hint="eastAsia" w:ascii="Times New Roman" w:hAnsi="Times New Roman" w:eastAsia="方正仿宋_GBK" w:cs="方正仿宋_GBK"/>
          <w:color w:val="auto"/>
          <w:kern w:val="0"/>
          <w:sz w:val="32"/>
          <w:szCs w:val="32"/>
          <w:highlight w:val="none"/>
          <w:lang w:val="en-US" w:eastAsia="zh-CN" w:bidi="ar-SA"/>
        </w:rPr>
        <w:t>染防治区、一般污染防治区等采取分区防渗措施，加强项目各类物料、危险品储运和使用管理，更新环境风险事故应急预案，做好项目的应急联防联控，定期开展突发环境事件应急演练。同时，在项目设计、建设、验收、生产过程中必须严格落实环保设施安全生产管理的相关要求。</w:t>
      </w:r>
    </w:p>
    <w:p w14:paraId="77946296">
      <w:pPr>
        <w:pStyle w:val="15"/>
        <w:keepNext w:val="0"/>
        <w:keepLines w:val="0"/>
        <w:pageBreakBefore w:val="0"/>
        <w:widowControl w:val="0"/>
        <w:kinsoku/>
        <w:wordWrap/>
        <w:overflowPunct/>
        <w:topLinePunct w:val="0"/>
        <w:autoSpaceDE/>
        <w:autoSpaceDN/>
        <w:bidi w:val="0"/>
        <w:adjustRightInd/>
        <w:spacing w:before="0" w:after="0"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三、项目建设必须严格执行配套的环境保护设施与主体工程同时设计、同时施工、同时投产使用的“三同时”制度，严格落实各项生态环境保护措施。按规定程序完成竣工环境保护验收，经验收合格后，项目方可投入生产。</w:t>
      </w:r>
    </w:p>
    <w:p w14:paraId="17986A21">
      <w:pPr>
        <w:pStyle w:val="15"/>
        <w:keepNext w:val="0"/>
        <w:keepLines w:val="0"/>
        <w:pageBreakBefore w:val="0"/>
        <w:widowControl w:val="0"/>
        <w:kinsoku/>
        <w:wordWrap/>
        <w:overflowPunct/>
        <w:topLinePunct w:val="0"/>
        <w:autoSpaceDE/>
        <w:autoSpaceDN/>
        <w:bidi w:val="0"/>
        <w:adjustRightInd/>
        <w:spacing w:before="0" w:after="0" w:line="560" w:lineRule="exact"/>
        <w:ind w:left="0" w:right="0" w:rightChars="0" w:firstLine="640" w:firstLineChars="200"/>
        <w:textAlignment w:val="auto"/>
        <w:rPr>
          <w:rFonts w:hint="eastAsia" w:ascii="Times New Roman" w:hAnsi="Times New Roman" w:eastAsia="方正仿宋_GBK" w:cs="方正仿宋_GBK"/>
          <w:b w:val="0"/>
          <w:bCs w:val="0"/>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四、你公司</w:t>
      </w:r>
      <w:r>
        <w:rPr>
          <w:rFonts w:hint="eastAsia" w:ascii="Times New Roman" w:hAnsi="Times New Roman" w:eastAsia="方正仿宋_GBK" w:cs="方正仿宋_GBK"/>
          <w:b w:val="0"/>
          <w:bCs w:val="0"/>
          <w:color w:val="auto"/>
          <w:kern w:val="2"/>
          <w:sz w:val="32"/>
          <w:szCs w:val="32"/>
          <w:highlight w:val="none"/>
          <w:lang w:val="en-US" w:eastAsia="zh-CN" w:bidi="ar-SA"/>
        </w:rPr>
        <w:t>应当在本项目启动生产设施前，重新申请排污许可证。</w:t>
      </w:r>
    </w:p>
    <w:p w14:paraId="6D7A318E">
      <w:pPr>
        <w:pStyle w:val="15"/>
        <w:keepNext w:val="0"/>
        <w:keepLines w:val="0"/>
        <w:pageBreakBefore w:val="0"/>
        <w:widowControl w:val="0"/>
        <w:kinsoku/>
        <w:wordWrap/>
        <w:overflowPunct/>
        <w:topLinePunct w:val="0"/>
        <w:autoSpaceDE/>
        <w:autoSpaceDN/>
        <w:bidi w:val="0"/>
        <w:adjustRightInd/>
        <w:spacing w:before="0" w:after="0"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val="0"/>
          <w:bCs w:val="0"/>
          <w:color w:val="auto"/>
          <w:kern w:val="2"/>
          <w:sz w:val="32"/>
          <w:szCs w:val="32"/>
          <w:highlight w:val="none"/>
          <w:lang w:val="en-US" w:eastAsia="zh-CN" w:bidi="ar-SA"/>
        </w:rPr>
        <w:t>五、如果今</w:t>
      </w:r>
      <w:r>
        <w:rPr>
          <w:rFonts w:hint="eastAsia" w:ascii="Times New Roman" w:hAnsi="Times New Roman" w:eastAsia="方正仿宋_GBK" w:cs="方正仿宋_GBK"/>
          <w:color w:val="auto"/>
          <w:kern w:val="2"/>
          <w:sz w:val="32"/>
          <w:szCs w:val="32"/>
          <w:highlight w:val="none"/>
          <w:u w:val="none"/>
          <w:lang w:val="en-US" w:eastAsia="zh-CN" w:bidi="ar-SA"/>
        </w:rPr>
        <w:t>后国家或地方颁布新的标准、规定，届时你公司应按新标准规定执行。</w:t>
      </w:r>
    </w:p>
    <w:p w14:paraId="3D082195">
      <w:pPr>
        <w:pStyle w:val="15"/>
        <w:keepNext w:val="0"/>
        <w:keepLines w:val="0"/>
        <w:pageBreakBefore w:val="0"/>
        <w:widowControl w:val="0"/>
        <w:kinsoku/>
        <w:wordWrap/>
        <w:overflowPunct/>
        <w:topLinePunct w:val="0"/>
        <w:autoSpaceDE/>
        <w:autoSpaceDN/>
        <w:bidi w:val="0"/>
        <w:adjustRightInd/>
        <w:spacing w:before="0" w:after="0" w:line="560" w:lineRule="exact"/>
        <w:ind w:left="0" w:right="0" w:rightChars="0" w:firstLine="640" w:firstLineChars="200"/>
        <w:textAlignment w:val="auto"/>
        <w:rPr>
          <w:rFonts w:hint="eastAsia" w:ascii="Times New Roman" w:hAnsi="Times New Roman" w:eastAsia="方正仿宋_GBK" w:cs="方正仿宋_GBK"/>
          <w:b w:val="0"/>
          <w:bCs w:val="0"/>
          <w:color w:val="auto"/>
          <w:kern w:val="2"/>
          <w:sz w:val="32"/>
          <w:szCs w:val="32"/>
          <w:highlight w:val="none"/>
          <w:lang w:val="en-US" w:eastAsia="zh-CN" w:bidi="ar-SA"/>
        </w:rPr>
      </w:pPr>
      <w:r>
        <w:rPr>
          <w:rFonts w:hint="eastAsia" w:ascii="Times New Roman" w:hAnsi="Times New Roman" w:eastAsia="方正仿宋_GBK" w:cs="方正仿宋_GBK"/>
          <w:b w:val="0"/>
          <w:bCs w:val="0"/>
          <w:color w:val="auto"/>
          <w:kern w:val="2"/>
          <w:sz w:val="32"/>
          <w:szCs w:val="32"/>
          <w:highlight w:val="none"/>
          <w:lang w:val="en-US" w:eastAsia="zh-CN" w:bidi="ar-SA"/>
        </w:rPr>
        <w:t>六、项目的性质、规模、地点、采用的生产工艺或者防治污染、防止生态破坏的措施发生重大变动的，建设单位应按照法律法规的规定，重新报批建设项目的环境影响评价文件；建设项目的环境影响评价文件自批准之日起超过五年，方决定该项目开工建设的，必须向我局申请重新</w:t>
      </w:r>
      <w:r>
        <w:rPr>
          <w:rFonts w:hint="eastAsia" w:eastAsia="方正仿宋_GBK" w:cs="方正仿宋_GBK"/>
          <w:b w:val="0"/>
          <w:bCs w:val="0"/>
          <w:color w:val="auto"/>
          <w:kern w:val="2"/>
          <w:sz w:val="32"/>
          <w:szCs w:val="32"/>
          <w:highlight w:val="none"/>
          <w:lang w:val="en-US" w:eastAsia="zh-CN" w:bidi="ar-SA"/>
        </w:rPr>
        <w:t>报批</w:t>
      </w:r>
      <w:r>
        <w:rPr>
          <w:rFonts w:hint="eastAsia" w:ascii="Times New Roman" w:hAnsi="Times New Roman" w:eastAsia="方正仿宋_GBK" w:cs="方正仿宋_GBK"/>
          <w:b w:val="0"/>
          <w:bCs w:val="0"/>
          <w:color w:val="auto"/>
          <w:kern w:val="2"/>
          <w:sz w:val="32"/>
          <w:szCs w:val="32"/>
          <w:highlight w:val="none"/>
          <w:lang w:val="en-US" w:eastAsia="zh-CN" w:bidi="ar-SA"/>
        </w:rPr>
        <w:t>。</w:t>
      </w:r>
    </w:p>
    <w:p w14:paraId="5EBFC3CF">
      <w:pPr>
        <w:keepNext w:val="0"/>
        <w:keepLines w:val="0"/>
        <w:pageBreakBefore w:val="0"/>
        <w:widowControl w:val="0"/>
        <w:tabs>
          <w:tab w:val="left" w:pos="6597"/>
        </w:tabs>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Times New Roman" w:hAnsi="Times New Roman" w:eastAsia="方正仿宋_GB2312" w:cs="方正仿宋_GB2312"/>
          <w:color w:val="auto"/>
          <w:sz w:val="32"/>
          <w:szCs w:val="32"/>
          <w:highlight w:val="none"/>
          <w:lang w:val="en-US" w:eastAsia="zh-CN"/>
        </w:rPr>
      </w:pPr>
      <w:r>
        <w:rPr>
          <w:rFonts w:hint="eastAsia" w:ascii="Times New Roman" w:hAnsi="Times New Roman" w:eastAsia="方正仿宋_GBK" w:cs="方正仿宋_GBK"/>
          <w:b w:val="0"/>
          <w:bCs w:val="0"/>
          <w:color w:val="auto"/>
          <w:kern w:val="2"/>
          <w:sz w:val="32"/>
          <w:szCs w:val="32"/>
          <w:highlight w:val="none"/>
          <w:lang w:val="en-US" w:eastAsia="zh-CN" w:bidi="ar-SA"/>
        </w:rPr>
        <w:t>七、由包头市生态环境综合行政</w:t>
      </w:r>
      <w:r>
        <w:rPr>
          <w:rFonts w:hint="eastAsia" w:ascii="Times New Roman" w:hAnsi="Times New Roman" w:eastAsia="方正仿宋_GB2312" w:cs="方正仿宋_GB2312"/>
          <w:b w:val="0"/>
          <w:bCs w:val="0"/>
          <w:color w:val="auto"/>
          <w:kern w:val="2"/>
          <w:sz w:val="32"/>
          <w:szCs w:val="32"/>
          <w:highlight w:val="none"/>
          <w:lang w:val="en-US" w:eastAsia="zh-CN" w:bidi="ar-SA"/>
        </w:rPr>
        <w:t xml:space="preserve">执法支队东河大队对该项目环境保护进行日常监督检查。 </w:t>
      </w:r>
    </w:p>
    <w:p w14:paraId="556739E6">
      <w:pPr>
        <w:keepNext w:val="0"/>
        <w:keepLines w:val="0"/>
        <w:pageBreakBefore w:val="0"/>
        <w:widowControl w:val="0"/>
        <w:kinsoku/>
        <w:wordWrap/>
        <w:overflowPunct/>
        <w:topLinePunct w:val="0"/>
        <w:autoSpaceDE/>
        <w:autoSpaceDN/>
        <w:bidi w:val="0"/>
        <w:adjustRightInd/>
        <w:spacing w:line="530" w:lineRule="exact"/>
        <w:ind w:right="0" w:rightChars="0" w:firstLine="640" w:firstLineChars="200"/>
        <w:textAlignment w:val="auto"/>
        <w:rPr>
          <w:rFonts w:hint="eastAsia" w:ascii="Times New Roman" w:hAnsi="Times New Roman" w:eastAsia="方正仿宋_GB2312" w:cs="方正仿宋_GB2312"/>
          <w:color w:val="auto"/>
          <w:sz w:val="32"/>
          <w:szCs w:val="32"/>
          <w:highlight w:val="none"/>
          <w:lang w:val="en-US" w:eastAsia="zh-CN"/>
        </w:rPr>
      </w:pPr>
    </w:p>
    <w:p w14:paraId="6D35881F">
      <w:pPr>
        <w:keepNext w:val="0"/>
        <w:keepLines w:val="0"/>
        <w:pageBreakBefore w:val="0"/>
        <w:widowControl w:val="0"/>
        <w:tabs>
          <w:tab w:val="left" w:pos="6597"/>
        </w:tabs>
        <w:kinsoku/>
        <w:wordWrap/>
        <w:overflowPunct/>
        <w:topLinePunct w:val="0"/>
        <w:autoSpaceDE/>
        <w:autoSpaceDN/>
        <w:bidi w:val="0"/>
        <w:adjustRightInd/>
        <w:spacing w:line="530" w:lineRule="exact"/>
        <w:ind w:left="0" w:leftChars="0" w:right="0" w:rightChars="0" w:firstLine="640" w:firstLineChars="200"/>
        <w:jc w:val="both"/>
        <w:textAlignment w:val="auto"/>
        <w:rPr>
          <w:rFonts w:hint="eastAsia" w:ascii="Times New Roman" w:hAnsi="Times New Roman" w:eastAsia="方正仿宋_GB2312" w:cs="方正仿宋_GB2312"/>
          <w:b w:val="0"/>
          <w:bCs w:val="0"/>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32"/>
          <w:szCs w:val="32"/>
          <w:highlight w:val="none"/>
        </w:rPr>
        <w:t>包头市生态环境局</w:t>
      </w:r>
    </w:p>
    <w:p w14:paraId="2D9C9EA8">
      <w:pPr>
        <w:keepNext w:val="0"/>
        <w:keepLines w:val="0"/>
        <w:pageBreakBefore w:val="0"/>
        <w:widowControl w:val="0"/>
        <w:tabs>
          <w:tab w:val="left" w:pos="6597"/>
        </w:tabs>
        <w:kinsoku/>
        <w:wordWrap/>
        <w:overflowPunct/>
        <w:topLinePunct w:val="0"/>
        <w:autoSpaceDE/>
        <w:autoSpaceDN/>
        <w:bidi w:val="0"/>
        <w:adjustRightInd/>
        <w:spacing w:line="530" w:lineRule="exact"/>
        <w:ind w:left="0" w:leftChars="0" w:right="0" w:rightChars="0" w:firstLine="640" w:firstLineChars="200"/>
        <w:jc w:val="both"/>
        <w:textAlignment w:val="auto"/>
        <w:rPr>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32"/>
          <w:szCs w:val="32"/>
          <w:highlight w:val="none"/>
        </w:rPr>
        <w:t xml:space="preserve"> 202</w:t>
      </w:r>
      <w:r>
        <w:rPr>
          <w:rFonts w:hint="eastAsia" w:eastAsia="方正仿宋_GB2312" w:cs="方正仿宋_GB2312"/>
          <w:b w:val="0"/>
          <w:bCs w:val="0"/>
          <w:color w:val="auto"/>
          <w:sz w:val="32"/>
          <w:szCs w:val="32"/>
          <w:highlight w:val="none"/>
          <w:lang w:val="en-US" w:eastAsia="zh-CN"/>
        </w:rPr>
        <w:t>6</w:t>
      </w:r>
      <w:r>
        <w:rPr>
          <w:rFonts w:hint="eastAsia" w:ascii="Times New Roman" w:hAnsi="Times New Roman" w:eastAsia="方正仿宋_GB2312" w:cs="方正仿宋_GB2312"/>
          <w:b w:val="0"/>
          <w:bCs w:val="0"/>
          <w:color w:val="auto"/>
          <w:sz w:val="32"/>
          <w:szCs w:val="32"/>
          <w:highlight w:val="none"/>
        </w:rPr>
        <w:t>年</w:t>
      </w:r>
      <w:r>
        <w:rPr>
          <w:rFonts w:hint="eastAsia" w:eastAsia="方正仿宋_GB2312" w:cs="方正仿宋_GB2312"/>
          <w:b w:val="0"/>
          <w:bCs w:val="0"/>
          <w:color w:val="auto"/>
          <w:sz w:val="32"/>
          <w:szCs w:val="32"/>
          <w:highlight w:val="none"/>
          <w:lang w:val="en-US" w:eastAsia="zh-CN"/>
        </w:rPr>
        <w:t>1</w:t>
      </w:r>
      <w:r>
        <w:rPr>
          <w:rFonts w:hint="eastAsia" w:ascii="Times New Roman" w:hAnsi="Times New Roman" w:eastAsia="方正仿宋_GB2312" w:cs="方正仿宋_GB2312"/>
          <w:b w:val="0"/>
          <w:bCs w:val="0"/>
          <w:color w:val="auto"/>
          <w:sz w:val="32"/>
          <w:szCs w:val="32"/>
          <w:highlight w:val="none"/>
        </w:rPr>
        <w:t>月</w:t>
      </w:r>
      <w:r>
        <w:rPr>
          <w:rFonts w:hint="eastAsia" w:eastAsia="方正仿宋_GB2312" w:cs="方正仿宋_GB2312"/>
          <w:b w:val="0"/>
          <w:bCs w:val="0"/>
          <w:color w:val="auto"/>
          <w:sz w:val="32"/>
          <w:szCs w:val="32"/>
          <w:highlight w:val="none"/>
          <w:lang w:val="en-US" w:eastAsia="zh-CN"/>
        </w:rPr>
        <w:t>16</w:t>
      </w:r>
      <w:r>
        <w:rPr>
          <w:rFonts w:hint="eastAsia" w:ascii="Times New Roman" w:hAnsi="Times New Roman" w:eastAsia="方正仿宋_GB2312" w:cs="方正仿宋_GB2312"/>
          <w:b w:val="0"/>
          <w:bCs w:val="0"/>
          <w:color w:val="auto"/>
          <w:sz w:val="32"/>
          <w:szCs w:val="32"/>
          <w:highlight w:val="none"/>
        </w:rPr>
        <w:t>日</w:t>
      </w:r>
    </w:p>
    <w:sectPr>
      <w:footerReference r:id="rId3" w:type="default"/>
      <w:pgSz w:w="11906" w:h="16838"/>
      <w:pgMar w:top="2041" w:right="1474" w:bottom="1247" w:left="1474"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849EFE-CC14-4A7E-AF7B-CC96F84663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2" w:fontKey="{20F78788-BC8A-43F9-8A88-F73D87DE89EB}"/>
  </w:font>
  <w:font w:name="方正仿宋_GB2312">
    <w:panose1 w:val="02000000000000000000"/>
    <w:charset w:val="86"/>
    <w:family w:val="auto"/>
    <w:pitch w:val="default"/>
    <w:sig w:usb0="A00002BF" w:usb1="184F6CFA" w:usb2="00000012" w:usb3="00000000" w:csb0="00040001" w:csb1="00000000"/>
    <w:embedRegular r:id="rId3" w:fontKey="{8DAD6368-6956-43CE-9D70-4C751208C627}"/>
  </w:font>
  <w:font w:name="方正小标宋简体">
    <w:panose1 w:val="02010600010101010101"/>
    <w:charset w:val="86"/>
    <w:family w:val="auto"/>
    <w:pitch w:val="default"/>
    <w:sig w:usb0="00000001" w:usb1="080E0000" w:usb2="00000000" w:usb3="00000000" w:csb0="00040000" w:csb1="00000000"/>
    <w:embedRegular r:id="rId4" w:fontKey="{1C30EF67-99A0-4920-AFCF-6B5085DDECBF}"/>
  </w:font>
  <w:font w:name="仿宋_GB2312">
    <w:altName w:val="仿宋"/>
    <w:panose1 w:val="02010609030101010101"/>
    <w:charset w:val="86"/>
    <w:family w:val="modern"/>
    <w:pitch w:val="default"/>
    <w:sig w:usb0="00000000" w:usb1="00000000" w:usb2="00000000" w:usb3="00000000" w:csb0="00040000" w:csb1="00000000"/>
    <w:embedRegular r:id="rId5" w:fontKey="{884D7A43-7041-4F8D-B5F4-7ECD795A77C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6109">
    <w:pPr>
      <w:pStyle w:val="9"/>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45486B">
                          <w:pPr>
                            <w:pStyle w:val="9"/>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1945486B">
                    <w:pPr>
                      <w:pStyle w:val="9"/>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jRmZDk4MTg3YWMwYjVhZjE1YmViZWNkN2Y4MTUifQ=="/>
    <w:docVar w:name="KSO_WPS_MARK_KEY" w:val="7f99af67-c418-4c45-b60f-fee7f9b16813"/>
  </w:docVars>
  <w:rsids>
    <w:rsidRoot w:val="458E6B93"/>
    <w:rsid w:val="008F19DD"/>
    <w:rsid w:val="01F617C7"/>
    <w:rsid w:val="02532161"/>
    <w:rsid w:val="02B06E10"/>
    <w:rsid w:val="02CC480B"/>
    <w:rsid w:val="03373831"/>
    <w:rsid w:val="0423034F"/>
    <w:rsid w:val="043E5307"/>
    <w:rsid w:val="05CB19F6"/>
    <w:rsid w:val="065D66E0"/>
    <w:rsid w:val="09534F25"/>
    <w:rsid w:val="0A193269"/>
    <w:rsid w:val="0C0E4BB7"/>
    <w:rsid w:val="0C5E5EFE"/>
    <w:rsid w:val="0C8E129D"/>
    <w:rsid w:val="0F176051"/>
    <w:rsid w:val="101E557F"/>
    <w:rsid w:val="125555CE"/>
    <w:rsid w:val="12670B02"/>
    <w:rsid w:val="14767C96"/>
    <w:rsid w:val="14812B5E"/>
    <w:rsid w:val="15A84E42"/>
    <w:rsid w:val="17915C9D"/>
    <w:rsid w:val="185C36C6"/>
    <w:rsid w:val="1C360F26"/>
    <w:rsid w:val="1E067C30"/>
    <w:rsid w:val="1FDD6411"/>
    <w:rsid w:val="222039B6"/>
    <w:rsid w:val="23076924"/>
    <w:rsid w:val="26381DF4"/>
    <w:rsid w:val="271F45F2"/>
    <w:rsid w:val="279A2A09"/>
    <w:rsid w:val="280B61C0"/>
    <w:rsid w:val="293C5A2C"/>
    <w:rsid w:val="298B6545"/>
    <w:rsid w:val="29F858B6"/>
    <w:rsid w:val="2BB9695A"/>
    <w:rsid w:val="2DEF2BDC"/>
    <w:rsid w:val="356409D9"/>
    <w:rsid w:val="36166428"/>
    <w:rsid w:val="364C5ECC"/>
    <w:rsid w:val="38310248"/>
    <w:rsid w:val="387A61AC"/>
    <w:rsid w:val="3884723E"/>
    <w:rsid w:val="39F31088"/>
    <w:rsid w:val="3A3A62B5"/>
    <w:rsid w:val="3FB452E6"/>
    <w:rsid w:val="41F57425"/>
    <w:rsid w:val="43A07080"/>
    <w:rsid w:val="458E6B93"/>
    <w:rsid w:val="472834BB"/>
    <w:rsid w:val="4805211C"/>
    <w:rsid w:val="488937B4"/>
    <w:rsid w:val="4AC655A7"/>
    <w:rsid w:val="4D31441A"/>
    <w:rsid w:val="4F0D4DC0"/>
    <w:rsid w:val="50253580"/>
    <w:rsid w:val="5100274A"/>
    <w:rsid w:val="512D0555"/>
    <w:rsid w:val="52D93E52"/>
    <w:rsid w:val="5AD276F0"/>
    <w:rsid w:val="5BE70AC5"/>
    <w:rsid w:val="5DB56AD1"/>
    <w:rsid w:val="5DD71A06"/>
    <w:rsid w:val="5DE82181"/>
    <w:rsid w:val="5E4E3A48"/>
    <w:rsid w:val="5EBF0A12"/>
    <w:rsid w:val="5F772160"/>
    <w:rsid w:val="6016499A"/>
    <w:rsid w:val="637A7010"/>
    <w:rsid w:val="68317518"/>
    <w:rsid w:val="69A862B6"/>
    <w:rsid w:val="6B9C32B8"/>
    <w:rsid w:val="6BEF4971"/>
    <w:rsid w:val="6C0552AC"/>
    <w:rsid w:val="6CE04AAC"/>
    <w:rsid w:val="704915C5"/>
    <w:rsid w:val="73880040"/>
    <w:rsid w:val="738A200A"/>
    <w:rsid w:val="75EC246C"/>
    <w:rsid w:val="761558C9"/>
    <w:rsid w:val="77FF4BBF"/>
    <w:rsid w:val="785328F5"/>
    <w:rsid w:val="7A4B05F1"/>
    <w:rsid w:val="7CAB1295"/>
    <w:rsid w:val="7F2F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50" w:beforeLines="50" w:after="50" w:afterLines="50"/>
      <w:ind w:firstLine="0" w:firstLineChars="0"/>
      <w:outlineLvl w:val="2"/>
    </w:pPr>
    <w:rPr>
      <w:rFonts w:eastAsia="黑体"/>
      <w:b/>
      <w:kern w:val="0"/>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rPr>
  </w:style>
  <w:style w:type="paragraph" w:styleId="4">
    <w:name w:val="Body Text First Indent 2"/>
    <w:basedOn w:val="5"/>
    <w:next w:val="1"/>
    <w:qFormat/>
    <w:uiPriority w:val="0"/>
    <w:pPr>
      <w:spacing w:after="120"/>
      <w:ind w:left="420" w:firstLine="210"/>
    </w:pPr>
  </w:style>
  <w:style w:type="paragraph" w:styleId="5">
    <w:name w:val="Body Text Indent"/>
    <w:basedOn w:val="1"/>
    <w:next w:val="1"/>
    <w:qFormat/>
    <w:uiPriority w:val="0"/>
    <w:pPr>
      <w:ind w:firstLine="520"/>
    </w:pPr>
    <w:rPr>
      <w:rFonts w:ascii="Times New Roman" w:eastAsia="宋体"/>
      <w:sz w:val="28"/>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endnote text"/>
    <w:basedOn w:val="1"/>
    <w:qFormat/>
    <w:uiPriority w:val="0"/>
    <w:pPr>
      <w:snapToGrid w:val="0"/>
      <w:spacing w:line="240" w:lineRule="auto"/>
      <w:jc w:val="left"/>
    </w:pPr>
    <w:rPr>
      <w:szCs w:val="20"/>
    </w:rPr>
  </w:style>
  <w:style w:type="paragraph" w:styleId="9">
    <w:name w:val="footer"/>
    <w:basedOn w:val="1"/>
    <w:qFormat/>
    <w:uiPriority w:val="99"/>
    <w:pPr>
      <w:tabs>
        <w:tab w:val="center" w:pos="4153"/>
        <w:tab w:val="right" w:pos="8306"/>
      </w:tabs>
      <w:adjustRightInd w:val="0"/>
      <w:snapToGrid w:val="0"/>
      <w:spacing w:after="200"/>
    </w:pPr>
    <w:rPr>
      <w:rFonts w:ascii="Tahoma" w:hAnsi="Tahoma" w:eastAsia="微软雅黑"/>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7"/>
    <w:next w:val="1"/>
    <w:qFormat/>
    <w:uiPriority w:val="0"/>
    <w:pPr>
      <w:ind w:firstLine="420" w:firstLineChars="100"/>
    </w:pPr>
    <w:rPr>
      <w:szCs w:val="24"/>
    </w:rPr>
  </w:style>
  <w:style w:type="table" w:styleId="13">
    <w:name w:val="Table Grid"/>
    <w:basedOn w:val="12"/>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0正文"/>
    <w:basedOn w:val="3"/>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16">
    <w:name w:val="[1]正文"/>
    <w:basedOn w:val="1"/>
    <w:qFormat/>
    <w:uiPriority w:val="0"/>
    <w:pPr>
      <w:wordWrap w:val="0"/>
      <w:adjustRightInd w:val="0"/>
      <w:snapToGrid w:val="0"/>
      <w:spacing w:line="500" w:lineRule="exact"/>
      <w:jc w:val="left"/>
    </w:pPr>
    <w:rPr>
      <w:kern w:val="0"/>
      <w:sz w:val="28"/>
      <w:szCs w:val="28"/>
    </w:rPr>
  </w:style>
  <w:style w:type="paragraph" w:customStyle="1" w:styleId="17">
    <w:name w:val="样式5"/>
    <w:basedOn w:val="18"/>
    <w:qFormat/>
    <w:uiPriority w:val="0"/>
    <w:pPr>
      <w:tabs>
        <w:tab w:val="left" w:pos="2093"/>
        <w:tab w:val="center" w:pos="4153"/>
        <w:tab w:val="right" w:pos="8306"/>
      </w:tabs>
      <w:adjustRightInd w:val="0"/>
      <w:snapToGrid w:val="0"/>
      <w:spacing w:line="360" w:lineRule="auto"/>
      <w:ind w:firstLine="480" w:firstLineChars="200"/>
    </w:pPr>
    <w:rPr>
      <w:rFonts w:ascii="宋体" w:hAnsi="宋体" w:cs="宋体"/>
      <w:bCs/>
      <w:color w:val="000000"/>
      <w:sz w:val="24"/>
    </w:rPr>
  </w:style>
  <w:style w:type="paragraph" w:customStyle="1" w:styleId="18">
    <w:name w:val="正文1"/>
    <w:basedOn w:val="9"/>
    <w:next w:val="1"/>
    <w:qFormat/>
    <w:uiPriority w:val="0"/>
    <w:pPr>
      <w:suppressAutoHyphens/>
      <w:spacing w:line="320" w:lineRule="exact"/>
      <w:ind w:firstLine="200" w:firstLineChars="200"/>
      <w:textAlignment w:val="center"/>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fd933392-0cf2-4233-9419-bbf76b247d7b</errorID>
      <errorWord>[2026]1号</errorWord>
      <group>L1_Knowledge</group>
      <groupName>知识性问题</groupName>
      <ability>L2_Knowledge</ability>
      <abilityName>其他知识</abilityName>
      <candidateList>
        <item>〔2026〕1号</item>
      </candidateList>
      <explain>发文字号格式错误。</explain>
      <paraID> 4B2E714</paraID>
      <start>10</start>
      <end>18</end>
      <status>unmodified</status>
      <modifiedWord/>
      <trackRevisions>false</trackRevisions>
    </reviewItem>
    <reviewItem>
      <errorID>9c4e3e23-7629-4308-9389-4a7696520fe4</errorID>
      <errorWord>报告表</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 914560B</paraID>
      <start>121</start>
      <end>124</end>
      <status>unmodified</status>
      <modifiedWord/>
      <trackRevisions>false</trackRevisions>
    </reviewItem>
    <reviewItem>
      <errorID>7e7b871b-7374-4fe9-a85c-687bb14dbe20</errorID>
      <errorWord>。。</errorWord>
      <group>L1_Punc</group>
      <groupName>标点问题</groupName>
      <ability>L2_Punc</ability>
      <abilityName>标点符号检查</abilityName>
      <candidateList>
        <item>。</item>
      </candidateList>
      <explain/>
      <paraID>31B0B805</paraID>
      <start>66</start>
      <end>67</end>
      <status>modified</status>
      <modifiedWord>。</modifiedWord>
      <trackRevisions>false</trackRevisions>
    </reviewItem>
    <reviewItem>
      <errorID>68a0acc4-d500-4701-b94e-9134989f323f</errorID>
      <errorWord>应</errorWord>
      <group>L1_Word</group>
      <groupName>字词问题</groupName>
      <ability>L2_Typo</ability>
      <abilityName>字词错误</abilityName>
      <candidateList>
        <item>应当</item>
      </candidateList>
      <explain/>
      <paraID>3D082195</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27a7d-6da8-421b-96f0-15d8be843f4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1651</Words>
  <Characters>1766</Characters>
  <Lines>0</Lines>
  <Paragraphs>0</Paragraphs>
  <TotalTime>0</TotalTime>
  <ScaleCrop>false</ScaleCrop>
  <LinksUpToDate>false</LinksUpToDate>
  <CharactersWithSpaces>1822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2024-09-09T09:16:00Z</dcterms:created>
  <dc:creator>          ༽</dc:creator>
  <cp:lastModifiedBy>          ༽</cp:lastModifiedBy>
  <cp:lastPrinted>2025-05-21T03:35:00Z</cp:lastPrinted>
  <dcterms:modified xsi:type="dcterms:W3CDTF">2026-01-16T06:56:27Z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8076643F2702442E9973AA423AE59ECF_13</vt:lpwstr>
  </property>
  <property fmtid="{D5CDD505-2E9C-101B-9397-08002B2CF9AE}" pid="4" name="KSOTemplateDocerSaveRecord">
    <vt:lpwstr>eyJoZGlkIjoiODE3ZjRmZDk4MTg3YWMwYjVhZjE1YmViZWNkN2Y4MTUiLCJ1c2VySWQiOiI1MjcyNDM4ODkifQ==</vt:lpwstr>
  </property>
</Properties>
</file>